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September 17,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 Operators confirm the quantity actually bought and those units leave the list.</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1: System Architecture&lt;/w:t&gt;&lt;/w:r&gt;&lt;/w:p&gt;&lt;w:p&gt;&lt;w:pPr&gt;&lt;w:pStyle w:val="CodeBlock"/&gt;&lt;/w:pPr&gt;&lt;w:r&gt;&lt;w:t xml:space="preserve"&gt;User Browser&lt;/w:t&gt;&lt;/w:r&gt;&lt;/w:p&gt;&lt;w:p&gt;&lt;w:pPr&gt;&lt;w:pStyle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xml:space="preserve"&gt;Next.js App Router pages and layouts&lt;/w:t&gt;&lt;/w:r&gt;&lt;/w:p&gt;&lt;w:p&gt;&lt;w:pPr&gt;&lt;w:pStyle w:val="CodeBlock"/&gt;&lt;/w:pPr&gt;&lt;w:r&gt;&lt;w:t xml:space="preserve"&gt;   |&lt;/w:t&gt;&lt;/w:r&gt;&lt;/w:p&gt;&lt;w:p&gt;&lt;w:pPr&gt;&lt;w:pStyle w:val="CodeBlock"/&gt;&lt;/w:pPr&gt;&lt;w:r&gt;&lt;w:t xml:space="preserve"&gt;   +--&amp;gt; Server Components read Prisma data for pages&lt;/w:t&gt;&lt;/w:r&gt;&lt;/w:p&gt;&lt;w:p&gt;&lt;w:pPr&gt;&lt;w:pStyle w:val="CodeBlock"/&gt;&lt;/w:pPr&gt;&lt;w:r&gt;&lt;w:t xml:space="preserve"&gt;   +--&amp;gt; Server Actions mutate customers, accounts, payments, products, staff, settings&lt;/w:t&gt;&lt;/w:r&gt;&lt;/w:p&gt;&lt;w:p&gt;&lt;w:pPr&gt;&lt;w:pStyle w:val="CodeBlock"/&gt;&lt;/w:pPr&gt;&lt;w:r&gt;&lt;w:t xml:space="preserve"&gt;   +--&amp;gt; Route Handlers expose auth, notifications, weekly export, health, AI support&lt;/w:t&gt;&lt;/w:r&gt;&lt;/w:p&gt;&lt;w:p&gt;&lt;w:pPr&gt;&lt;w:pStyle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v5 session and route authorization&lt;/w:t&gt;&lt;/w:r&gt;&lt;/w:p&gt;&lt;w:p&gt;&lt;w:pPr&gt;&lt;w:pStyle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xml:space="preserve"&gt;Prisma Client / Neon Postgres&lt;/w:t&gt;&lt;/w:r&gt;&lt;/w:p&gt;&lt;w:p&gt;&lt;w:pPr&gt;&lt;w:pStyle w:val="CodeBlock"/&gt;&lt;/w:pPr&gt;&lt;w:r&gt;&lt;w:t xml:space="preserve"&gt;   |&lt;/w:t&gt;&lt;/w:r&gt;&lt;/w:p&gt;&lt;w:p&gt;&lt;w:pPr&gt;&lt;w:pStyle w:val="CodeBlock"/&gt;&lt;/w:pPr&gt;&lt;w:r&gt;&lt;w:t xml:space="preserve"&gt;   +--&amp;gt; AuditLog records important business changes&lt;/w:t&gt;&lt;/w:r&gt;&lt;/w:p&gt;&lt;w:p&gt;&lt;w:pPr&gt;&lt;w:pStyle w:val="CodeBlock"/&gt;&lt;/w:pPr&gt;&lt;w:r&gt;&lt;w:t xml:space="preserve"&gt;   +--&amp;gt; Weekly Excel export composes data with ExcelJS&lt;/w:t&gt;&lt;/w:r&gt;&lt;/w:p&gt;&lt;w:p&gt;&lt;w:pPr&gt;&lt;w:pStyle w:val="CodeBlock"/&gt;&lt;/w:pPr&gt;&lt;w:r&gt;&lt;w:t xml:space="preserve"&gt;   +--&amp;gt; AI Support route optionally calls Groq when configured&lt;/w:t&gt;&lt;/w:r&gt;&lt;/w:p&gt;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 The former floating calculator widget and the cloned per-table top scrollbar have both been removed; scrollbars are styled once in globals.css and tabbed pages share components/ui/tabs-nav.tsx.</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 lib/prisma.ts exports a lazy proxy so a build needs no database credentials.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2: Entity Relationship Overview&lt;/w:t&gt;&lt;/w:r&gt;&lt;/w:p&gt;&lt;w:p&gt;&lt;w:pPr&gt;&lt;w:pStyle w:val="CodeBlock"/&gt;&lt;/w:pPr&gt;&lt;w:r&gt;&lt;w:t xml:space="preserve"&gt;Staff 1 ───&amp;lt; Customer 1 ───&amp;lt; CustomerAccount &amp;gt;─── 1 Product&lt;/w:t&gt;&lt;/w:r&gt;&lt;/w:p&gt;&lt;w:p&gt;&lt;w:pPr&gt;&lt;w:pStyle w:val="CodeBlock"/&gt;&lt;/w:pPr&gt;&lt;w:r&gt;&lt;w:t xml:space="preserve"&gt;                              |&lt;/w:t&gt;&lt;/w:r&gt;&lt;/w:p&gt;&lt;w:p&gt;&lt;w:pPr&gt;&lt;w:pStyle w:val="CodeBlock"/&gt;&lt;/w:pPr&gt;&lt;w:r&gt;&lt;w:t xml:space="preserve"&gt;                              +──&amp;lt; Payment&lt;/w:t&gt;&lt;/w:r&gt;&lt;/w:p&gt;&lt;w:p&gt;&lt;w:pPr&gt;&lt;w:pStyle w:val="CodeBlock"/&gt;&lt;/w:pPr&gt;&lt;w:r&gt;&lt;w:t xml:space="preserve"&gt;                              |&lt;/w:t&gt;&lt;/w:r&gt;&lt;/w:p&gt;&lt;w:p&gt;&lt;w:pPr&gt;&lt;w:pStyle w:val="CodeBlock"/&gt;&lt;/w:pPr&gt;&lt;w:r&gt;&lt;w:t xml:space="preserve"&gt;                              +──&amp;lt; CustomerCredit&lt;/w:t&gt;&lt;/w:r&gt;&lt;/w:p&gt;&lt;w:p&gt;&lt;w:pPr&gt;&lt;w:pStyle w:val="CodeBlock"/&gt;&lt;/w:pPr&gt;&lt;w:r&gt;&lt;w:t xml:space="preserve"&gt;&lt;/w:t&gt;&lt;/w:r&gt;&lt;/w:p&gt;&lt;w:p&gt;&lt;w:pPr&gt;&lt;w:pStyle w:val="CodeBlock"/&gt;&lt;/w:pPr&gt;&lt;w:r&gt;&lt;w:t xml:space="preserve"&gt;Staff 1 ─── 0..1 User&lt;/w:t&gt;&lt;/w:r&gt;&lt;/w:p&gt;&lt;w:p&gt;&lt;w:pPr&gt;&lt;w:pStyle w:val="CodeBlock"/&gt;&lt;/w:pPr&gt;&lt;w:r&gt;&lt;w:t xml:space="preserve"&gt;Staff 1 ───&amp;lt; StaffSalaryPayment&lt;/w:t&gt;&lt;/w:r&gt;&lt;/w:p&gt;&lt;w:p&gt;&lt;w:pPr&gt;&lt;w:pStyle w:val="CodeBlock"/&gt;&lt;/w:pPr&gt;&lt;w:r&gt;&lt;w:t xml:space="preserve"&gt;Customer 1 ───&amp;lt; CustomerCredit&lt;/w:t&gt;&lt;/w:r&gt;&lt;/w:p&gt;&lt;w:p&gt;&lt;w:pPr&gt;&lt;w:pStyle w:val="CodeBlock"/&gt;&lt;/w:pPr&gt;&lt;w:r&gt;&lt;w:t xml:space="preserve"&gt;User / system actions ───&amp;lt; AuditLog&lt;/w:t&gt;&lt;/w:r&gt;&lt;/w:p&gt;&lt;w:p&gt;&lt;w:pPr&gt;&lt;w:pStyle w:val="CodeBlock"/&gt;&lt;/w:pPr&gt;&lt;w:r&gt;&lt;w:t xml:space="preserve"&gt;Setting stores singleton-like business configuration&lt;/w:t&gt;&lt;/w:r&gt;&lt;/w:p&gt;&lt;w:p&gt;&lt;w:pPr&gt;&lt;w:pStyle w:val="CodeBlock"/&gt;&lt;/w:pPr&gt;&lt;w:r&gt;&lt;w:t xml:space="preserve"&gt;StaffApplication stores pending signup requests before staff/user creation&lt;/w:t&gt;&lt;/w:r&gt;&lt;/w:p&gt;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quantityOnSale, active</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 deliveredWithBalance, balanceAtDelivery, deliveryNote, procuredAt, procuredBy</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 Delivering before a plan is fully paid additionally requires an admin role.</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access, the procurement module, and confirming procured quantities.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3: Authentication and Authorization Flow&lt;/w:t&gt;&lt;/w:r&gt;&lt;/w:p&gt;&lt;w:p&gt;&lt;w:pPr&gt;&lt;w:pStyle w:val="CodeBlock"/&gt;&lt;/w:pPr&gt;&lt;w:r&gt;&lt;w:t xml:space="preserve"&gt;Login&lt;/w:t&gt;&lt;/w:r&gt;&lt;/w:p&gt;&lt;w:p&gt;&lt;w:pPr&gt;&lt;w:pStyle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credentials provider validates user&lt;/w:t&gt;&lt;/w:r&gt;&lt;/w:p&gt;&lt;w:p&gt;&lt;w:pPr&gt;&lt;w:pStyle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xml:space="preserve"&gt;JWT callback stores id, role, permissions, staffId, mustChangePassword&lt;/w:t&gt;&lt;/w:r&gt;&lt;/w:p&gt;&lt;w:p&gt;&lt;w:pPr&gt;&lt;w:pStyle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xml:space="preserve"&gt;Authorized callback checks route&lt;/w:t&gt;&lt;/w:r&gt;&lt;/w:p&gt;&lt;w:p&gt;&lt;w:pPr&gt;&lt;w:pStyle w:val="CodeBlock"/&gt;&lt;/w:pPr&gt;&lt;w:r&gt;&lt;w:t xml:space="preserve"&gt;  |&lt;/w:t&gt;&lt;/w:r&gt;&lt;/w:p&gt;&lt;w:p&gt;&lt;w:pPr&gt;&lt;w:pStyle w:val="CodeBlock"/&gt;&lt;/w:pPr&gt;&lt;w:r&gt;&lt;w:t xml:space="preserve"&gt;  +--&amp;gt; no session: redirect to /login&lt;/w:t&gt;&lt;/w:r&gt;&lt;/w:p&gt;&lt;w:p&gt;&lt;w:pPr&gt;&lt;w:pStyle w:val="CodeBlock"/&gt;&lt;/w:pPr&gt;&lt;w:r&gt;&lt;w:t xml:space="preserve"&gt;  +--&amp;gt; must change password: redirect to /change-password&lt;/w:t&gt;&lt;/w:r&gt;&lt;/w:p&gt;&lt;w:p&gt;&lt;w:pPr&gt;&lt;w:pStyle w:val="CodeBlock"/&gt;&lt;/w:pPr&gt;&lt;w:r&gt;&lt;w:t xml:space="preserve"&gt;  +--&amp;gt; staff without permission: redirect to /dashboard&lt;/w:t&gt;&lt;/w:r&gt;&lt;/w:p&gt;&lt;w:p&gt;&lt;w:pPr&gt;&lt;w:pStyle w:val="CodeBlock"/&gt;&lt;/w:pPr&gt;&lt;w:r&gt;&lt;w:t xml:space="preserve"&gt;  +--&amp;gt; allowed: render protected route&lt;/w:t&gt;&lt;/w:r&gt;&lt;/w:p&gt;</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business KPIs plus a weekly collections trend chart, an account status breakdown chart, and week-over-week up/down badges on KPI cards backed by createdAt/paymentDate history (lib/reports.ts getAdminDashboardTrend); staff see assigned operational metrics plus their own scoped weekly collections trend and today/this-week deltas (getStaffDashboardTrend). Cards with a real previous-period value render as an animated semicircular meter (components/reports/meter-gauge.tsx) whose progress arc sweeps from last week's position to this week's on load.</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and collection trends.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automatic terms, status, balance, delivery, corrections, lifecycle-gated cancellation/reactivation documents, and payment entry.</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customer receipt communication,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quantity on sale,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 and /products/procurement/[productId]</w:t>
            </w:r>
          </w:p>
        </w:tc>
        <w:tc>
          <w:tcPr>
            <w:tcW w:w="5060" w:type="dxa"/>
            <w:vAlign w:val="top"/>
            <w:tcMar>
              <w:top w:w="80" w:type="dxa"/>
              <w:left w:w="120" w:type="dxa"/>
              <w:bottom w:w="80" w:type="dxa"/>
              <w:right w:w="120" w:type="dxa"/>
            </w:tcMar>
          </w:tcPr>
          <w:p>
            <w:pPr>
              <w:pStyle w:val="TableText"/>
            </w:pPr>
            <w:r>
              <w:t xml:space="preserve">Buying list for products with accounts at least 70% paid and still pending delivery, with per-quantity procurement confirmation and an undo path.</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/settings?tab=..., /settings/legal, /settings/sms</w:t>
            </w:r>
          </w:p>
        </w:tc>
        <w:tc>
          <w:tcPr>
            <w:tcW w:w="5060" w:type="dxa"/>
            <w:vAlign w:val="top"/>
            <w:tcMar>
              <w:top w:w="80" w:type="dxa"/>
              <w:left w:w="120" w:type="dxa"/>
              <w:bottom w:w="80" w:type="dxa"/>
              <w:right w:w="120" w:type="dxa"/>
            </w:tcMar>
          </w:tcPr>
          <w:p>
            <w:pPr>
              <w:pStyle w:val="TableText"/>
            </w:pPr>
            <w:r>
              <w:t xml:space="preserve">Super Admin control panel organised as tabs (Company, Business Rules, Payroll, Notifications, Security, Appearance, Product Categories, Data and System). Each tab saves only its own fields.</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lib/ai-support.ts, components/ai-support-chat.tsx</w:t>
            </w:r>
          </w:p>
        </w:tc>
        <w:tc>
          <w:tcPr>
            <w:tcW w:w="5060" w:type="dxa"/>
            <w:vAlign w:val="top"/>
            <w:tcMar>
              <w:top w:w="80" w:type="dxa"/>
              <w:left w:w="120" w:type="dxa"/>
              <w:bottom w:w="80" w:type="dxa"/>
              <w:right w:w="120" w:type="dxa"/>
            </w:tcMar>
          </w:tcPr>
          <w:p>
            <w:pPr>
              <w:pStyle w:val="TableText"/>
            </w:pPr>
            <w:r>
              <w:t xml:space="preserve">Admin-only Groq-backed support assistant for GLV workflows, with model fallback when a hosted model is retired.</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4: Customer Account Lifecycle&lt;/w:t&gt;&lt;/w:r&gt;&lt;/w:p&gt;&lt;w:p&gt;&lt;w:pPr&gt;&lt;w:pStyle w:val="CodeBlock"/&gt;&lt;/w:pPr&gt;&lt;w:r&gt;&lt;w:t xml:space="preserve"&gt;Create customer&lt;/w:t&gt;&lt;/w:r&gt;&lt;/w:p&gt;&lt;w:p&gt;&lt;w:pPr&gt;&lt;w:pStyle w:val="CodeBlock"/&gt;&lt;/w:pPr&gt;&lt;w:r&gt;&lt;w:t xml:space="preserve"&gt;  |&lt;/w:t&gt;&lt;/w:r&gt;&lt;/w:p&gt;&lt;w:p&gt;&lt;w:pPr&gt;&lt;w:pStyle w:val="CodeBlock"/&gt;&lt;/w:pPr&gt;&lt;w:r&gt;&lt;w:t xml:space="preserve"&gt;  +--&amp;gt; assign staff and generate customer ID&lt;/w:t&gt;&lt;/w:r&gt;&lt;/w:p&gt;&lt;w:p&gt;&lt;w:pPr&gt;&lt;w:pStyle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xml:space="preserve"&gt;Create product account&lt;/w:t&gt;&lt;/w:r&gt;&lt;/w:p&gt;&lt;w:p&gt;&lt;w:pPr&gt;&lt;w:pStyle w:val="CodeBlock"/&gt;&lt;/w:pPr&gt;&lt;w:r&gt;&lt;w:t xml:space="preserve"&gt;  |&lt;/w:t&gt;&lt;/w:r&gt;&lt;/w:p&gt;&lt;w:p&gt;&lt;w:pPr&gt;&lt;w:pStyle w:val="CodeBlock"/&gt;&lt;/w:pPr&gt;&lt;w:r&gt;&lt;w:t xml:space="preserve"&gt;  +--&amp;gt; product sets target amount, daily amount, duration, expected end date&lt;/w:t&gt;&lt;/w:r&gt;&lt;/w:p&gt;&lt;w:p&gt;&lt;w:pPr&gt;&lt;w:pStyle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xml:space="preserve"&gt;Record installment payment&lt;/w:t&gt;&lt;/w:r&gt;&lt;/w:p&gt;&lt;w:p&gt;&lt;w:pPr&gt;&lt;w:pStyle w:val="CodeBlock"/&gt;&lt;/w:pPr&gt;&lt;w:r&gt;&lt;w:t xml:space="preserve"&gt;  |&lt;/w:t&gt;&lt;/w:r&gt;&lt;/w:p&gt;&lt;w:p&gt;&lt;w:pPr&gt;&lt;w:pStyle w:val="CodeBlock"/&gt;&lt;/w:pPr&gt;&lt;w:r&gt;&lt;w:t xml:space="preserve"&gt;  +--&amp;gt; generate receipt&lt;/w:t&gt;&lt;/w:r&gt;&lt;/w:p&gt;&lt;w:p&gt;&lt;w:pPr&gt;&lt;w:pStyle w:val="CodeBlock"/&gt;&lt;/w:pPr&gt;&lt;w:r&gt;&lt;w:t xml:space="preserve"&gt;  +--&amp;gt; increase totalPaid&lt;/w:t&gt;&lt;/w:r&gt;&lt;/w:p&gt;&lt;w:p&gt;&lt;w:pPr&gt;&lt;w:pStyle w:val="CodeBlock"/&gt;&lt;/w:pPr&gt;&lt;w:r&gt;&lt;w:t xml:space="preserve"&gt;  +--&amp;gt; reduce balance&lt;/w:t&gt;&lt;/w:r&gt;&lt;/w:p&gt;&lt;w:p&gt;&lt;w:pPr&gt;&lt;w:pStyle w:val="CodeBlock"/&gt;&lt;/w:pPr&gt;&lt;w:r&gt;&lt;w:t xml:space="preserve"&gt;  +--&amp;gt; complete account when balance reaches zero&lt;/w:t&gt;&lt;/w:r&gt;&lt;/w:p&gt;&lt;w:p&gt;&lt;w:pPr&gt;&lt;w:pStyle w:val="CodeBlock"/&gt;&lt;/w:pPr&gt;&lt;w:r&gt;&lt;w:t xml:space="preserve"&gt;  +--&amp;gt; create CustomerCredit for overpayment&lt;/w:t&gt;&lt;/w:r&gt;&lt;/w:p&gt;&lt;w:p&gt;&lt;w:pPr&gt;&lt;w:pStyle w:val="CodeBlock"/&gt;&lt;/w:pPr&gt;&lt;w:r&gt;&lt;w:t xml:space="preserve"&gt;  +--&amp;gt; write AuditLog&lt;/w:t&gt;&lt;/w:r&gt;&lt;/w:p&gt;&lt;w:p&gt;&lt;w:pPr&gt;&lt;w:pStyle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delivery&lt;/w:t&gt;&lt;/w:r&gt;&lt;/w:p&gt;&lt;w:p&gt;&lt;w:pPr&gt;&lt;w:pStyle w:val="CodeBlock"/&gt;&lt;/w:pPr&gt;&lt;w:r&gt;&lt;w:t xml:space="preserve"&gt;  |&lt;/w:t&gt;&lt;/w:r&gt;&lt;/w:p&gt;&lt;w:p&gt;&lt;w:pPr&gt;&lt;w:pStyle w:val="CodeBlock"/&gt;&lt;/w:pPr&gt;&lt;w:r&gt;&lt;w:t xml:space="preserve"&gt;  +--&amp;gt; fully paid account: any account manager may confirm&lt;/w:t&gt;&lt;/w:r&gt;&lt;/w:p&gt;&lt;w:p&gt;&lt;w:pPr&gt;&lt;w:pStyle w:val="CodeBlock"/&gt;&lt;/w:pPr&gt;&lt;w:r&gt;&lt;w:t xml:space="preserve"&gt;  +--&amp;gt; balance still owing: admin only, reason required,&lt;/w:t&gt;&lt;/w:r&gt;&lt;/w:p&gt;&lt;w:p&gt;&lt;w:pPr&gt;&lt;w:pStyle w:val="CodeBlock"/&gt;&lt;/w:pPr&gt;&lt;w:r&gt;&lt;w:t xml:space="preserve"&gt;  |      balanceAtDelivery recorded, account stays open and collectible&lt;/w:t&gt;&lt;/w:r&gt;&lt;/w:p&gt;&lt;w:p&gt;&lt;w:pPr&gt;&lt;w:pStyle w:val="CodeBlock"/&gt;&lt;/w:pPr&gt;&lt;w:r&gt;&lt;w:t xml:space="preserve"&gt;  |&lt;/w:t&gt;&lt;/w:r&gt;&lt;/w:p&gt;&lt;w:p&gt;&lt;w:pPr&gt;&lt;w:pStyle w:val="CodeBlock"/&gt;&lt;/w:pPr&gt;&lt;w:r&gt;&lt;w:t xml:space="preserve"&gt;  +--&amp;gt; deliveryStatus becomes DELIVERED&lt;/w:t&gt;&lt;/w:r&gt;&lt;/w:p&gt;&lt;w:p&gt;&lt;w:pPr&gt;&lt;w:pStyle w:val="CodeBlock"/&gt;&lt;/w:pPr&gt;&lt;w:r&gt;&lt;w:t xml:space="preserve"&gt;  +--&amp;gt; account leaves the procurement list&lt;/w:t&gt;&lt;/w:r&gt;&lt;/w:p&gt;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Automatic terms</w:t>
            </w:r>
          </w:p>
        </w:tc>
        <w:tc>
          <w:tcPr>
            <w:tcW w:w="3100" w:type="dxa"/>
            <w:vAlign w:val="top"/>
            <w:tcMar>
              <w:top w:w="80" w:type="dxa"/>
              <w:left w:w="120" w:type="dxa"/>
              <w:bottom w:w="80" w:type="dxa"/>
              <w:right w:w="120" w:type="dxa"/>
            </w:tcMar>
          </w:tcPr>
          <w:p>
            <w:pPr>
              <w:pStyle w:val="TableText"/>
            </w:pPr>
            <w:r>
              <w:t xml:space="preserve">lib/customer-documents.ts, lib/customer-communications.ts</w:t>
            </w:r>
          </w:p>
        </w:tc>
        <w:tc>
          <w:tcPr>
            <w:tcW w:w="4060" w:type="dxa"/>
            <w:vAlign w:val="top"/>
            <w:tcMar>
              <w:top w:w="80" w:type="dxa"/>
              <w:left w:w="120" w:type="dxa"/>
              <w:bottom w:w="80" w:type="dxa"/>
              <w:right w:w="120" w:type="dxa"/>
            </w:tcMar>
          </w:tcPr>
          <w:p>
            <w:pPr>
              <w:pStyle w:val="TableText"/>
            </w:pPr>
            <w:r>
              <w:t xml:space="preserve">Creates addressed terms after account creation and queues one customer channel when contact details exist.</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receipt, updates balance/status, creates overpayment credit, and queues one receipt channel.</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Fully paid accounts are confirmed by any account manager. Delivering with a balance owing requires an admin role, an explicit opt-in, and a stored reason; it records balanceAtDelivery and leaves the account open. Revalidates account/customer/product screens.</w:t>
            </w:r>
          </w:p>
        </w:tc>
      </w:tr>
    </w:tbl>
    <w:p>
      <w:pPr>
        <w:pStyle w:val="Tiny"/>
      </w:pPr>
      <w:r>
        <w:t xml:space="preserve"/>
      </w:r>
    </w:p>
    <w:p>
      <w:pPr>
        <w:pStyle w:val="Heading1"/>
        <w:keepNext/>
      </w:pPr>
      <w:r>
        <w:t xml:space="preserve">7. Product and Procurement Module</w:t>
      </w:r>
    </w:p>
    <w:p>
      <w:pPr>
        <w:pStyle w:val="Normal"/>
      </w:pPr>
      <w:r>
        <w:t xml:space="preserve">The procurement list is a computed view, not a separate table. It groups pending-delivery customer accounts by product when their payment progress reaches the effective procurement threshold. The current rule is at least 70% paid, including fully paid accounts that are not yet delivered. An account stops contributing to procurement quantity once procurement is confirmed for it, or once delivery is confirmed.</w:t>
      </w:r>
    </w:p>
    <w:p>
      <w:pPr>
        <w:pStyle w:val="Normal"/>
      </w:pPr>
      <w:r>
        <w:t xml:space="preserve">Procurement confirmation records what was actually bought. An operator enters a quantity on the procurement tab or the product procurement page, and that many units are consumed from the queue, starting with the customers closest to finishing their plan. Confirmation is stored per account as procuredAt and procuredBy, so a partial purchase reduces the outstanding count by exactly the quantity entered and leaves the remainder on the list. Because procuredAt is part of the shared procurement query, the products tab, the sidebar attention badge, the procurement Excel export, the weekly report sheet and the reports module all reduce together. Confirming requires MANAGE_PRODUCTS, is audit logged with the requested and confirmed quantities, and is guarded so two operators cannot consume the same unit twice. Confirmed units appear under Bought, awaiting delivery on the product procurement page, where a mistaken confirmation can be undone.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5: Procurement Readiness Flow&lt;/w:t&gt;&lt;/w:r&gt;&lt;/w:p&gt;&lt;w:p&gt;&lt;w:pPr&gt;&lt;w:pStyle w:val="CodeBlock"/&gt;&lt;/w:pPr&gt;&lt;w:r&gt;&lt;w:t xml:space="preserve"&gt;CustomerAccount&lt;/w:t&gt;&lt;/w:r&gt;&lt;/w:p&gt;&lt;w:p&gt;&lt;w:pPr&gt;&lt;w:pStyle w:val="CodeBlock"/&gt;&lt;/w:pPr&gt;&lt;w:r&gt;&lt;w:t xml:space="preserve"&gt;  |&lt;/w:t&gt;&lt;/w:r&gt;&lt;/w:p&gt;&lt;w:p&gt;&lt;w:pPr&gt;&lt;w:pStyle w:val="CodeBlock"/&gt;&lt;/w:pPr&gt;&lt;w:r&gt;&lt;w:t xml:space="preserve"&gt;  +--&amp;gt; status in ACTIVE / COMPLETED / OVERDUE / DORMANT / PROBATION&lt;/w:t&gt;&lt;/w:r&gt;&lt;/w:p&gt;&lt;w:p&gt;&lt;w:pPr&gt;&lt;w:pStyle w:val="CodeBlock"/&gt;&lt;/w:pPr&gt;&lt;w:r&gt;&lt;w:t xml:space="preserve"&gt;  +--&amp;gt; deliveryStatus is PENDING&lt;/w:t&gt;&lt;/w:r&gt;&lt;/w:p&gt;&lt;w:p&gt;&lt;w:pPr&gt;&lt;w:pStyle w:val="CodeBlock"/&gt;&lt;/w:pPr&gt;&lt;w:r&gt;&lt;w:t xml:space="preserve"&gt;  +--&amp;gt; procuredAt is null&lt;/w:t&gt;&lt;/w:r&gt;&lt;/w:p&gt;&lt;w:p&gt;&lt;w:pPr&gt;&lt;w:pStyle w:val="CodeBlock"/&gt;&lt;/w:pPr&gt;&lt;w:r&gt;&lt;w:t xml:space="preserve"&gt;  +--&amp;gt; totalPaid / targetAmount &amp;gt;= 70%&lt;/w:t&gt;&lt;/w:r&gt;&lt;/w:p&gt;&lt;w:p&gt;&lt;w:pPr&gt;&lt;w:pStyle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xml:space="preserve"&gt;Group by Product&lt;/w:t&gt;&lt;/w:r&gt;&lt;/w:p&gt;&lt;w:p&gt;&lt;w:pPr&gt;&lt;w:pStyle w:val="CodeBlock"/&gt;&lt;/w:pPr&gt;&lt;w:r&gt;&lt;w:t xml:space="preserve"&gt;  |&lt;/w:t&gt;&lt;/w:r&gt;&lt;/w:p&gt;&lt;w:p&gt;&lt;w:pPr&gt;&lt;w:pStyle w:val="CodeBlock"/&gt;&lt;/w:pPr&gt;&lt;w:r&gt;&lt;w:t xml:space="preserve"&gt;  +--&amp;gt; quantity = eligible accounts count&lt;/w:t&gt;&lt;/w:r&gt;&lt;/w:p&gt;&lt;w:p&gt;&lt;w:pPr&gt;&lt;w:pStyle w:val="CodeBlock"/&gt;&lt;/w:pPr&gt;&lt;w:r&gt;&lt;w:t xml:space="preserve"&gt;  +--&amp;gt; totalCost = quantity * (costPrice + transportCost)&lt;/w:t&gt;&lt;/w:r&gt;&lt;/w:p&gt;&lt;w:p&gt;&lt;w:pPr&gt;&lt;w:pStyle w:val="CodeBlock"/&gt;&lt;/w:pPr&gt;&lt;w:r&gt;&lt;w:t xml:space="preserve"&gt;  +--&amp;gt; averageProgress and highestProgress displayed&lt;/w:t&gt;&lt;/w:r&gt;&lt;/w:p&gt;&lt;w:p&gt;&lt;w:pPr&gt;&lt;w:pStyle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xml:space="preserve"&gt;Products procurement tab + sidebar notification + weekly report sheet&lt;/w:t&gt;&lt;/w:r&gt;&lt;/w:p&gt;&lt;w:p&gt;&lt;w:pPr&gt;&lt;w:pStyle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procured quantity&lt;/w:t&gt;&lt;/w:r&gt;&lt;/w:p&gt;&lt;w:p&gt;&lt;w:pPr&gt;&lt;w:pStyle w:val="CodeBlock"/&gt;&lt;/w:pPr&gt;&lt;w:r&gt;&lt;w:t xml:space="preserve"&gt;  |&lt;/w:t&gt;&lt;/w:r&gt;&lt;/w:p&gt;&lt;w:p&gt;&lt;w:pPr&gt;&lt;w:pStyle w:val="CodeBlock"/&gt;&lt;/w:pPr&gt;&lt;w:r&gt;&lt;w:t xml:space="preserve"&gt;  +--&amp;gt; consumes that many units, highest paid % first&lt;/w:t&gt;&lt;/w:r&gt;&lt;/w:p&gt;&lt;w:p&gt;&lt;w:pPr&gt;&lt;w:pStyle w:val="CodeBlock"/&gt;&lt;/w:pPr&gt;&lt;w:r&gt;&lt;w:t xml:space="preserve"&gt;  +--&amp;gt; sets procuredAt / procuredBy on those accounts&lt;/w:t&gt;&lt;/w:r&gt;&lt;/w:p&gt;&lt;w:p&gt;&lt;w:pPr&gt;&lt;w:pStyle w:val="CodeBlock"/&gt;&lt;/w:pPr&gt;&lt;w:r&gt;&lt;w:t xml:space="preserve"&gt;  +--&amp;gt; reduces the buying list by exactly that quantity&lt;/w:t&gt;&lt;/w:r&gt;&lt;/w:p&gt;&lt;w:p&gt;&lt;w:pPr&gt;&lt;w:pStyle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xml:space="preserve"&gt;Bought, awaiting delivery&lt;/w:t&gt;&lt;/w:r&gt;&lt;/w:p&gt;&lt;w:p&gt;&lt;w:pPr&gt;&lt;w:pStyle w:val="CodeBlock"/&gt;&lt;/w:pPr&gt;&lt;w:r&gt;&lt;w:t xml:space="preserve"&gt;  |&lt;/w:t&gt;&lt;/w:r&gt;&lt;/w:p&gt;&lt;w:p&gt;&lt;w:pPr&gt;&lt;w:pStyle w:val="CodeBlock"/&gt;&lt;/w:pPr&gt;&lt;w:r&gt;&lt;w:t xml:space="preserve"&gt;  +--&amp;gt; Undo returns the unit to the buying list&lt;/w:t&gt;&lt;/w:r&gt;&lt;/w:p&gt;&lt;w:p&gt;&lt;w:pPr&gt;&lt;w:pStyle w:val="CodeBlock"/&gt;&lt;/w:pPr&gt;&lt;w:r&gt;&lt;w:t xml:space="preserve"&gt;  +--&amp;gt; Confirm delivery on the account completes the handover&lt;/w:t&gt;&lt;/w:r&gt;&lt;/w:p&gt;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 groups with at least one eligible pending-delivery account.</w:t>
            </w:r>
          </w:p>
        </w:tc>
      </w:tr>
      <w:tr>
        <w:tc>
          <w:tcPr>
            <w:tcW w:w="2300" w:type="dxa"/>
            <w:vAlign w:val="top"/>
            <w:tcMar>
              <w:top w:w="80" w:type="dxa"/>
              <w:left w:w="120" w:type="dxa"/>
              <w:bottom w:w="80" w:type="dxa"/>
              <w:right w:w="120" w:type="dxa"/>
            </w:tcMar>
          </w:tcPr>
          <w:p>
            <w:pPr>
              <w:pStyle w:val="TableText"/>
            </w:pPr>
            <w:r>
              <w:t xml:space="preserve">Total units</w:t>
            </w:r>
          </w:p>
        </w:tc>
        <w:tc>
          <w:tcPr>
            <w:tcW w:w="7060" w:type="dxa"/>
            <w:vAlign w:val="top"/>
            <w:tcMar>
              <w:top w:w="80" w:type="dxa"/>
              <w:left w:w="120" w:type="dxa"/>
              <w:bottom w:w="80" w:type="dxa"/>
              <w:right w:w="120" w:type="dxa"/>
            </w:tcMar>
          </w:tcPr>
          <w:p>
            <w:pPr>
              <w:pStyle w:val="TableText"/>
            </w:pPr>
            <w:r>
              <w:t xml:space="preserve">Total eligible pending-delivery accounts across all products.</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all units to buy.</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Confirm procured</w:t>
            </w:r>
          </w:p>
        </w:tc>
        <w:tc>
          <w:tcPr>
            <w:tcW w:w="7060" w:type="dxa"/>
            <w:vAlign w:val="top"/>
            <w:tcMar>
              <w:top w:w="80" w:type="dxa"/>
              <w:left w:w="120" w:type="dxa"/>
              <w:bottom w:w="80" w:type="dxa"/>
              <w:right w:w="120" w:type="dxa"/>
            </w:tcMar>
          </w:tcPr>
          <w:p>
            <w:pPr>
              <w:pStyle w:val="TableText"/>
            </w:pPr>
            <w:r>
              <w:t xml:space="preserve">Operator enters the quantity actually bought. Units are consumed highest paid % first and leave the list immediately.</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An account leaves procurement when procuredAt is set, or when delivery confirmation changes deliveryStatus to DELIVERED.</w:t>
            </w:r>
          </w:p>
        </w:tc>
      </w:tr>
      <w:tr>
        <w:tc>
          <w:tcPr>
            <w:tcW w:w="2300" w:type="dxa"/>
            <w:vAlign w:val="top"/>
            <w:tcMar>
              <w:top w:w="80" w:type="dxa"/>
              <w:left w:w="120" w:type="dxa"/>
              <w:bottom w:w="80" w:type="dxa"/>
              <w:right w:w="120" w:type="dxa"/>
            </w:tcMar>
          </w:tcPr>
          <w:p>
            <w:pPr>
              <w:pStyle w:val="TableText"/>
            </w:pPr>
            <w:r>
              <w:t xml:space="preserve">Undo</w:t>
            </w:r>
          </w:p>
        </w:tc>
        <w:tc>
          <w:tcPr>
            <w:tcW w:w="7060" w:type="dxa"/>
            <w:vAlign w:val="top"/>
            <w:tcMar>
              <w:top w:w="80" w:type="dxa"/>
              <w:left w:w="120" w:type="dxa"/>
              <w:bottom w:w="80" w:type="dxa"/>
              <w:right w:w="120" w:type="dxa"/>
            </w:tcMar>
          </w:tcPr>
          <w:p>
            <w:pPr>
              <w:pStyle w:val="TableText"/>
            </w:pPr>
            <w:r>
              <w:t xml:space="preserve">Clears procuredAt/procuredBy and returns the unit to the buying list, for confirmations entered in error.</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6: Staff Application and Management Flow&lt;/w:t&gt;&lt;/w:r&gt;&lt;/w:p&gt;&lt;w:p&gt;&lt;w:pPr&gt;&lt;w:pStyle w:val="CodeBlock"/&gt;&lt;/w:pPr&gt;&lt;w:r&gt;&lt;w:t xml:space="preserve"&gt;Public signup&lt;/w:t&gt;&lt;/w:r&gt;&lt;/w:p&gt;&lt;w:p&gt;&lt;w:pPr&gt;&lt;w:pStyle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xml:space="preserve"&gt;StaffApplication PENDING&lt;/w:t&gt;&lt;/w:r&gt;&lt;/w:p&gt;&lt;w:p&gt;&lt;w:pPr&gt;&lt;w:pStyle w:val="CodeBlock"/&gt;&lt;/w:pPr&gt;&lt;w:r&gt;&lt;w:t xml:space="preserve"&gt;  |&lt;/w:t&gt;&lt;/w:r&gt;&lt;/w:p&gt;&lt;w:p&gt;&lt;w:pPr&gt;&lt;w:pStyle w:val="CodeBlock"/&gt;&lt;/w:pPr&gt;&lt;w:r&gt;&lt;w:t xml:space="preserve"&gt;  +--&amp;gt; Admin approves: create Staff + optional User + audit log&lt;/w:t&gt;&lt;/w:r&gt;&lt;/w:p&gt;&lt;w:p&gt;&lt;w:pPr&gt;&lt;w:pStyle w:val="CodeBlock"/&gt;&lt;/w:pPr&gt;&lt;w:r&gt;&lt;w:t xml:space="preserve"&gt;  |&lt;/w:t&gt;&lt;/w:r&gt;&lt;/w:p&gt;&lt;w:p&gt;&lt;w:pPr&gt;&lt;w:pStyle w:val="CodeBlock"/&gt;&lt;/w:pPr&gt;&lt;w:r&gt;&lt;w:t xml:space="preserve"&gt;  +--&amp;gt; Admin rejects: mark REJECTED + audit 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 profile&lt;/w:t&gt;&lt;/w:r&gt;&lt;/w:p&gt;&lt;w:p&gt;&lt;w:pPr&gt;&lt;w:pStyle w:val="CodeBlock"/&gt;&lt;/w:pPr&gt;&lt;w:r&gt;&lt;w:t xml:space="preserve"&gt;  |&lt;/w:t&gt;&lt;/w:r&gt;&lt;/w:p&gt;&lt;w:p&gt;&lt;w:pPr&gt;&lt;w:pStyle w:val="CodeBlock"/&gt;&lt;/w:pPr&gt;&lt;w:r&gt;&lt;w:t xml:space="preserve"&gt;  +--&amp;gt; assigned customers/accounts/payments&lt;/w:t&gt;&lt;/w:r&gt;&lt;/w:p&gt;&lt;w:p&gt;&lt;w:pPr&gt;&lt;w:pStyle w:val="CodeBlock"/&gt;&lt;/w:pPr&gt;&lt;w:r&gt;&lt;w:t xml:space="preserve"&gt;  +--&amp;gt; monthly salary and salary payments&lt;/w:t&gt;&lt;/w:r&gt;&lt;/w:p&gt;&lt;w:p&gt;&lt;w:pPr&gt;&lt;w:pStyle w:val="CodeBlock"/&gt;&lt;/w:pPr&gt;&lt;w:r&gt;&lt;w:t xml:space="preserve"&gt;  +--&amp;gt; password reset and permission edits&lt;/w:t&gt;&lt;/w:r&gt;&lt;/w:p&gt;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32% service fee is deducted and remaining amount becomes an open credit.</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bl>
    <w:p>
      <w:pPr>
        <w:pStyle w:val="Tiny"/>
      </w:pPr>
      <w:r>
        <w:t xml:space="preserve"/>
      </w:r>
    </w:p>
    <w:p>
      <w:pPr>
        <w:pStyle w:val="Heading1"/>
        <w:keepNext/>
      </w:pPr>
      <w:r>
        <w:t xml:space="preserve">10. Reports, Weekly Export, and Activity</w:t>
      </w:r>
    </w:p>
    <w:p>
      <w:pPr>
        <w:pStyle w:val="Normal"/>
      </w:pPr>
      <w:r>
        <w:t xml:space="preserve">Reports combine customer/account/payment/staff/salary data into admin-facing summaries and an Excel workbook. The weekly export refreshes lifecycle statuses first, then builds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7: Reporting and Export Flow&lt;/w:t&gt;&lt;/w:r&gt;&lt;/w:p&gt;&lt;w:p&gt;&lt;w:pPr&gt;&lt;w:pStyle w:val="CodeBlock"/&gt;&lt;/w:pPr&gt;&lt;w:r&gt;&lt;w:t xml:space="preserve"&gt;Report page&lt;/w:t&gt;&lt;/w:r&gt;&lt;/w:p&gt;&lt;w:p&gt;&lt;w:pPr&gt;&lt;w:pStyle w:val="CodeBlock"/&gt;&lt;/w:pPr&gt;&lt;w:r&gt;&lt;w:t xml:space="preserve"&gt;  |&lt;/w:t&gt;&lt;/w:r&gt;&lt;/w:p&gt;&lt;w:p&gt;&lt;w:pPr&gt;&lt;w:pStyle w:val="CodeBlock"/&gt;&lt;/w:pPr&gt;&lt;w:r&gt;&lt;w:t xml:space="preserve"&gt;  +--&amp;gt; getAdminReportSummary()&lt;/w:t&gt;&lt;/w:r&gt;&lt;/w:p&gt;&lt;w:p&gt;&lt;w:pPr&gt;&lt;w:pStyle w:val="CodeBlock"/&gt;&lt;/w:pPr&gt;&lt;w:r&gt;&lt;w:t xml:space="preserve"&gt;  +--&amp;gt; getWeeklyStaffPerformanceReport()&lt;/w:t&gt;&lt;/w:r&gt;&lt;/w:p&gt;&lt;w:p&gt;&lt;w:pPr&gt;&lt;w:pStyle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xml:space="preserve"&gt;Weekly export route&lt;/w:t&gt;&lt;/w:r&gt;&lt;/w:p&gt;&lt;w:p&gt;&lt;w:pPr&gt;&lt;w:pStyle w:val="CodeBlock"/&gt;&lt;/w:pPr&gt;&lt;w:r&gt;&lt;w:t xml:space="preserve"&gt;  |&lt;/w:t&gt;&lt;/w:r&gt;&lt;/w:p&gt;&lt;w:p&gt;&lt;w:pPr&gt;&lt;w:pStyle w:val="CodeBlock"/&gt;&lt;/w:pPr&gt;&lt;w:r&gt;&lt;w:t xml:space="preserve"&gt;  +--&amp;gt; refreshAccountLifecycleStatuses()&lt;/w:t&gt;&lt;/w:r&gt;&lt;/w:p&gt;&lt;w:p&gt;&lt;w:pPr&gt;&lt;w:pStyle w:val="CodeBlock"/&gt;&lt;/w:pPr&gt;&lt;w:r&gt;&lt;w:t xml:space="preserve"&gt;  +--&amp;gt; query staff, customers, accounts, payments, salaries, products&lt;/w:t&gt;&lt;/w:r&gt;&lt;/w:p&gt;&lt;w:p&gt;&lt;w:pPr&gt;&lt;w:pStyle w:val="CodeBlock"/&gt;&lt;/w:pPr&gt;&lt;w:r&gt;&lt;w:t xml:space="preserve"&gt;  +--&amp;gt; getProcurementList()&lt;/w:t&gt;&lt;/w:r&gt;&lt;/w:p&gt;&lt;w:p&gt;&lt;w:pPr&gt;&lt;w:pStyle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xml:space="preserve"&gt;Excel workbook&lt;/w:t&gt;&lt;/w:r&gt;&lt;/w:p&gt;&lt;w:p&gt;&lt;w:pPr&gt;&lt;w:pStyle w:val="CodeBlock"/&gt;&lt;/w:pPr&gt;&lt;w:r&gt;&lt;w:t xml:space="preserve"&gt;  |&lt;/w:t&gt;&lt;/w:r&gt;&lt;/w:p&gt;&lt;w:p&gt;&lt;w:pPr&gt;&lt;w:pStyle w:val="CodeBlock"/&gt;&lt;/w:pPr&gt;&lt;w:r&gt;&lt;w:t xml:space="preserve"&gt;  +--&amp;gt; Executive Summary&lt;/w:t&gt;&lt;/w:r&gt;&lt;/w:p&gt;&lt;w:p&gt;&lt;w:pPr&gt;&lt;w:pStyle w:val="CodeBlock"/&gt;&lt;/w:pPr&gt;&lt;w:r&gt;&lt;w:t xml:space="preserve"&gt;  +--&amp;gt; Staff Performance&lt;/w:t&gt;&lt;/w:r&gt;&lt;/w:p&gt;&lt;w:p&gt;&lt;w:pPr&gt;&lt;w:pStyle w:val="CodeBlock"/&gt;&lt;/w:pPr&gt;&lt;w:r&gt;&lt;w:t xml:space="preserve"&gt;  +--&amp;gt; Customer Accounts&lt;/w:t&gt;&lt;/w:r&gt;&lt;/w:p&gt;&lt;w:p&gt;&lt;w:pPr&gt;&lt;w:pStyle w:val="CodeBlock"/&gt;&lt;/w:pPr&gt;&lt;w:r&gt;&lt;w:t xml:space="preserve"&gt;  +--&amp;gt; Payment History&lt;/w:t&gt;&lt;/w:r&gt;&lt;/w:p&gt;&lt;w:p&gt;&lt;w:pPr&gt;&lt;w:pStyle w:val="CodeBlock"/&gt;&lt;/w:pPr&gt;&lt;w:r&gt;&lt;w:t xml:space="preserve"&gt;  +--&amp;gt; Product Profitability&lt;/w:t&gt;&lt;/w:r&gt;&lt;/w:p&gt;&lt;w:p&gt;&lt;w:pPr&gt;&lt;w:pStyle w:val="CodeBlock"/&gt;&lt;/w:pPr&gt;&lt;w:r&gt;&lt;w:t xml:space="preserve"&gt;  +--&amp;gt; Procurement List&lt;/w:t&gt;&lt;/w:r&gt;&lt;/w:p&gt;&lt;w:p&gt;&lt;w:pPr&gt;&lt;w:pStyle w:val="CodeBlock"/&gt;&lt;/w:pPr&gt;&lt;w:r&gt;&lt;w:t xml:space="preserve"&gt;  +--&amp;gt; Weekly Ledger&lt;/w:t&gt;&lt;/w:r&gt;&lt;/w:p&gt;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Customer Communications, and AI Support</w:t>
      </w:r>
    </w:p>
    <w:p>
      <w:pPr>
        <w:pStyle w:val="Normal"/>
      </w:pPr>
      <w:r>
        <w:t xml:space="preserve">The system has computed in-app attention items for operators and persisted outbound customer messages. Customer documents and receipts queue exactly one enabled channel. Legal/document messages prefer email, then WhatsApp, then SMS; payment receipts prefer WhatsApp, then SMS, then email. With no email or phone, no outbound row is queued and staff use the in-system receipt/tracking record. Delivery preserves the selected channel and retries provider failures.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8: Notification Clear-on-Open Flow&lt;/w:t&gt;&lt;/w:r&gt;&lt;/w:p&gt;&lt;w:p&gt;&lt;w:pPr&gt;&lt;w:pStyle w:val="CodeBlock"/&gt;&lt;/w:pPr&gt;&lt;w:r&gt;&lt;w:t xml:space="preserve"&gt;AppShell loads protected page&lt;/w:t&gt;&lt;/w:r&gt;&lt;/w:p&gt;&lt;w:p&gt;&lt;w:pPr&gt;&lt;w:pStyle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xml:space="preserve"&gt;GET /api/notifications&lt;/w:t&gt;&lt;/w:r&gt;&lt;/w:p&gt;&lt;w:p&gt;&lt;w:pPr&gt;&lt;w:pStyle w:val="CodeBlock"/&gt;&lt;/w:pPr&gt;&lt;w:r&gt;&lt;w:t xml:space="preserve"&gt;  |&lt;/w:t&gt;&lt;/w:r&gt;&lt;/w:p&gt;&lt;w:p&gt;&lt;w:pPr&gt;&lt;w:pStyle w:val="CodeBlock"/&gt;&lt;/w:pPr&gt;&lt;w:r&gt;&lt;w:t xml:space="preserve"&gt;  +--&amp;gt; if user can manage products, compute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xml:space="preserve"&gt;Sidebar badge on Products&lt;/w:t&gt;&lt;/w:r&gt;&lt;/w:p&gt;&lt;w:p&gt;&lt;w:pPr&gt;&lt;w:pStyle w:val="CodeBlock"/&gt;&lt;/w:pPr&gt;&lt;w:r&gt;&lt;w:t xml:space="preserve"&gt;  |&lt;/w:t&gt;&lt;/w:r&gt;&lt;/w:p&gt;&lt;w:p&gt;&lt;w:pPr&gt;&lt;w:pStyle w:val="CodeBlock"/&gt;&lt;/w:pPr&gt;&lt;w:r&gt;&lt;w:t xml:space="preserve"&gt;  +--&amp;gt; click opens /products?tab=procurement&lt;/w:t&gt;&lt;/w:r&gt;&lt;/w:p&gt;&lt;w:p&gt;&lt;w:pPr&gt;&lt;w:pStyle w:val="CodeBlock"/&gt;&lt;/w:pPr&gt;&lt;w:r&gt;&lt;w:t xml:space="preserve"&gt;  +--&amp;gt; store local dismissal signature&lt;/w:t&gt;&lt;/w:r&gt;&lt;/w:p&gt;&lt;w:p&gt;&lt;w:pPr&gt;&lt;w:pStyle w:val="CodeBlock"/&gt;&lt;/w:pPr&gt;&lt;w:r&gt;&lt;w:t xml:space="preserve"&gt;  +--&amp;gt; hide same badge until count/label changes&lt;/w:t&gt;&lt;/w:r&gt;&lt;/w:p&gt;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Groq chat completions only when GROQ_API_KEY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r>
        <w:tc>
          <w:tcPr>
            <w:tcW w:w="2300" w:type="dxa"/>
            <w:vAlign w:val="top"/>
            <w:tcMar>
              <w:top w:w="80" w:type="dxa"/>
              <w:left w:w="120" w:type="dxa"/>
              <w:bottom w:w="80" w:type="dxa"/>
              <w:right w:w="120" w:type="dxa"/>
            </w:tcMar>
          </w:tcPr>
          <w:p>
            <w:pPr>
              <w:pStyle w:val="TableText"/>
            </w:pPr>
            <w:r>
              <w:t xml:space="preserve">Customer message queue</w:t>
            </w:r>
          </w:p>
        </w:tc>
        <w:tc>
          <w:tcPr>
            <w:tcW w:w="7060" w:type="dxa"/>
            <w:vAlign w:val="top"/>
            <w:tcMar>
              <w:top w:w="80" w:type="dxa"/>
              <w:left w:w="120" w:type="dxa"/>
              <w:bottom w:w="80" w:type="dxa"/>
              <w:right w:w="120" w:type="dxa"/>
            </w:tcMar>
          </w:tcPr>
          <w:p>
            <w:pPr>
              <w:pStyle w:val="TableText"/>
            </w:pPr>
            <w:r>
              <w:t xml:space="preserve">CustomerMessage records are created by lib/customer-communications.ts and dispatched by the notifications route or daily cron.</w:t>
            </w:r>
          </w:p>
        </w:tc>
      </w:tr>
      <w:tr>
        <w:tc>
          <w:tcPr>
            <w:tcW w:w="2300" w:type="dxa"/>
            <w:vAlign w:val="top"/>
            <w:tcMar>
              <w:top w:w="80" w:type="dxa"/>
              <w:left w:w="120" w:type="dxa"/>
              <w:bottom w:w="80" w:type="dxa"/>
              <w:right w:w="120" w:type="dxa"/>
            </w:tcMar>
          </w:tcPr>
          <w:p>
            <w:pPr>
              <w:pStyle w:val="TableText"/>
            </w:pPr>
            <w:r>
              <w:t xml:space="preserve">No-contact handling</w:t>
            </w:r>
          </w:p>
        </w:tc>
        <w:tc>
          <w:tcPr>
            <w:tcW w:w="7060" w:type="dxa"/>
            <w:vAlign w:val="top"/>
            <w:tcMar>
              <w:top w:w="80" w:type="dxa"/>
              <w:left w:w="120" w:type="dxa"/>
              <w:bottom w:w="80" w:type="dxa"/>
              <w:right w:w="120" w:type="dxa"/>
            </w:tcMar>
          </w:tcPr>
          <w:p>
            <w:pPr>
              <w:pStyle w:val="TableText"/>
            </w:pPr>
            <w:r>
              <w:t xml:space="preserve">No message is queued; staff explain terms verbally and show the receipt/product tracking information.</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Some settings are actively consumed; others are stored for future or partial wiring, so operators should distinguish saved configuration from behavior that is actually enforced downstream.</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w:t>
            </w:r>
          </w:p>
        </w:tc>
        <w:tc>
          <w:tcPr>
            <w:tcW w:w="4460" w:type="dxa"/>
            <w:vAlign w:val="top"/>
            <w:tcMar>
              <w:top w:w="80" w:type="dxa"/>
              <w:left w:w="120" w:type="dxa"/>
              <w:bottom w:w="80" w:type="dxa"/>
              <w:right w:w="120" w:type="dxa"/>
            </w:tcMar>
          </w:tcPr>
          <w:p>
            <w:pPr>
              <w:pStyle w:val="TableText"/>
            </w:pPr>
            <w:r>
              <w:t xml:space="preserve">Used as product/account creation defaults where wired.</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Some fields are stored; password-change enforcement is live through Auth.js/session logic.</w:t>
            </w:r>
          </w:p>
        </w:tc>
      </w:tr>
      <w:tr>
        <w:tc>
          <w:tcPr>
            <w:tcW w:w="1900" w:type="dxa"/>
            <w:vAlign w:val="top"/>
            <w:tcMar>
              <w:top w:w="80" w:type="dxa"/>
              <w:left w:w="120" w:type="dxa"/>
              <w:bottom w:w="80" w:type="dxa"/>
              <w:right w:w="120" w:type="dxa"/>
            </w:tcMar>
          </w:tcPr>
          <w:p>
            <w:pPr>
              <w:pStyle w:val="TableText"/>
            </w:pPr>
            <w:r>
              <w:t xml:space="preserve">Legal documents</w:t>
            </w:r>
          </w:p>
        </w:tc>
        <w:tc>
          <w:tcPr>
            <w:tcW w:w="3000" w:type="dxa"/>
            <w:vAlign w:val="top"/>
            <w:tcMar>
              <w:top w:w="80" w:type="dxa"/>
              <w:left w:w="120" w:type="dxa"/>
              <w:bottom w:w="80" w:type="dxa"/>
              <w:right w:w="120" w:type="dxa"/>
            </w:tcMar>
          </w:tcPr>
          <w:p>
            <w:pPr>
              <w:pStyle w:val="TableText"/>
            </w:pPr>
            <w:r>
              <w:t xml:space="preserve">editable terms/cancellation/reactivation/receipt templates</w:t>
            </w:r>
          </w:p>
        </w:tc>
        <w:tc>
          <w:tcPr>
            <w:tcW w:w="4460" w:type="dxa"/>
            <w:vAlign w:val="top"/>
            <w:tcMar>
              <w:top w:w="80" w:type="dxa"/>
              <w:left w:w="120" w:type="dxa"/>
              <w:bottom w:w="80" w:type="dxa"/>
              <w:right w:w="120" w:type="dxa"/>
            </w:tcMar>
          </w:tcPr>
          <w:p>
            <w:pPr>
              <w:pStyle w:val="TableText"/>
            </w:pPr>
            <w:r>
              <w:t xml:space="preserve">Terms are generated for new accounts and managed in Settings; lifecycle calculations are account-stage gated.</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Controls the live one-channel customer queue. Provider credentials are required for delivery.</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r>
        <w:tc>
          <w:tcPr>
            <w:tcW w:w="2200" w:type="dxa"/>
            <w:vAlign w:val="top"/>
            <w:tcMar>
              <w:top w:w="80" w:type="dxa"/>
              <w:left w:w="120" w:type="dxa"/>
              <w:bottom w:w="80" w:type="dxa"/>
              <w:right w:w="120" w:type="dxa"/>
            </w:tcMar>
          </w:tcPr>
          <w:p>
            <w:pPr>
              <w:pStyle w:val="TableText"/>
            </w:pPr>
            <w:r>
              <w:t xml:space="preserve">Duplicate-submission prevention</w:t>
            </w:r>
          </w:p>
        </w:tc>
        <w:tc>
          <w:tcPr>
            <w:tcW w:w="7160" w:type="dxa"/>
            <w:vAlign w:val="top"/>
            <w:tcMar>
              <w:top w:w="80" w:type="dxa"/>
              <w:left w:w="120" w:type="dxa"/>
              <w:bottom w:w="80" w:type="dxa"/>
              <w:right w:w="120" w:type="dxa"/>
            </w:tcMar>
          </w:tcPr>
          <w:p>
            <w:pPr>
              <w:pStyle w:val="TableText"/>
            </w:pPr>
            <w:r>
              <w:t xml:space="preserve">Every form submit control disables itself and shows a pending state while its server action runs (components/ui/submit-button.tsx for shadcn Button, components/ui/plain-submit-button.tsx for bespoke button markup, both backed by useFormStatus), so a slow request can no longer be triggered twice by repeated clicks. Payment, customer, and account creation additionally carry a client-generated Idempotency-Key so a resubmitted request cannot create a second record server-side.</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generate and next build.</w:t>
            </w:r>
          </w:p>
        </w:tc>
        <w:tc>
          <w:tcPr>
            <w:tcW w:w="4060" w:type="dxa"/>
            <w:vAlign w:val="top"/>
            <w:tcMar>
              <w:top w:w="80" w:type="dxa"/>
              <w:left w:w="120" w:type="dxa"/>
              <w:bottom w:w="80" w:type="dxa"/>
              <w:right w:w="120" w:type="dxa"/>
            </w:tcMar>
          </w:tcPr>
          <w:p>
            <w:pPr>
              <w:pStyle w:val="TableText"/>
            </w:pPr>
            <w:r>
              <w:t xml:space="preserve">Does not deploy migrations.</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explicitly before a dependent release.</w:t>
            </w:r>
          </w:p>
        </w:tc>
        <w:tc>
          <w:tcPr>
            <w:tcW w:w="4060" w:type="dxa"/>
            <w:vAlign w:val="top"/>
            <w:tcMar>
              <w:top w:w="80" w:type="dxa"/>
              <w:left w:w="120" w:type="dxa"/>
              <w:bottom w:w="80" w:type="dxa"/>
              <w:right w:w="120" w:type="dxa"/>
            </w:tcMar>
          </w:tcPr>
          <w:p>
            <w:pPr>
              <w:pStyle w:val="TableText"/>
            </w:pPr>
            <w:r>
              <w:t xml:space="preserve">Use DATABASE_URL_UNPOOLED from a trusted operator environment; do not use the port 6543 transaction pooler.</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GROQ_API_KEY, GROQ_MODEL, MNOTIFY_API_KEY, MNOTIFY_SENDER_ID, and CRON_SECRET.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Supabase connectivity through the correct pooler.</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16. Automatic SMS Notifications</w:t>
      </w:r>
    </w:p>
    <w:p>
      <w:pPr>
        <w:pStyle w:val="Normal"/>
      </w:pPr>
      <w:r>
        <w:t xml:space="preserve">BMS Africa provides SMS using the mNotify Quick Bulk SMS API. Configure MNOTIFY_API_KEY, MNOTIFY_SENDER_ID (approved GLV sender GODS LOVE V), and CRON_SECRET server-side. Apply the SmsNotification migration before enabling SMS Notifications in Settings. Never expose the API key or log request URLs containing it.</w:t>
      </w:r>
    </w:p>
    <w:p>
      <w:pPr>
        <w:pStyle w:val="Normal"/>
      </w:pPr>
      <w:r>
        <w:t xml:space="preserve">Super administrators configure six database-backed message templates on Settings &gt; SMS: Salary payment, Customer welcome, 70% progress, Missed payment, Weekly summary - target met, and Weekly summary - below target. The page lists the placeholders permitted for each event, renders a sample preview, validates a 612-character maximum, and can restore all defaults. Saved templates apply to newly queued messages; existing queue rows keep their original message snapshot. Salary resolves to the staff member on the salary payment. Customer templates resolve to the qualifying customer. A customer or staff member with no usable phone number is skipped entirely: no message is queued, none is attempted, and nothing is sent to a fallback recipient.</w:t>
      </w:r>
    </w:p>
    <w:p>
      <w:pPr>
        <w:pStyle w:val="Normal"/>
      </w:pPr>
      <w:r>
        <w:t xml:space="preserve">The weekly summary has two wordings and the system picks one per customer. The expected weekly amount is the daily amount of every plan that customer is still collecting on, multiplied by seven. Paying at or above that amount sends the target-met wording. Paying less sends the below-target wording, which carries the expected amount and the shortfall and refers the customer to their assigned staff member. The praise wording is therefore never sent to a customer who fell short. The comparison is performed in pesewas so floating-point noise cannot turn an exact week into a shortfall, and a customer with no collecting plan counts as on target.</w:t>
      </w:r>
    </w:p>
    <w:p>
      <w:pPr>
        <w:pStyle w:val="Normal"/>
      </w:pPr>
      <w:r>
        <w:t xml:space="preserve">Default message text is branded Rock Frost Group, while every staff/customer name placeholder renders only the first whitespace-delimited name. The BMS handset sender is Rock Frost, which fits the provider's 11-character limit and must be approved in the BMS account before production configuration.</w:t>
      </w:r>
    </w:p>
    <w:p>
      <w:pPr>
        <w:pStyle w:val="Normal"/>
      </w:pPr>
      <w:r>
        <w:t xml:space="preserve">A saved salary payment queues one staff SMS. A new product account queues one welcome SMS at its start date. Payment totals at or above 70 percent queue one milestone SMS per account. Payment edits also check the milestone. No historical salary or welcome messages are backfilled. These alerts always use SMS, independently of the existing document and receipt channel preference.</w:t>
      </w:r>
    </w:p>
    <w:p>
      <w:pPr>
        <w:pStyle w:val="Normal"/>
      </w:pPr>
      <w:r>
        <w:t xml:space="preserve">Recording a staff deposit triggers the weekly customer summary. For that staff member, GLV totals each customer's Payment records from Monday through Sunday across all product accounts and queues one summary only for customers whose total is greater than zero. The dedupe key combines staff, customer and week. Another deposit cannot duplicate an accepted message, but it can refresh a summary that is still Pending or Failed. Customers never receive another staff member's totals.</w:t>
      </w:r>
    </w:p>
    <w:p>
      <w:pPr>
        <w:pStyle w:val="Normal"/>
      </w:pPr>
      <w:r>
        <w:t xml:space="preserve">Active and overdue accounts with a positive balance qualify for reminders after fourteen full days (two weeks) without payment, and at most once per further two-week period thereafter, so the sequence is day 14, day 28, day 42. The later of account start, latest payment date and latest payment entry time anchors the interval. Backdated entries restart it. Other lifecycle statuses are excluded. The Missed payment template supports staffName, resolved to the first name of the staff member assigned to that customer. The protected /api/cron/sms-notifications job runs at 09:00 UTC daily, queues reminders and dispatches up to 100 messages in groups of five. Authenticated activity and qualifying mutations also dispatch pending messages. Monitor backlog and schedule more frequent runs if volume requires it.</w:t>
      </w:r>
    </w:p>
    <w:p>
      <w:pPr>
        <w:pStyle w:val="Normal"/>
      </w:pPr>
      <w:r>
        <w:t xml:space="preserve">The dedicated /settings/sms page lets super administrators enable or pause automatic SMS, verify provider/API/sender configuration, review the five notification rules, inspect the latest 100 queue records, and retry definitive failures. The queue records unique event keys within the business transaction. Conditional claims prevent concurrent workers sending the same item. Before dispatch, source existence, account eligibility and current phone are checked. Correct missing phones or provider errors before Retry. Provider acceptance is labelled ACCEPTED, not confirmed handset delivery. Check BMS campaign history using the saved campaign ID. Rate limits retry after one hour, up to five attempts. Timeouts and interrupted workers become UNKNOWN and require reconciliation rather than blind resending. Restored pending or processing messages become UNKNOWN. Disabling SMS pauses the queue.</w:t>
      </w:r>
    </w:p>
    <w:p>
      <w:pPr>
        <w:pStyle w:val="Normal"/>
      </w:pPr>
      <w:r>
        <w:t xml:space="preserve">Implementation checks use mocked provider/database tests in scripts/sms.test.ts, TypeScript, lint and a build without migration deployment. Production migration, credentials, authenticated UI and real delivery must be verified separately before activation is considered complete.</w:t>
      </w:r>
    </w:p>
    <w:p>
      <w:pPr>
        <w:pStyle w:val="Heading1"/>
        <w:keepNext/>
      </w:pPr>
      <w:r>
        <w:t xml:space="preserve">17. Integrated Business Management</w:t>
      </w:r>
    </w:p>
    <w:p>
      <w:pPr>
        <w:pStyle w:val="Normal"/>
      </w:pPr>
      <w:r>
        <w:t xml:space="preserve">The administrator-only /business workspace presents People, Payroll, Accounting and Analytics as four connected sections of one GLV workflow. It uses the existing Staff, Payment and StaffSalaryPayment records and adds leave requests, performance reviews and operating expenses. No module activation or duplicate employee setup is required.</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7460"/>
      </w:tblGrid>
      <w:tr>
        <w:tc>
          <w:tcPr>
            <w:tcW w:w="1900" w:type="dxa"/>
            <w:vAlign w:val="top"/>
            <w:shd w:fill="E8EEF5"/>
            <w:tcMar>
              <w:top w:w="80" w:type="dxa"/>
              <w:left w:w="120" w:type="dxa"/>
              <w:bottom w:w="80" w:type="dxa"/>
              <w:right w:w="120" w:type="dxa"/>
            </w:tcMar>
          </w:tcPr>
          <w:p>
            <w:pPr>
              <w:pStyle w:val="TableHeader"/>
            </w:pPr>
            <w:r>
              <w:rPr>
                <w:b/>
              </w:rPr>
              <w:t xml:space="preserve">Section</w:t>
            </w:r>
          </w:p>
        </w:tc>
        <w:tc>
          <w:tcPr>
            <w:tcW w:w="7460" w:type="dxa"/>
            <w:vAlign w:val="top"/>
            <w:shd w:fill="E8EEF5"/>
            <w:tcMar>
              <w:top w:w="80" w:type="dxa"/>
              <w:left w:w="120" w:type="dxa"/>
              <w:bottom w:w="80" w:type="dxa"/>
              <w:right w:w="120" w:type="dxa"/>
            </w:tcMar>
          </w:tcPr>
          <w:p>
            <w:pPr>
              <w:pStyle w:val="TableHeader"/>
            </w:pPr>
            <w:r>
              <w:rPr>
                <w:b/>
              </w:rPr>
              <w:t xml:space="preserve">Shared records and behavior</w:t>
            </w:r>
          </w:p>
        </w:tc>
      </w:tr>
      <w:tr>
        <w:tc>
          <w:tcPr>
            <w:tcW w:w="1900" w:type="dxa"/>
            <w:vAlign w:val="top"/>
            <w:tcMar>
              <w:top w:w="80" w:type="dxa"/>
              <w:left w:w="120" w:type="dxa"/>
              <w:bottom w:w="80" w:type="dxa"/>
              <w:right w:w="120" w:type="dxa"/>
            </w:tcMar>
          </w:tcPr>
          <w:p>
            <w:pPr>
              <w:pStyle w:val="TableText"/>
            </w:pPr>
            <w:r>
              <w:t xml:space="preserve">People</w:t>
            </w:r>
          </w:p>
        </w:tc>
        <w:tc>
          <w:tcPr>
            <w:tcW w:w="7460" w:type="dxa"/>
            <w:vAlign w:val="top"/>
            <w:tcMar>
              <w:top w:w="80" w:type="dxa"/>
              <w:left w:w="120" w:type="dxa"/>
              <w:bottom w:w="80" w:type="dxa"/>
              <w:right w:w="120" w:type="dxa"/>
            </w:tcMar>
          </w:tcPr>
          <w:p>
            <w:pPr>
              <w:pStyle w:val="TableText"/>
            </w:pPr>
            <w:r>
              <w:t xml:space="preserve">Existing staff directory plus leave requests, approve or reject decisions, and dated performance reviews scored 1 to 5.</w:t>
            </w:r>
          </w:p>
        </w:tc>
      </w:tr>
      <w:tr>
        <w:tc>
          <w:tcPr>
            <w:tcW w:w="1900" w:type="dxa"/>
            <w:vAlign w:val="top"/>
            <w:tcMar>
              <w:top w:w="80" w:type="dxa"/>
              <w:left w:w="120" w:type="dxa"/>
              <w:bottom w:w="80" w:type="dxa"/>
              <w:right w:w="120" w:type="dxa"/>
            </w:tcMar>
          </w:tcPr>
          <w:p>
            <w:pPr>
              <w:pStyle w:val="TableText"/>
            </w:pPr>
            <w:r>
              <w:t xml:space="preserve">Payroll</w:t>
            </w:r>
          </w:p>
        </w:tc>
        <w:tc>
          <w:tcPr>
            <w:tcW w:w="7460" w:type="dxa"/>
            <w:vAlign w:val="top"/>
            <w:tcMar>
              <w:top w:w="80" w:type="dxa"/>
              <w:left w:w="120" w:type="dxa"/>
              <w:bottom w:w="80" w:type="dxa"/>
              <w:right w:w="120" w:type="dxa"/>
            </w:tcMar>
          </w:tcPr>
          <w:p>
            <w:pPr>
              <w:pStyle w:val="TableText"/>
            </w:pPr>
            <w:r>
              <w:t xml:space="preserve">Existing monthly salary and salary payment history. Recording payment retains validation, audit logging and the staff-only salary SMS.</w:t>
            </w:r>
          </w:p>
        </w:tc>
      </w:tr>
      <w:tr>
        <w:tc>
          <w:tcPr>
            <w:tcW w:w="1900" w:type="dxa"/>
            <w:vAlign w:val="top"/>
            <w:tcMar>
              <w:top w:w="80" w:type="dxa"/>
              <w:left w:w="120" w:type="dxa"/>
              <w:bottom w:w="80" w:type="dxa"/>
              <w:right w:w="120" w:type="dxa"/>
            </w:tcMar>
          </w:tcPr>
          <w:p>
            <w:pPr>
              <w:pStyle w:val="TableText"/>
            </w:pPr>
            <w:r>
              <w:t xml:space="preserve">Accounting</w:t>
            </w:r>
          </w:p>
        </w:tc>
        <w:tc>
          <w:tcPr>
            <w:tcW w:w="7460" w:type="dxa"/>
            <w:vAlign w:val="top"/>
            <w:tcMar>
              <w:top w:w="80" w:type="dxa"/>
              <w:left w:w="120" w:type="dxa"/>
              <w:bottom w:w="80" w:type="dxa"/>
              <w:right w:w="120" w:type="dxa"/>
            </w:tcMar>
          </w:tcPr>
          <w:p>
            <w:pPr>
              <w:pStyle w:val="TableText"/>
            </w:pPr>
            <w:r>
              <w:t xml:space="preserve">Customer payments are cash inflow. Salary payments and BusinessExpense records are cash outflow. Staff deposits reconcile collections and are not counted twice.</w:t>
            </w:r>
          </w:p>
        </w:tc>
      </w:tr>
      <w:tr>
        <w:tc>
          <w:tcPr>
            <w:tcW w:w="1900" w:type="dxa"/>
            <w:vAlign w:val="top"/>
            <w:tcMar>
              <w:top w:w="80" w:type="dxa"/>
              <w:left w:w="120" w:type="dxa"/>
              <w:bottom w:w="80" w:type="dxa"/>
              <w:right w:w="120" w:type="dxa"/>
            </w:tcMar>
          </w:tcPr>
          <w:p>
            <w:pPr>
              <w:pStyle w:val="TableText"/>
            </w:pPr>
            <w:r>
              <w:t xml:space="preserve">Analytics</w:t>
            </w:r>
          </w:p>
        </w:tc>
        <w:tc>
          <w:tcPr>
            <w:tcW w:w="7460" w:type="dxa"/>
            <w:vAlign w:val="top"/>
            <w:tcMar>
              <w:top w:w="80" w:type="dxa"/>
              <w:left w:w="120" w:type="dxa"/>
              <w:bottom w:w="80" w:type="dxa"/>
              <w:right w:w="120" w:type="dxa"/>
            </w:tcMar>
          </w:tcPr>
          <w:p>
            <w:pPr>
              <w:pStyle w:val="TableText"/>
            </w:pPr>
            <w:r>
              <w:t xml:space="preserve">Current month revenue, payroll paid and outstanding, expenses, net cash, headcount, pending leave, review average and all-time cash position.</w:t>
            </w:r>
          </w:p>
        </w:tc>
      </w:tr>
    </w:tbl>
    <w:p>
      <w:pPr>
        <w:pStyle w:val="Tiny"/>
      </w:pPr>
      <w:r>
        <w:t xml:space="preserve"/>
      </w:r>
    </w:p>
    <w:p>
      <w:pPr>
        <w:pStyle w:val="Normal"/>
      </w:pPr>
      <w:r>
        <w:t xml:space="preserve">Apply migration 20260909183000_integrated_business_management before deploying the page. The version 1 application backup and restore workflow does not yet contain leave, performance review or business expense tables. Retain database-level backups and do not rely on an older application backup to recover these records until a versioned restore upgrade is released.</w:t>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 components/dashboard-analytics.tsx; components/reports/chart-primitives.tsx (shared dependency-free SVG chart building blocks: TrendChart, HorizontalBarChart, TrendBadge, ChartCard); components/reports/meter-gauge.tsx (AnimatedMeter, the animated semicircular progress meter); components/reports/analytics-charts.tsx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2026-09-17T21:31:39Z</dcterms:created>
  <dcterms:modified xsi:type="dcterms:W3CDTF">2026-09-17T21:31:39Z</dcterms:modified>
</cp:coreProperties>
</file>