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6"/>
          <w:szCs w:val="46"/>
        </w:rPr>
        <w:t xml:space="preserve">SafeX Solutions Chatbot</w:t>
      </w:r>
    </w:p>
    <w:p>
      <w:pPr>
        <w:spacing w:after="60"/>
      </w:pPr>
      <w:r>
        <w:rPr>
          <w:color w:val="2E74B5"/>
          <w:sz w:val="28"/>
          <w:szCs w:val="28"/>
        </w:rPr>
        <w:t xml:space="preserve">Module 1 — Core NLP / FAQ Matching Engine</w:t>
      </w:r>
    </w:p>
    <w:p>
      <w:pPr>
        <w:pBdr>
          <w:bottom w:val="single" w:color="BFBFBF" w:sz="8" w:space="8"/>
        </w:pBdr>
        <w:spacing w:after="300"/>
      </w:pPr>
      <w:r>
        <w:rPr>
          <w:i/>
          <w:iCs/>
          <w:color w:val="595959"/>
          <w:sz w:val="20"/>
          <w:szCs w:val="20"/>
        </w:rPr>
        <w:t xml:space="preserve">Project README  •  Prepared by Sania Shaheen</w:t>
      </w:r>
    </w:p>
    <w:p>
      <w:pPr>
        <w:pStyle w:val="Heading1"/>
        <w:spacing w:after="160" w:before="360"/>
      </w:pPr>
      <w:r>
        <w:t xml:space="preserve">1. What This Project Currently Has</w:t>
      </w:r>
    </w:p>
    <w:p>
      <w:pPr>
        <w:spacing w:after="160"/>
      </w:pPr>
      <w:r>
        <w:t xml:space="preserve">This is the foundation ("brain") of the SafeX Solutions chatbot. Right now it can take a user's question — typed in English or Roman Urdu, including several different casual ways of phrasing the same thing — and return the closest matching FAQ answer along with a confidence score. Modules 2 and 3 (bilingual handling and the chat interface) will be built on top of this.</w:t>
      </w:r>
    </w:p>
    <w:p>
      <w:pPr>
        <w:spacing w:after="160"/>
      </w:pPr>
      <w:r>
        <w:t xml:space="preserve">The project currently has 6 files, summarized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000"/>
      </w:tblGrid>
      <w:tr>
        <w:tc>
          <w:tcPr>
            <w:tcW w:type="dxa" w:w="2200"/>
            <w:shd w:fill="1F3864" w:val="clear"/>
            <w:tcMar>
              <w:top w:type="dxa" w:w="80"/>
              <w:left w:type="dxa" w:w="100"/>
              <w:bottom w:type="dxa" w:w="80"/>
              <w:right w:type="dxa" w:w="100"/>
            </w:tcMar>
            <w:vAlign w:val="center"/>
          </w:tcPr>
          <w:p>
            <w:r>
              <w:rPr>
                <w:b/>
                <w:bCs/>
                <w:color w:val="FFFFFF"/>
                <w:sz w:val="21"/>
                <w:szCs w:val="21"/>
              </w:rPr>
              <w:t xml:space="preserve">File</w:t>
            </w:r>
          </w:p>
        </w:tc>
        <w:tc>
          <w:tcPr>
            <w:tcW w:type="dxa" w:w="1200"/>
            <w:shd w:fill="1F3864" w:val="clear"/>
            <w:tcMar>
              <w:top w:type="dxa" w:w="80"/>
              <w:left w:type="dxa" w:w="100"/>
              <w:bottom w:type="dxa" w:w="80"/>
              <w:right w:type="dxa" w:w="100"/>
            </w:tcMar>
            <w:vAlign w:val="center"/>
          </w:tcPr>
          <w:p>
            <w:r>
              <w:rPr>
                <w:b/>
                <w:bCs/>
                <w:color w:val="FFFFFF"/>
                <w:sz w:val="21"/>
                <w:szCs w:val="21"/>
              </w:rPr>
              <w:t xml:space="preserve">Type</w:t>
            </w:r>
          </w:p>
        </w:tc>
        <w:tc>
          <w:tcPr>
            <w:tcW w:type="dxa" w:w="6000"/>
            <w:shd w:fill="1F3864" w:val="clear"/>
            <w:tcMar>
              <w:top w:type="dxa" w:w="80"/>
              <w:left w:type="dxa" w:w="100"/>
              <w:bottom w:type="dxa" w:w="80"/>
              <w:right w:type="dxa" w:w="100"/>
            </w:tcMar>
            <w:vAlign w:val="center"/>
          </w:tcPr>
          <w:p>
            <w:r>
              <w:rPr>
                <w:b/>
                <w:bCs/>
                <w:color w:val="FFFFFF"/>
                <w:sz w:val="21"/>
                <w:szCs w:val="21"/>
              </w:rPr>
              <w:t xml:space="preserve">What it is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faqs.json</w:t>
            </w:r>
          </w:p>
        </w:tc>
        <w:tc>
          <w:tcPr>
            <w:tcW w:type="dxa" w:w="1200"/>
            <w:tcMar>
              <w:top w:type="dxa" w:w="80"/>
              <w:left w:type="dxa" w:w="100"/>
              <w:bottom w:type="dxa" w:w="80"/>
              <w:right w:type="dxa" w:w="100"/>
            </w:tcMar>
            <w:vAlign w:val="center"/>
          </w:tcPr>
          <w:p>
            <w:r>
              <w:rPr>
                <w:b w:val="false"/>
                <w:bCs w:val="false"/>
                <w:color w:val="000000"/>
                <w:sz w:val="20"/>
                <w:szCs w:val="20"/>
              </w:rPr>
              <w:t xml:space="preserve">Data</w:t>
            </w:r>
          </w:p>
        </w:tc>
        <w:tc>
          <w:tcPr>
            <w:tcW w:type="dxa" w:w="6000"/>
            <w:tcMar>
              <w:top w:type="dxa" w:w="80"/>
              <w:left w:type="dxa" w:w="100"/>
              <w:bottom w:type="dxa" w:w="80"/>
              <w:right w:type="dxa" w:w="100"/>
            </w:tcMar>
            <w:vAlign w:val="center"/>
          </w:tcPr>
          <w:p>
            <w:r>
              <w:rPr>
                <w:b w:val="false"/>
                <w:bCs w:val="false"/>
                <w:color w:val="000000"/>
                <w:sz w:val="20"/>
                <w:szCs w:val="20"/>
              </w:rPr>
              <w:t xml:space="preserve">45 FAQs — question (English), primary question (Roman Urdu), 1–3 extra Roman Urdu phrasing variants, answer, category, optional keywords.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faqs.csv</w:t>
            </w:r>
          </w:p>
        </w:tc>
        <w:tc>
          <w:tcPr>
            <w:tcW w:type="dxa" w:w="1200"/>
            <w:tcMar>
              <w:top w:type="dxa" w:w="80"/>
              <w:left w:type="dxa" w:w="100"/>
              <w:bottom w:type="dxa" w:w="80"/>
              <w:right w:type="dxa" w:w="100"/>
            </w:tcMar>
            <w:vAlign w:val="center"/>
          </w:tcPr>
          <w:p>
            <w:r>
              <w:rPr>
                <w:b w:val="false"/>
                <w:bCs w:val="false"/>
                <w:color w:val="000000"/>
                <w:sz w:val="20"/>
                <w:szCs w:val="20"/>
              </w:rPr>
              <w:t xml:space="preserve">Data</w:t>
            </w:r>
          </w:p>
        </w:tc>
        <w:tc>
          <w:tcPr>
            <w:tcW w:type="dxa" w:w="6000"/>
            <w:tcMar>
              <w:top w:type="dxa" w:w="80"/>
              <w:left w:type="dxa" w:w="100"/>
              <w:bottom w:type="dxa" w:w="80"/>
              <w:right w:type="dxa" w:w="100"/>
            </w:tcMar>
            <w:vAlign w:val="center"/>
          </w:tcPr>
          <w:p>
            <w:r>
              <w:rPr>
                <w:b w:val="false"/>
                <w:bCs w:val="false"/>
                <w:color w:val="000000"/>
                <w:sz w:val="20"/>
                <w:szCs w:val="20"/>
              </w:rPr>
              <w:t xml:space="preserve">Same 45 FAQs in spreadsheet form, for viewing in Excel/Sheets.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chatbot_engine.py</w:t>
            </w:r>
          </w:p>
        </w:tc>
        <w:tc>
          <w:tcPr>
            <w:tcW w:type="dxa" w:w="1200"/>
            <w:tcMar>
              <w:top w:type="dxa" w:w="80"/>
              <w:left w:type="dxa" w:w="100"/>
              <w:bottom w:type="dxa" w:w="80"/>
              <w:right w:type="dxa" w:w="100"/>
            </w:tcMar>
            <w:vAlign w:val="center"/>
          </w:tcPr>
          <w:p>
            <w:r>
              <w:rPr>
                <w:b w:val="false"/>
                <w:bCs w:val="false"/>
                <w:color w:val="000000"/>
                <w:sz w:val="20"/>
                <w:szCs w:val="20"/>
              </w:rPr>
              <w:t xml:space="preserve">Code</w:t>
            </w:r>
          </w:p>
        </w:tc>
        <w:tc>
          <w:tcPr>
            <w:tcW w:type="dxa" w:w="6000"/>
            <w:tcMar>
              <w:top w:type="dxa" w:w="80"/>
              <w:left w:type="dxa" w:w="100"/>
              <w:bottom w:type="dxa" w:w="80"/>
              <w:right w:type="dxa" w:w="100"/>
            </w:tcMar>
            <w:vAlign w:val="center"/>
          </w:tcPr>
          <w:p>
            <w:r>
              <w:rPr>
                <w:b w:val="false"/>
                <w:bCs w:val="false"/>
                <w:color w:val="000000"/>
                <w:sz w:val="20"/>
                <w:szCs w:val="20"/>
              </w:rPr>
              <w:t xml:space="preserve">The matching engine itself — the FAQMatchingEngine class.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demo_test.py</w:t>
            </w:r>
          </w:p>
        </w:tc>
        <w:tc>
          <w:tcPr>
            <w:tcW w:type="dxa" w:w="1200"/>
            <w:tcMar>
              <w:top w:type="dxa" w:w="80"/>
              <w:left w:type="dxa" w:w="100"/>
              <w:bottom w:type="dxa" w:w="80"/>
              <w:right w:type="dxa" w:w="100"/>
            </w:tcMar>
            <w:vAlign w:val="center"/>
          </w:tcPr>
          <w:p>
            <w:r>
              <w:rPr>
                <w:b w:val="false"/>
                <w:bCs w:val="false"/>
                <w:color w:val="000000"/>
                <w:sz w:val="20"/>
                <w:szCs w:val="20"/>
              </w:rPr>
              <w:t xml:space="preserve">Code</w:t>
            </w:r>
          </w:p>
        </w:tc>
        <w:tc>
          <w:tcPr>
            <w:tcW w:type="dxa" w:w="6000"/>
            <w:tcMar>
              <w:top w:type="dxa" w:w="80"/>
              <w:left w:type="dxa" w:w="100"/>
              <w:bottom w:type="dxa" w:w="80"/>
              <w:right w:type="dxa" w:w="100"/>
            </w:tcMar>
            <w:vAlign w:val="center"/>
          </w:tcPr>
          <w:p>
            <w:r>
              <w:rPr>
                <w:b w:val="false"/>
                <w:bCs w:val="false"/>
                <w:color w:val="000000"/>
                <w:sz w:val="20"/>
                <w:szCs w:val="20"/>
              </w:rPr>
              <w:t xml:space="preserve">Runs 21 sample questions (English + direct Roman Urdu + deliberately casual Roman Urdu) through the engine so you can see it work.</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build_dataset.py</w:t>
            </w:r>
          </w:p>
        </w:tc>
        <w:tc>
          <w:tcPr>
            <w:tcW w:type="dxa" w:w="1200"/>
            <w:tcMar>
              <w:top w:type="dxa" w:w="80"/>
              <w:left w:type="dxa" w:w="100"/>
              <w:bottom w:type="dxa" w:w="80"/>
              <w:right w:type="dxa" w:w="100"/>
            </w:tcMar>
            <w:vAlign w:val="center"/>
          </w:tcPr>
          <w:p>
            <w:r>
              <w:rPr>
                <w:b w:val="false"/>
                <w:bCs w:val="false"/>
                <w:color w:val="000000"/>
                <w:sz w:val="20"/>
                <w:szCs w:val="20"/>
              </w:rPr>
              <w:t xml:space="preserve">Code</w:t>
            </w:r>
          </w:p>
        </w:tc>
        <w:tc>
          <w:tcPr>
            <w:tcW w:type="dxa" w:w="6000"/>
            <w:tcMar>
              <w:top w:type="dxa" w:w="80"/>
              <w:left w:type="dxa" w:w="100"/>
              <w:bottom w:type="dxa" w:w="80"/>
              <w:right w:type="dxa" w:w="100"/>
            </w:tcMar>
            <w:vAlign w:val="center"/>
          </w:tcPr>
          <w:p>
            <w:r>
              <w:rPr>
                <w:b w:val="false"/>
                <w:bCs w:val="false"/>
                <w:color w:val="000000"/>
                <w:sz w:val="20"/>
                <w:szCs w:val="20"/>
              </w:rPr>
              <w:t xml:space="preserve">Script that generates faqs.json / faqs.csv — edit this to add or change FAQs instead of hand-editing the data files.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README.md</w:t>
            </w:r>
          </w:p>
        </w:tc>
        <w:tc>
          <w:tcPr>
            <w:tcW w:type="dxa" w:w="1200"/>
            <w:tcMar>
              <w:top w:type="dxa" w:w="80"/>
              <w:left w:type="dxa" w:w="100"/>
              <w:bottom w:type="dxa" w:w="80"/>
              <w:right w:type="dxa" w:w="100"/>
            </w:tcMar>
            <w:vAlign w:val="center"/>
          </w:tcPr>
          <w:p>
            <w:r>
              <w:rPr>
                <w:b w:val="false"/>
                <w:bCs w:val="false"/>
                <w:color w:val="000000"/>
                <w:sz w:val="20"/>
                <w:szCs w:val="20"/>
              </w:rPr>
              <w:t xml:space="preserve">Docs</w:t>
            </w:r>
          </w:p>
        </w:tc>
        <w:tc>
          <w:tcPr>
            <w:tcW w:type="dxa" w:w="6000"/>
            <w:tcMar>
              <w:top w:type="dxa" w:w="80"/>
              <w:left w:type="dxa" w:w="100"/>
              <w:bottom w:type="dxa" w:w="80"/>
              <w:right w:type="dxa" w:w="100"/>
            </w:tcMar>
            <w:vAlign w:val="center"/>
          </w:tcPr>
          <w:p>
            <w:r>
              <w:rPr>
                <w:b w:val="false"/>
                <w:bCs w:val="false"/>
                <w:color w:val="000000"/>
                <w:sz w:val="20"/>
                <w:szCs w:val="20"/>
              </w:rPr>
              <w:t xml:space="preserve">Plain-text version of the project notes (Markdown).</w:t>
            </w:r>
          </w:p>
        </w:tc>
      </w:tr>
    </w:tbl>
    <w:p>
      <w:pPr>
        <w:spacing w:after="200"/>
      </w:pPr>
    </w:p>
    <w:p>
      <w:pPr>
        <w:pStyle w:val="Heading1"/>
        <w:spacing w:after="160" w:before="360"/>
      </w:pPr>
      <w:r>
        <w:t xml:space="preserve">2. The FAQ Dataset</w:t>
      </w:r>
    </w:p>
    <w:p>
      <w:pPr>
        <w:spacing w:after="160"/>
      </w:pPr>
      <w:r>
        <w:t xml:space="preserve">The dataset was expanded from 30 to 45 FAQs, and Roman Urdu phrasing was diversified, based on team feedback. It was written after exploring the live SafeX Solutions website (Home, About, Services, Contact, and Blog pages). Each FAQ has these fields:</w:t>
      </w:r>
    </w:p>
    <w:p>
      <w:pPr>
        <w:pStyle w:val="ListParagraph"/>
        <w:numPr>
          <w:ilvl w:val="0"/>
          <w:numId w:val="2"/>
        </w:numPr>
        <w:spacing w:after="80"/>
      </w:pPr>
      <w:r>
        <w:t xml:space="preserve">question_en — the question in English</w:t>
      </w:r>
    </w:p>
    <w:p>
      <w:pPr>
        <w:pStyle w:val="ListParagraph"/>
        <w:numPr>
          <w:ilvl w:val="0"/>
          <w:numId w:val="2"/>
        </w:numPr>
        <w:spacing w:after="80"/>
      </w:pPr>
      <w:r>
        <w:t xml:space="preserve">question_ur — the primary phrasing of the same question in Roman Urdu</w:t>
      </w:r>
    </w:p>
    <w:p>
      <w:pPr>
        <w:pStyle w:val="ListParagraph"/>
        <w:numPr>
          <w:ilvl w:val="0"/>
          <w:numId w:val="2"/>
        </w:numPr>
        <w:spacing w:after="80"/>
      </w:pPr>
      <w:r>
        <w:t xml:space="preserve">question_ur_variants (new) — 1–3 additional Roman Urdu phrasings of the same question, using different word order, casual spelling, or more regional wording</w:t>
      </w:r>
    </w:p>
    <w:p>
      <w:pPr>
        <w:pStyle w:val="ListParagraph"/>
        <w:numPr>
          <w:ilvl w:val="0"/>
          <w:numId w:val="2"/>
        </w:numPr>
        <w:spacing w:after="80"/>
      </w:pPr>
      <w:r>
        <w:t xml:space="preserve">answer — the answer text the bot will reply with</w:t>
      </w:r>
    </w:p>
    <w:p>
      <w:pPr>
        <w:pStyle w:val="ListParagraph"/>
        <w:numPr>
          <w:ilvl w:val="0"/>
          <w:numId w:val="2"/>
        </w:numPr>
        <w:spacing w:after="80"/>
      </w:pPr>
      <w:r>
        <w:t xml:space="preserve">category — which service area the question belongs to</w:t>
      </w:r>
    </w:p>
    <w:p>
      <w:pPr>
        <w:pStyle w:val="ListParagraph"/>
        <w:numPr>
          <w:ilvl w:val="0"/>
          <w:numId w:val="2"/>
        </w:numPr>
        <w:spacing w:after="80"/>
      </w:pPr>
      <w:r>
        <w:t xml:space="preserve">keywords (optional) — a few extra synonym words or acronyms (e.g. “pricing”, “SDC”, “mulk”) added to a handful of FAQs to catch alternate phrasings</w:t>
      </w:r>
    </w:p>
    <w:p>
      <w:pPr>
        <w:spacing w:after="100"/>
      </w:pPr>
    </w:p>
    <w:p>
      <w:pPr>
        <w:spacing w:after="160"/>
      </w:pPr>
      <w:r>
        <w:t xml:space="preserve">Breakdown by 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400"/>
      </w:tblGrid>
      <w:tr>
        <w:tc>
          <w:tcPr>
            <w:tcW w:type="dxa" w:w="3800"/>
            <w:shd w:fill="1F3864" w:val="clear"/>
            <w:tcMar>
              <w:top w:type="dxa" w:w="80"/>
              <w:left w:type="dxa" w:w="100"/>
              <w:bottom w:type="dxa" w:w="80"/>
              <w:right w:type="dxa" w:w="100"/>
            </w:tcMar>
            <w:vAlign w:val="center"/>
          </w:tcPr>
          <w:p>
            <w:r>
              <w:rPr>
                <w:b/>
                <w:bCs/>
                <w:color w:val="FFFFFF"/>
                <w:sz w:val="21"/>
                <w:szCs w:val="21"/>
              </w:rPr>
              <w:t xml:space="preserve">Category</w:t>
            </w:r>
          </w:p>
        </w:tc>
        <w:tc>
          <w:tcPr>
            <w:tcW w:type="dxa" w:w="1200"/>
            <w:shd w:fill="1F3864" w:val="clear"/>
            <w:tcMar>
              <w:top w:type="dxa" w:w="80"/>
              <w:left w:type="dxa" w:w="100"/>
              <w:bottom w:type="dxa" w:w="80"/>
              <w:right w:type="dxa" w:w="100"/>
            </w:tcMar>
            <w:vAlign w:val="center"/>
          </w:tcPr>
          <w:p>
            <w:r>
              <w:rPr>
                <w:b/>
                <w:bCs/>
                <w:color w:val="FFFFFF"/>
                <w:sz w:val="21"/>
                <w:szCs w:val="21"/>
              </w:rPr>
              <w:t xml:space="preserve"># FAQs</w:t>
            </w:r>
          </w:p>
        </w:tc>
        <w:tc>
          <w:tcPr>
            <w:tcW w:type="dxa" w:w="4400"/>
            <w:shd w:fill="1F3864" w:val="clear"/>
            <w:tcMar>
              <w:top w:type="dxa" w:w="80"/>
              <w:left w:type="dxa" w:w="100"/>
              <w:bottom w:type="dxa" w:w="80"/>
              <w:right w:type="dxa" w:w="100"/>
            </w:tcMar>
            <w:vAlign w:val="center"/>
          </w:tcPr>
          <w:p>
            <w:r>
              <w:rPr>
                <w:b/>
                <w:bCs/>
                <w:color w:val="FFFFFF"/>
                <w:sz w:val="21"/>
                <w:szCs w:val="21"/>
              </w:rPr>
              <w:t xml:space="preserve">Examples</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General / Company</w:t>
            </w:r>
          </w:p>
        </w:tc>
        <w:tc>
          <w:tcPr>
            <w:tcW w:type="dxa" w:w="1200"/>
            <w:tcMar>
              <w:top w:type="dxa" w:w="80"/>
              <w:left w:type="dxa" w:w="100"/>
              <w:bottom w:type="dxa" w:w="80"/>
              <w:right w:type="dxa" w:w="100"/>
            </w:tcMar>
            <w:vAlign w:val="center"/>
          </w:tcPr>
          <w:p>
            <w:r>
              <w:rPr>
                <w:b w:val="false"/>
                <w:bCs w:val="false"/>
                <w:color w:val="000000"/>
                <w:sz w:val="20"/>
                <w:szCs w:val="20"/>
              </w:rPr>
              <w:t xml:space="preserve">9</w:t>
            </w:r>
          </w:p>
        </w:tc>
        <w:tc>
          <w:tcPr>
            <w:tcW w:type="dxa" w:w="4400"/>
            <w:tcMar>
              <w:top w:type="dxa" w:w="80"/>
              <w:left w:type="dxa" w:w="100"/>
              <w:bottom w:type="dxa" w:w="80"/>
              <w:right w:type="dxa" w:w="100"/>
            </w:tcMar>
            <w:vAlign w:val="center"/>
          </w:tcPr>
          <w:p>
            <w:r>
              <w:rPr>
                <w:b w:val="false"/>
                <w:bCs w:val="false"/>
                <w:color w:val="000000"/>
                <w:sz w:val="20"/>
                <w:szCs w:val="20"/>
              </w:rPr>
              <w:t xml:space="preserve">What is SafeX, services list, location, hours, experience, industries, portfolio</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Contact</w:t>
            </w:r>
          </w:p>
        </w:tc>
        <w:tc>
          <w:tcPr>
            <w:tcW w:type="dxa" w:w="1200"/>
            <w:tcMar>
              <w:top w:type="dxa" w:w="80"/>
              <w:left w:type="dxa" w:w="100"/>
              <w:bottom w:type="dxa" w:w="80"/>
              <w:right w:type="dxa" w:w="100"/>
            </w:tcMar>
            <w:vAlign w:val="center"/>
          </w:tcPr>
          <w:p>
            <w:r>
              <w:rPr>
                <w:b w:val="false"/>
                <w:bCs w:val="false"/>
                <w:color w:val="000000"/>
                <w:sz w:val="20"/>
                <w:szCs w:val="20"/>
              </w:rPr>
              <w:t xml:space="preserve">6</w:t>
            </w:r>
          </w:p>
        </w:tc>
        <w:tc>
          <w:tcPr>
            <w:tcW w:type="dxa" w:w="4400"/>
            <w:tcMar>
              <w:top w:type="dxa" w:w="80"/>
              <w:left w:type="dxa" w:w="100"/>
              <w:bottom w:type="dxa" w:w="80"/>
              <w:right w:type="dxa" w:w="100"/>
            </w:tcMar>
            <w:vAlign w:val="center"/>
          </w:tcPr>
          <w:p>
            <w:r>
              <w:rPr>
                <w:b w:val="false"/>
                <w:bCs w:val="false"/>
                <w:color w:val="000000"/>
                <w:sz w:val="20"/>
                <w:szCs w:val="20"/>
              </w:rPr>
              <w:t xml:space="preserve">Phone, email, contact form, social media, free consultation, quotes</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Web Development</w:t>
            </w:r>
          </w:p>
        </w:tc>
        <w:tc>
          <w:tcPr>
            <w:tcW w:type="dxa" w:w="1200"/>
            <w:tcMar>
              <w:top w:type="dxa" w:w="80"/>
              <w:left w:type="dxa" w:w="100"/>
              <w:bottom w:type="dxa" w:w="80"/>
              <w:right w:type="dxa" w:w="100"/>
            </w:tcMar>
            <w:vAlign w:val="center"/>
          </w:tcPr>
          <w:p>
            <w:r>
              <w:rPr>
                <w:b w:val="false"/>
                <w:bCs w:val="false"/>
                <w:color w:val="000000"/>
                <w:sz w:val="20"/>
                <w:szCs w:val="20"/>
              </w:rPr>
              <w:t xml:space="preserve">5</w:t>
            </w:r>
          </w:p>
        </w:tc>
        <w:tc>
          <w:tcPr>
            <w:tcW w:type="dxa" w:w="4400"/>
            <w:tcMar>
              <w:top w:type="dxa" w:w="80"/>
              <w:left w:type="dxa" w:w="100"/>
              <w:bottom w:type="dxa" w:w="80"/>
              <w:right w:type="dxa" w:w="100"/>
            </w:tcMar>
            <w:vAlign w:val="center"/>
          </w:tcPr>
          <w:p>
            <w:r>
              <w:rPr>
                <w:b w:val="false"/>
                <w:bCs w:val="false"/>
                <w:color w:val="000000"/>
                <w:sz w:val="20"/>
                <w:szCs w:val="20"/>
              </w:rPr>
              <w:t xml:space="preserve">Websites, eCommerce, UI/UX, mobile apps, maintenance</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Cybersecurity</w:t>
            </w:r>
          </w:p>
        </w:tc>
        <w:tc>
          <w:tcPr>
            <w:tcW w:type="dxa" w:w="1200"/>
            <w:tcMar>
              <w:top w:type="dxa" w:w="80"/>
              <w:left w:type="dxa" w:w="100"/>
              <w:bottom w:type="dxa" w:w="80"/>
              <w:right w:type="dxa" w:w="100"/>
            </w:tcMar>
            <w:vAlign w:val="center"/>
          </w:tcPr>
          <w:p>
            <w:r>
              <w:rPr>
                <w:b w:val="false"/>
                <w:bCs w:val="false"/>
                <w:color w:val="000000"/>
                <w:sz w:val="20"/>
                <w:szCs w:val="20"/>
              </w:rPr>
              <w:t xml:space="preserve">3</w:t>
            </w:r>
          </w:p>
        </w:tc>
        <w:tc>
          <w:tcPr>
            <w:tcW w:type="dxa" w:w="4400"/>
            <w:tcMar>
              <w:top w:type="dxa" w:w="80"/>
              <w:left w:type="dxa" w:w="100"/>
              <w:bottom w:type="dxa" w:w="80"/>
              <w:right w:type="dxa" w:w="100"/>
            </w:tcMar>
            <w:vAlign w:val="center"/>
          </w:tcPr>
          <w:p>
            <w:r>
              <w:rPr>
                <w:b w:val="false"/>
                <w:bCs w:val="false"/>
                <w:color w:val="000000"/>
                <w:sz w:val="20"/>
                <w:szCs w:val="20"/>
              </w:rPr>
              <w:t xml:space="preserve">Data protection, network security, NDAs</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Cloud Solutions</w:t>
            </w:r>
          </w:p>
        </w:tc>
        <w:tc>
          <w:tcPr>
            <w:tcW w:type="dxa" w:w="1200"/>
            <w:tcMar>
              <w:top w:type="dxa" w:w="80"/>
              <w:left w:type="dxa" w:w="100"/>
              <w:bottom w:type="dxa" w:w="80"/>
              <w:right w:type="dxa" w:w="100"/>
            </w:tcMar>
            <w:vAlign w:val="center"/>
          </w:tcPr>
          <w:p>
            <w:r>
              <w:rPr>
                <w:b w:val="false"/>
                <w:bCs w:val="false"/>
                <w:color w:val="000000"/>
                <w:sz w:val="20"/>
                <w:szCs w:val="20"/>
              </w:rPr>
              <w:t xml:space="preserve">1</w:t>
            </w:r>
          </w:p>
        </w:tc>
        <w:tc>
          <w:tcPr>
            <w:tcW w:type="dxa" w:w="4400"/>
            <w:tcMar>
              <w:top w:type="dxa" w:w="80"/>
              <w:left w:type="dxa" w:w="100"/>
              <w:bottom w:type="dxa" w:w="80"/>
              <w:right w:type="dxa" w:w="100"/>
            </w:tcMar>
            <w:vAlign w:val="center"/>
          </w:tcPr>
          <w:p>
            <w:r>
              <w:rPr>
                <w:b w:val="false"/>
                <w:bCs w:val="false"/>
                <w:color w:val="000000"/>
                <w:sz w:val="20"/>
                <w:szCs w:val="20"/>
              </w:rPr>
              <w:t xml:space="preserve">Cloud infrastructure</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AI Automation</w:t>
            </w:r>
          </w:p>
        </w:tc>
        <w:tc>
          <w:tcPr>
            <w:tcW w:type="dxa" w:w="1200"/>
            <w:tcMar>
              <w:top w:type="dxa" w:w="80"/>
              <w:left w:type="dxa" w:w="100"/>
              <w:bottom w:type="dxa" w:w="80"/>
              <w:right w:type="dxa" w:w="100"/>
            </w:tcMar>
            <w:vAlign w:val="center"/>
          </w:tcPr>
          <w:p>
            <w:r>
              <w:rPr>
                <w:b w:val="false"/>
                <w:bCs w:val="false"/>
                <w:color w:val="000000"/>
                <w:sz w:val="20"/>
                <w:szCs w:val="20"/>
              </w:rPr>
              <w:t xml:space="preserve">1</w:t>
            </w:r>
          </w:p>
        </w:tc>
        <w:tc>
          <w:tcPr>
            <w:tcW w:type="dxa" w:w="4400"/>
            <w:tcMar>
              <w:top w:type="dxa" w:w="80"/>
              <w:left w:type="dxa" w:w="100"/>
              <w:bottom w:type="dxa" w:w="80"/>
              <w:right w:type="dxa" w:w="100"/>
            </w:tcMar>
            <w:vAlign w:val="center"/>
          </w:tcPr>
          <w:p>
            <w:r>
              <w:rPr>
                <w:b w:val="false"/>
                <w:bCs w:val="false"/>
                <w:color w:val="000000"/>
                <w:sz w:val="20"/>
                <w:szCs w:val="20"/>
              </w:rPr>
              <w:t xml:space="preserve">AI-driven process automation</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Data Insights</w:t>
            </w:r>
          </w:p>
        </w:tc>
        <w:tc>
          <w:tcPr>
            <w:tcW w:type="dxa" w:w="1200"/>
            <w:tcMar>
              <w:top w:type="dxa" w:w="80"/>
              <w:left w:type="dxa" w:w="100"/>
              <w:bottom w:type="dxa" w:w="80"/>
              <w:right w:type="dxa" w:w="100"/>
            </w:tcMar>
            <w:vAlign w:val="center"/>
          </w:tcPr>
          <w:p>
            <w:r>
              <w:rPr>
                <w:b w:val="false"/>
                <w:bCs w:val="false"/>
                <w:color w:val="000000"/>
                <w:sz w:val="20"/>
                <w:szCs w:val="20"/>
              </w:rPr>
              <w:t xml:space="preserve">1</w:t>
            </w:r>
          </w:p>
        </w:tc>
        <w:tc>
          <w:tcPr>
            <w:tcW w:type="dxa" w:w="4400"/>
            <w:tcMar>
              <w:top w:type="dxa" w:w="80"/>
              <w:left w:type="dxa" w:w="100"/>
              <w:bottom w:type="dxa" w:w="80"/>
              <w:right w:type="dxa" w:w="100"/>
            </w:tcMar>
            <w:vAlign w:val="center"/>
          </w:tcPr>
          <w:p>
            <w:r>
              <w:rPr>
                <w:b w:val="false"/>
                <w:bCs w:val="false"/>
                <w:color w:val="000000"/>
                <w:sz w:val="20"/>
                <w:szCs w:val="20"/>
              </w:rPr>
              <w:t xml:space="preserve">Data analytics and reporting</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Digital Marketing</w:t>
            </w:r>
          </w:p>
        </w:tc>
        <w:tc>
          <w:tcPr>
            <w:tcW w:type="dxa" w:w="1200"/>
            <w:tcMar>
              <w:top w:type="dxa" w:w="80"/>
              <w:left w:type="dxa" w:w="100"/>
              <w:bottom w:type="dxa" w:w="80"/>
              <w:right w:type="dxa" w:w="100"/>
            </w:tcMar>
            <w:vAlign w:val="center"/>
          </w:tcPr>
          <w:p>
            <w:r>
              <w:rPr>
                <w:b w:val="false"/>
                <w:bCs w:val="false"/>
                <w:color w:val="000000"/>
                <w:sz w:val="20"/>
                <w:szCs w:val="20"/>
              </w:rPr>
              <w:t xml:space="preserve">5</w:t>
            </w:r>
          </w:p>
        </w:tc>
        <w:tc>
          <w:tcPr>
            <w:tcW w:type="dxa" w:w="4400"/>
            <w:tcMar>
              <w:top w:type="dxa" w:w="80"/>
              <w:left w:type="dxa" w:w="100"/>
              <w:bottom w:type="dxa" w:w="80"/>
              <w:right w:type="dxa" w:w="100"/>
            </w:tcMar>
            <w:vAlign w:val="center"/>
          </w:tcPr>
          <w:p>
            <w:r>
              <w:rPr>
                <w:b w:val="false"/>
                <w:bCs w:val="false"/>
                <w:color w:val="000000"/>
                <w:sz w:val="20"/>
                <w:szCs w:val="20"/>
              </w:rPr>
              <w:t xml:space="preserve">SEO, social media, branding, content writing, growth</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Creative Media</w:t>
            </w:r>
          </w:p>
        </w:tc>
        <w:tc>
          <w:tcPr>
            <w:tcW w:type="dxa" w:w="1200"/>
            <w:tcMar>
              <w:top w:type="dxa" w:w="80"/>
              <w:left w:type="dxa" w:w="100"/>
              <w:bottom w:type="dxa" w:w="80"/>
              <w:right w:type="dxa" w:w="100"/>
            </w:tcMar>
            <w:vAlign w:val="center"/>
          </w:tcPr>
          <w:p>
            <w:r>
              <w:rPr>
                <w:b w:val="false"/>
                <w:bCs w:val="false"/>
                <w:color w:val="000000"/>
                <w:sz w:val="20"/>
                <w:szCs w:val="20"/>
              </w:rPr>
              <w:t xml:space="preserve">2</w:t>
            </w:r>
          </w:p>
        </w:tc>
        <w:tc>
          <w:tcPr>
            <w:tcW w:type="dxa" w:w="4400"/>
            <w:tcMar>
              <w:top w:type="dxa" w:w="80"/>
              <w:left w:type="dxa" w:w="100"/>
              <w:bottom w:type="dxa" w:w="80"/>
              <w:right w:type="dxa" w:w="100"/>
            </w:tcMar>
            <w:vAlign w:val="center"/>
          </w:tcPr>
          <w:p>
            <w:r>
              <w:rPr>
                <w:b w:val="false"/>
                <w:bCs w:val="false"/>
                <w:color w:val="000000"/>
                <w:sz w:val="20"/>
                <w:szCs w:val="20"/>
              </w:rPr>
              <w:t xml:space="preserve">Photography, videography, corporate films</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Training / Skill Dev.</w:t>
            </w:r>
          </w:p>
        </w:tc>
        <w:tc>
          <w:tcPr>
            <w:tcW w:type="dxa" w:w="1200"/>
            <w:tcMar>
              <w:top w:type="dxa" w:w="80"/>
              <w:left w:type="dxa" w:w="100"/>
              <w:bottom w:type="dxa" w:w="80"/>
              <w:right w:type="dxa" w:w="100"/>
            </w:tcMar>
            <w:vAlign w:val="center"/>
          </w:tcPr>
          <w:p>
            <w:r>
              <w:rPr>
                <w:b w:val="false"/>
                <w:bCs w:val="false"/>
                <w:color w:val="000000"/>
                <w:sz w:val="20"/>
                <w:szCs w:val="20"/>
              </w:rPr>
              <w:t xml:space="preserve">3</w:t>
            </w:r>
          </w:p>
        </w:tc>
        <w:tc>
          <w:tcPr>
            <w:tcW w:type="dxa" w:w="4400"/>
            <w:tcMar>
              <w:top w:type="dxa" w:w="80"/>
              <w:left w:type="dxa" w:w="100"/>
              <w:bottom w:type="dxa" w:w="80"/>
              <w:right w:type="dxa" w:w="100"/>
            </w:tcMar>
            <w:vAlign w:val="center"/>
          </w:tcPr>
          <w:p>
            <w:r>
              <w:rPr>
                <w:b w:val="false"/>
                <w:bCs w:val="false"/>
                <w:color w:val="000000"/>
                <w:sz w:val="20"/>
                <w:szCs w:val="20"/>
              </w:rPr>
              <w:t xml:space="preserve">Skill Development Centre, internships</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Pricing</w:t>
            </w:r>
          </w:p>
        </w:tc>
        <w:tc>
          <w:tcPr>
            <w:tcW w:type="dxa" w:w="1200"/>
            <w:tcMar>
              <w:top w:type="dxa" w:w="80"/>
              <w:left w:type="dxa" w:w="100"/>
              <w:bottom w:type="dxa" w:w="80"/>
              <w:right w:type="dxa" w:w="100"/>
            </w:tcMar>
            <w:vAlign w:val="center"/>
          </w:tcPr>
          <w:p>
            <w:r>
              <w:rPr>
                <w:b w:val="false"/>
                <w:bCs w:val="false"/>
                <w:color w:val="000000"/>
                <w:sz w:val="20"/>
                <w:szCs w:val="20"/>
              </w:rPr>
              <w:t xml:space="preserve">5</w:t>
            </w:r>
          </w:p>
        </w:tc>
        <w:tc>
          <w:tcPr>
            <w:tcW w:type="dxa" w:w="4400"/>
            <w:tcMar>
              <w:top w:type="dxa" w:w="80"/>
              <w:left w:type="dxa" w:w="100"/>
              <w:bottom w:type="dxa" w:w="80"/>
              <w:right w:type="dxa" w:w="100"/>
            </w:tcMar>
            <w:vAlign w:val="center"/>
          </w:tcPr>
          <w:p>
            <w:r>
              <w:rPr>
                <w:b w:val="false"/>
                <w:bCs w:val="false"/>
                <w:color w:val="000000"/>
                <w:sz w:val="20"/>
                <w:szCs w:val="20"/>
              </w:rPr>
              <w:t xml:space="preserve">Cost, subscriptions, payment methods, revisions, timelines</w:t>
            </w:r>
          </w:p>
        </w:tc>
      </w:tr>
      <w:tr>
        <w:tc>
          <w:tcPr>
            <w:tcW w:type="dxa" w:w="3800"/>
            <w:tcMar>
              <w:top w:type="dxa" w:w="80"/>
              <w:left w:type="dxa" w:w="100"/>
              <w:bottom w:type="dxa" w:w="80"/>
              <w:right w:type="dxa" w:w="100"/>
            </w:tcMar>
            <w:vAlign w:val="center"/>
          </w:tcPr>
          <w:p>
            <w:r>
              <w:rPr>
                <w:b w:val="false"/>
                <w:bCs w:val="false"/>
                <w:color w:val="000000"/>
                <w:sz w:val="20"/>
                <w:szCs w:val="20"/>
              </w:rPr>
              <w:t xml:space="preserve">Company / Mission, Trust, Careers, International</w:t>
            </w:r>
          </w:p>
        </w:tc>
        <w:tc>
          <w:tcPr>
            <w:tcW w:type="dxa" w:w="1200"/>
            <w:tcMar>
              <w:top w:type="dxa" w:w="80"/>
              <w:left w:type="dxa" w:w="100"/>
              <w:bottom w:type="dxa" w:w="80"/>
              <w:right w:type="dxa" w:w="100"/>
            </w:tcMar>
            <w:vAlign w:val="center"/>
          </w:tcPr>
          <w:p>
            <w:r>
              <w:rPr>
                <w:b w:val="false"/>
                <w:bCs w:val="false"/>
                <w:color w:val="000000"/>
                <w:sz w:val="20"/>
                <w:szCs w:val="20"/>
              </w:rPr>
              <w:t xml:space="preserve">4</w:t>
            </w:r>
          </w:p>
        </w:tc>
        <w:tc>
          <w:tcPr>
            <w:tcW w:type="dxa" w:w="4400"/>
            <w:tcMar>
              <w:top w:type="dxa" w:w="80"/>
              <w:left w:type="dxa" w:w="100"/>
              <w:bottom w:type="dxa" w:w="80"/>
              <w:right w:type="dxa" w:w="100"/>
            </w:tcMar>
            <w:vAlign w:val="center"/>
          </w:tcPr>
          <w:p>
            <w:r>
              <w:rPr>
                <w:b w:val="false"/>
                <w:bCs w:val="false"/>
                <w:color w:val="000000"/>
                <w:sz w:val="20"/>
                <w:szCs w:val="20"/>
              </w:rPr>
              <w:t xml:space="preserve">Mission, SafeX Trust, hiring, international clients</w:t>
            </w:r>
          </w:p>
        </w:tc>
      </w:tr>
    </w:tbl>
    <w:p>
      <w:pPr>
        <w:spacing w:after="100"/>
      </w:pPr>
    </w:p>
    <w:p>
      <w:pPr>
        <w:pBdr>
          <w:left w:val="single" w:color="2E74B5" w:sz="16" w:space="8"/>
        </w:pBdr>
        <w:shd w:fill="EAF1F8" w:val="clear"/>
        <w:spacing w:after="160" w:before="120"/>
        <w:ind w:left="100"/>
      </w:pPr>
      <w:r>
        <w:rPr>
          <w:b/>
          <w:bCs/>
          <w:color w:val="2E74B5"/>
        </w:rPr>
        <w:t xml:space="preserve">Note: </w:t>
      </w:r>
      <w:r>
        <w:t xml:space="preserve">The live Cybersecurity sub-page on safexsolutions.com is still “under construction”, so those FAQs were written from what is published elsewhere on the site. A few process-related FAQs (payment methods, revisions, timelines, NDAs) are answered generically with a pointer to contact the team directly, since those specifics aren't published on the website — this avoids inventing details that aren't actually confirmed.</w:t>
      </w:r>
    </w:p>
    <w:p>
      <w:pPr>
        <w:pStyle w:val="Heading2"/>
        <w:spacing w:after="120" w:before="280"/>
      </w:pPr>
      <w:r>
        <w:t xml:space="preserve">Why extra Roman Urdu variants matter</w:t>
      </w:r>
    </w:p>
    <w:p>
      <w:pPr>
        <w:spacing w:after="160"/>
      </w:pPr>
      <w:r>
        <w:t xml:space="preserve">Real users rarely type Roman Urdu the same way twice — spelling, word order, and phrasing all vary from person to person (e.g. “kya” vs “kia”, “hai” vs “h”, “aap” vs “ap”). Rather than relying on one “correct” Roman Urdu phrasing per question, 60 extra phrasing variants were added across the dataset, each one indexed as its own searchable entry that still points back to the same answer. This is the single biggest lever for making the matching “stronger” in the way the team asked for — it doesn't just add more questions, it adds more ways of asking the same questions.</w:t>
      </w:r>
    </w:p>
    <w:p>
      <w:pPr>
        <w:pStyle w:val="Heading1"/>
        <w:spacing w:after="160" w:before="360"/>
      </w:pPr>
      <w:r>
        <w:t xml:space="preserve">3. How the Matching Engine Functions</w:t>
      </w:r>
    </w:p>
    <w:p>
      <w:pPr>
        <w:spacing w:after="160"/>
      </w:pPr>
      <w:r>
        <w:t xml:space="preserve">The engine lives in chatbot_engine.py, inside the FAQMatchingEngine class. Here is the flow, step by step:</w:t>
      </w:r>
    </w:p>
    <w:p>
      <w:pPr>
        <w:pStyle w:val="Heading2"/>
        <w:spacing w:after="120" w:before="280"/>
      </w:pPr>
      <w:r>
        <w:t xml:space="preserve">Step 1 — Load the FAQs</w:t>
      </w:r>
    </w:p>
    <w:p>
      <w:pPr>
        <w:spacing w:after="160"/>
      </w:pPr>
      <w:r>
        <w:t xml:space="preserve">On startup, the engine reads faqs.json (or faqs.csv) into memory.</w:t>
      </w:r>
    </w:p>
    <w:p>
      <w:pPr>
        <w:pStyle w:val="Heading2"/>
        <w:spacing w:after="120" w:before="280"/>
      </w:pPr>
      <w:r>
        <w:t xml:space="preserve">Step 2 — Build a bilingual search index</w:t>
      </w:r>
    </w:p>
    <w:p>
      <w:pPr>
        <w:spacing w:after="160"/>
      </w:pPr>
      <w:r>
        <w:t xml:space="preserve">The English question, the primary Roman Urdu question, every extra Roman Urdu variant, and any keywords for each FAQ are all added to one combined list of searchable text — all pointing back to the same answer. This means a user can type in English, Roman Urdu (in more than one common phrasing), or a mix of both, and still get matched correctly, without any separate translation step.</w:t>
      </w:r>
    </w:p>
    <w:p>
      <w:pPr>
        <w:pStyle w:val="Heading2"/>
        <w:spacing w:after="120" w:before="280"/>
      </w:pPr>
      <w:r>
        <w:t xml:space="preserve">Step 3 — TF-IDF vectorization</w:t>
      </w:r>
    </w:p>
    <w:p>
      <w:pPr>
        <w:spacing w:after="160"/>
      </w:pPr>
      <w:r>
        <w:t xml:space="preserve">Every question in the index is converted into a TF-IDF vector — a numeric representation where words that are distinctive to a question (like “cybersecurity” or “internship”) are weighted more heavily than generic filler words (like “do”, “you”, “with”, which are filtered out entirely). It also looks at pairs of words (bigrams), not just single words, so phrases like “web development” are captured as a unit.</w:t>
      </w:r>
    </w:p>
    <w:p>
      <w:pPr>
        <w:pStyle w:val="Heading2"/>
        <w:spacing w:after="120" w:before="280"/>
      </w:pPr>
      <w:r>
        <w:t xml:space="preserve">Step 4 — Cosine similarity matching</w:t>
      </w:r>
    </w:p>
    <w:p>
      <w:pPr>
        <w:spacing w:after="160"/>
      </w:pPr>
      <w:r>
        <w:t xml:space="preserve">When a user asks a question, it is converted into the same kind of vector, then compared against every FAQ vector in the index using cosine similarity — a standard measure of how close two pieces of text are in meaning-by-keyword-overlap. The FAQ with the highest similarity score is the “best match”.</w:t>
      </w:r>
    </w:p>
    <w:p>
      <w:pPr>
        <w:pStyle w:val="Heading2"/>
        <w:spacing w:after="120" w:before="280"/>
      </w:pPr>
      <w:r>
        <w:t xml:space="preserve">Step 5 — Confidence score</w:t>
      </w:r>
    </w:p>
    <w:p>
      <w:pPr>
        <w:spacing w:after="160"/>
      </w:pPr>
      <w:r>
        <w:t xml:space="preserve">The similarity score itself (a number between 0 and 1) is returned as the confidence score. A score close to 1 means a near-exact match; a score close to 0 means the engine found nothing relevant. The current cutoff is 0.25 — below that, the bot does not guess. Instead it returns a polite fallback message pointing the user to contact SafeX directly.</w:t>
      </w:r>
    </w:p>
    <w:p>
      <w:pPr>
        <w:pStyle w:val="Heading2"/>
        <w:spacing w:after="120" w:before="280"/>
      </w:pPr>
      <w:r>
        <w:t xml:space="preserve">Step 6 — Output</w:t>
      </w:r>
    </w:p>
    <w:p>
      <w:pPr>
        <w:spacing w:after="160"/>
      </w:pPr>
      <w:r>
        <w:t xml:space="preserve">Calling engine.answer("your question") returns a dictionary with everything Module 2/3 need:</w:t>
      </w:r>
    </w:p>
    <w:p>
      <w:pPr>
        <w:shd w:fill="F2F2F2" w:val="clear"/>
        <w:spacing w:after="0"/>
        <w:ind w:left="200" w:right="200"/>
      </w:pPr>
      <w:r>
        <w:rPr>
          <w:rFonts w:ascii="Consolas" w:cs="Consolas" w:eastAsia="Consolas" w:hAnsi="Consolas"/>
          <w:color w:val="333333"/>
          <w:sz w:val="19"/>
          <w:szCs w:val="19"/>
        </w:rPr>
        <w:t xml:space="preserve">{</w:t>
      </w:r>
    </w:p>
    <w:p>
      <w:pPr>
        <w:shd w:fill="F2F2F2" w:val="clear"/>
        <w:spacing w:after="0"/>
        <w:ind w:left="200" w:right="200"/>
      </w:pPr>
      <w:r>
        <w:rPr>
          <w:rFonts w:ascii="Consolas" w:cs="Consolas" w:eastAsia="Consolas" w:hAnsi="Consolas"/>
          <w:color w:val="333333"/>
          <w:sz w:val="19"/>
          <w:szCs w:val="19"/>
        </w:rPr>
        <w:t xml:space="preserve">  "question": "Aap web development karte hain?",</w:t>
      </w:r>
    </w:p>
    <w:p>
      <w:pPr>
        <w:shd w:fill="F2F2F2" w:val="clear"/>
        <w:spacing w:after="0"/>
        <w:ind w:left="200" w:right="200"/>
      </w:pPr>
      <w:r>
        <w:rPr>
          <w:rFonts w:ascii="Consolas" w:cs="Consolas" w:eastAsia="Consolas" w:hAnsi="Consolas"/>
          <w:color w:val="333333"/>
          <w:sz w:val="19"/>
          <w:szCs w:val="19"/>
        </w:rPr>
        <w:t xml:space="preserve">  "answer": "Yes, SafeX Solutions builds responsive, fast-loading...",</w:t>
      </w:r>
    </w:p>
    <w:p>
      <w:pPr>
        <w:shd w:fill="F2F2F2" w:val="clear"/>
        <w:spacing w:after="0"/>
        <w:ind w:left="200" w:right="200"/>
      </w:pPr>
      <w:r>
        <w:rPr>
          <w:rFonts w:ascii="Consolas" w:cs="Consolas" w:eastAsia="Consolas" w:hAnsi="Consolas"/>
          <w:color w:val="333333"/>
          <w:sz w:val="19"/>
          <w:szCs w:val="19"/>
        </w:rPr>
        <w:t xml:space="preserve">  "confidence": 0.52,</w:t>
      </w:r>
    </w:p>
    <w:p>
      <w:pPr>
        <w:shd w:fill="F2F2F2" w:val="clear"/>
        <w:spacing w:after="0"/>
        <w:ind w:left="200" w:right="200"/>
      </w:pPr>
      <w:r>
        <w:rPr>
          <w:rFonts w:ascii="Consolas" w:cs="Consolas" w:eastAsia="Consolas" w:hAnsi="Consolas"/>
          <w:color w:val="333333"/>
          <w:sz w:val="19"/>
          <w:szCs w:val="19"/>
        </w:rPr>
        <w:t xml:space="preserve">  "matched_faq_question": "Does SafeX Solutions offer web development services?",</w:t>
      </w:r>
    </w:p>
    <w:p>
      <w:pPr>
        <w:shd w:fill="F2F2F2" w:val="clear"/>
        <w:spacing w:after="0"/>
        <w:ind w:left="200" w:right="200"/>
      </w:pPr>
      <w:r>
        <w:rPr>
          <w:rFonts w:ascii="Consolas" w:cs="Consolas" w:eastAsia="Consolas" w:hAnsi="Consolas"/>
          <w:color w:val="333333"/>
          <w:sz w:val="19"/>
          <w:szCs w:val="19"/>
        </w:rPr>
        <w:t xml:space="preserve">  "category": "Web Development",</w:t>
      </w:r>
    </w:p>
    <w:p>
      <w:pPr>
        <w:shd w:fill="F2F2F2" w:val="clear"/>
        <w:spacing w:after="0"/>
        <w:ind w:left="200" w:right="200"/>
      </w:pPr>
      <w:r>
        <w:rPr>
          <w:rFonts w:ascii="Consolas" w:cs="Consolas" w:eastAsia="Consolas" w:hAnsi="Consolas"/>
          <w:color w:val="333333"/>
          <w:sz w:val="19"/>
          <w:szCs w:val="19"/>
        </w:rPr>
        <w:t xml:space="preserve">  "faq_id": 15</w:t>
      </w:r>
    </w:p>
    <w:p>
      <w:pPr>
        <w:shd w:fill="F2F2F2" w:val="clear"/>
        <w:spacing w:after="160"/>
        <w:ind w:left="200" w:right="200"/>
      </w:pPr>
      <w:r>
        <w:rPr>
          <w:rFonts w:ascii="Consolas" w:cs="Consolas" w:eastAsia="Consolas" w:hAnsi="Consolas"/>
          <w:color w:val="333333"/>
          <w:sz w:val="19"/>
          <w:szCs w:val="19"/>
        </w:rPr>
        <w:t xml:space="preserve">}</w:t>
      </w:r>
    </w:p>
    <w:p>
      <w:pPr>
        <w:pStyle w:val="Heading2"/>
        <w:spacing w:after="120" w:before="280"/>
      </w:pPr>
      <w:r>
        <w:t xml:space="preserve">Extra tools already built in</w:t>
      </w:r>
    </w:p>
    <w:p>
      <w:pPr>
        <w:pStyle w:val="ListParagraph"/>
        <w:numPr>
          <w:ilvl w:val="0"/>
          <w:numId w:val="2"/>
        </w:numPr>
        <w:spacing w:after="80"/>
      </w:pPr>
      <w:r>
        <w:t xml:space="preserve">get_top_matches(question, k=3) — returns the top 3 distinct matches instead of just 1, useful for a “did you mean...?” suggestion feature later.</w:t>
      </w:r>
    </w:p>
    <w:p>
      <w:pPr>
        <w:pStyle w:val="ListParagraph"/>
        <w:numPr>
          <w:ilvl w:val="0"/>
          <w:numId w:val="2"/>
        </w:numPr>
        <w:spacing w:after="80"/>
      </w:pPr>
      <w:r>
        <w:t xml:space="preserve">matched_language — tells you whether the English or Roman Urdu phrasing scored higher, so Module 2 knows which language to reply in.</w:t>
      </w:r>
    </w:p>
    <w:p>
      <w:pPr>
        <w:pStyle w:val="ListParagraph"/>
        <w:numPr>
          <w:ilvl w:val="0"/>
          <w:numId w:val="2"/>
        </w:numPr>
        <w:spacing w:after="80"/>
      </w:pPr>
      <w:r>
        <w:t xml:space="preserve">CONFIDENCE_THRESHOLD — a single adjustable setting to make the bot stricter or more lenient once real user questions start coming in.</w:t>
      </w:r>
    </w:p>
    <w:p>
      <w:pPr>
        <w:pStyle w:val="Heading1"/>
        <w:spacing w:after="160" w:before="360"/>
      </w:pPr>
      <w:r>
        <w:t xml:space="preserve">4. How to Run This in Google Colab</w:t>
      </w:r>
    </w:p>
    <w:p>
      <w:pPr>
        <w:spacing w:after="160"/>
      </w:pPr>
      <w:r>
        <w:t xml:space="preserve">Google Colab already has scikit-learn (the library the engine depends on) pre-installed, so no special setup is needed — just get the two files in and run.</w:t>
      </w:r>
    </w:p>
    <w:p>
      <w:pPr>
        <w:pStyle w:val="Heading2"/>
        <w:spacing w:after="120" w:before="280"/>
      </w:pPr>
      <w:r>
        <w:t xml:space="preserve">Step 1: Open Colab</w:t>
      </w:r>
    </w:p>
    <w:p>
      <w:pPr>
        <w:spacing w:after="160"/>
      </w:pPr>
      <w:r>
        <w:t xml:space="preserve">Go to colab.research.google.com and start a New notebook.</w:t>
      </w:r>
    </w:p>
    <w:p>
      <w:pPr>
        <w:pStyle w:val="Heading2"/>
        <w:spacing w:after="120" w:before="280"/>
      </w:pPr>
      <w:r>
        <w:t xml:space="preserve">Step 2: Upload the files</w:t>
      </w:r>
    </w:p>
    <w:p>
      <w:pPr>
        <w:spacing w:after="160"/>
      </w:pPr>
      <w:r>
        <w:t xml:space="preserve">In the first cell, run:</w:t>
      </w:r>
    </w:p>
    <w:p>
      <w:pPr>
        <w:shd w:fill="F2F2F2" w:val="clear"/>
        <w:spacing w:after="0"/>
        <w:ind w:left="200" w:right="200"/>
      </w:pPr>
      <w:r>
        <w:rPr>
          <w:rFonts w:ascii="Consolas" w:cs="Consolas" w:eastAsia="Consolas" w:hAnsi="Consolas"/>
          <w:color w:val="333333"/>
          <w:sz w:val="19"/>
          <w:szCs w:val="19"/>
        </w:rPr>
        <w:t xml:space="preserve">from google.colab import files</w:t>
      </w:r>
    </w:p>
    <w:p>
      <w:pPr>
        <w:shd w:fill="F2F2F2" w:val="clear"/>
        <w:spacing w:after="160"/>
        <w:ind w:left="200" w:right="200"/>
      </w:pPr>
      <w:r>
        <w:rPr>
          <w:rFonts w:ascii="Consolas" w:cs="Consolas" w:eastAsia="Consolas" w:hAnsi="Consolas"/>
          <w:color w:val="333333"/>
          <w:sz w:val="19"/>
          <w:szCs w:val="19"/>
        </w:rPr>
        <w:t xml:space="preserve">uploaded = files.upload()   # select faqs.json and chatbot_engine.py</w:t>
      </w:r>
    </w:p>
    <w:p>
      <w:pPr>
        <w:spacing w:after="160"/>
      </w:pPr>
      <w:r>
        <w:t xml:space="preserve">A file picker will pop up — select faqs.json and chatbot_engine.py from your computer.</w:t>
      </w:r>
    </w:p>
    <w:p>
      <w:pPr>
        <w:pStyle w:val="Heading2"/>
        <w:spacing w:after="120" w:before="280"/>
      </w:pPr>
      <w:r>
        <w:t xml:space="preserve">Step 3: Load the engine</w:t>
      </w:r>
    </w:p>
    <w:p>
      <w:pPr>
        <w:shd w:fill="F2F2F2" w:val="clear"/>
        <w:spacing w:after="0"/>
        <w:ind w:left="200" w:right="200"/>
      </w:pPr>
      <w:r>
        <w:rPr>
          <w:rFonts w:ascii="Consolas" w:cs="Consolas" w:eastAsia="Consolas" w:hAnsi="Consolas"/>
          <w:color w:val="333333"/>
          <w:sz w:val="19"/>
          <w:szCs w:val="19"/>
        </w:rPr>
        <w:t xml:space="preserve">from chatbot_engine import FAQMatchingEngine</w:t>
      </w:r>
    </w:p>
    <w:p>
      <w:pPr>
        <w:shd w:fill="F2F2F2" w:val="clear"/>
        <w:spacing w:after="0"/>
        <w:ind w:left="200" w:right="200"/>
      </w:pPr>
      <w:r>
        <w:rPr>
          <w:rFonts w:ascii="Consolas" w:cs="Consolas" w:eastAsia="Consolas" w:hAnsi="Consolas"/>
          <w:color w:val="333333"/>
          <w:sz w:val="19"/>
          <w:szCs w:val="19"/>
        </w:rPr>
        <w:t xml:space="preserve"> </w:t>
      </w:r>
    </w:p>
    <w:p>
      <w:pPr>
        <w:shd w:fill="F2F2F2" w:val="clear"/>
        <w:spacing w:after="0"/>
        <w:ind w:left="200" w:right="200"/>
      </w:pPr>
      <w:r>
        <w:rPr>
          <w:rFonts w:ascii="Consolas" w:cs="Consolas" w:eastAsia="Consolas" w:hAnsi="Consolas"/>
          <w:color w:val="333333"/>
          <w:sz w:val="19"/>
          <w:szCs w:val="19"/>
        </w:rPr>
        <w:t xml:space="preserve">engine = FAQMatchingEngine("faqs.json")</w:t>
      </w:r>
    </w:p>
    <w:p>
      <w:pPr>
        <w:shd w:fill="F2F2F2" w:val="clear"/>
        <w:spacing w:after="0"/>
        <w:ind w:left="200" w:right="200"/>
      </w:pPr>
      <w:r>
        <w:rPr>
          <w:rFonts w:ascii="Consolas" w:cs="Consolas" w:eastAsia="Consolas" w:hAnsi="Consolas"/>
          <w:color w:val="333333"/>
          <w:sz w:val="19"/>
          <w:szCs w:val="19"/>
        </w:rPr>
        <w:t xml:space="preserve"> </w:t>
      </w:r>
    </w:p>
    <w:p>
      <w:pPr>
        <w:shd w:fill="F2F2F2" w:val="clear"/>
        <w:spacing w:after="0"/>
        <w:ind w:left="200" w:right="200"/>
      </w:pPr>
      <w:r>
        <w:rPr>
          <w:rFonts w:ascii="Consolas" w:cs="Consolas" w:eastAsia="Consolas" w:hAnsi="Consolas"/>
          <w:color w:val="333333"/>
          <w:sz w:val="19"/>
          <w:szCs w:val="19"/>
        </w:rPr>
        <w:t xml:space="preserve">result = engine.answer("Aap web development karte hain?")</w:t>
      </w:r>
    </w:p>
    <w:p>
      <w:pPr>
        <w:shd w:fill="F2F2F2" w:val="clear"/>
        <w:spacing w:after="160"/>
        <w:ind w:left="200" w:right="200"/>
      </w:pPr>
      <w:r>
        <w:rPr>
          <w:rFonts w:ascii="Consolas" w:cs="Consolas" w:eastAsia="Consolas" w:hAnsi="Consolas"/>
          <w:color w:val="333333"/>
          <w:sz w:val="19"/>
          <w:szCs w:val="19"/>
        </w:rPr>
        <w:t xml:space="preserve">print(result)</w:t>
      </w:r>
    </w:p>
    <w:p>
      <w:pPr>
        <w:pStyle w:val="Heading2"/>
        <w:spacing w:after="120" w:before="280"/>
      </w:pPr>
      <w:r>
        <w:t xml:space="preserve">Step 4: Run the full demo (optional)</w:t>
      </w:r>
    </w:p>
    <w:p>
      <w:pPr>
        <w:spacing w:after="160"/>
      </w:pPr>
      <w:r>
        <w:t xml:space="preserve">If you also upload demo_test.py, you can run all 21 sample questions at once (English, direct Roman Urdu, and deliberately casual Roman Urdu):</w:t>
      </w:r>
    </w:p>
    <w:p>
      <w:pPr>
        <w:shd w:fill="F2F2F2" w:val="clear"/>
        <w:spacing w:after="160"/>
        <w:ind w:left="200" w:right="200"/>
      </w:pPr>
      <w:r>
        <w:rPr>
          <w:rFonts w:ascii="Consolas" w:cs="Consolas" w:eastAsia="Consolas" w:hAnsi="Consolas"/>
          <w:color w:val="333333"/>
          <w:sz w:val="19"/>
          <w:szCs w:val="19"/>
        </w:rPr>
        <w:t xml:space="preserve">!python demo_test.py</w:t>
      </w:r>
    </w:p>
    <w:p>
      <w:pPr>
        <w:pStyle w:val="Heading2"/>
        <w:spacing w:after="120" w:before="280"/>
      </w:pPr>
      <w:r>
        <w:t xml:space="preserve">Step 5: Try your own questions</w:t>
      </w:r>
    </w:p>
    <w:p>
      <w:pPr>
        <w:shd w:fill="F2F2F2" w:val="clear"/>
        <w:spacing w:after="0"/>
        <w:ind w:left="200" w:right="200"/>
      </w:pPr>
      <w:r>
        <w:rPr>
          <w:rFonts w:ascii="Consolas" w:cs="Consolas" w:eastAsia="Consolas" w:hAnsi="Consolas"/>
          <w:color w:val="333333"/>
          <w:sz w:val="19"/>
          <w:szCs w:val="19"/>
        </w:rPr>
        <w:t xml:space="preserve">while True:</w:t>
      </w:r>
    </w:p>
    <w:p>
      <w:pPr>
        <w:shd w:fill="F2F2F2" w:val="clear"/>
        <w:spacing w:after="0"/>
        <w:ind w:left="200" w:right="200"/>
      </w:pPr>
      <w:r>
        <w:rPr>
          <w:rFonts w:ascii="Consolas" w:cs="Consolas" w:eastAsia="Consolas" w:hAnsi="Consolas"/>
          <w:color w:val="333333"/>
          <w:sz w:val="19"/>
          <w:szCs w:val="19"/>
        </w:rPr>
        <w:t xml:space="preserve">    q = input("You: ")</w:t>
      </w:r>
    </w:p>
    <w:p>
      <w:pPr>
        <w:shd w:fill="F2F2F2" w:val="clear"/>
        <w:spacing w:after="0"/>
        <w:ind w:left="200" w:right="200"/>
      </w:pPr>
      <w:r>
        <w:rPr>
          <w:rFonts w:ascii="Consolas" w:cs="Consolas" w:eastAsia="Consolas" w:hAnsi="Consolas"/>
          <w:color w:val="333333"/>
          <w:sz w:val="19"/>
          <w:szCs w:val="19"/>
        </w:rPr>
        <w:t xml:space="preserve">    if q.lower() in ["exit", "quit"]:</w:t>
      </w:r>
    </w:p>
    <w:p>
      <w:pPr>
        <w:shd w:fill="F2F2F2" w:val="clear"/>
        <w:spacing w:after="0"/>
        <w:ind w:left="200" w:right="200"/>
      </w:pPr>
      <w:r>
        <w:rPr>
          <w:rFonts w:ascii="Consolas" w:cs="Consolas" w:eastAsia="Consolas" w:hAnsi="Consolas"/>
          <w:color w:val="333333"/>
          <w:sz w:val="19"/>
          <w:szCs w:val="19"/>
        </w:rPr>
        <w:t xml:space="preserve">        break</w:t>
      </w:r>
    </w:p>
    <w:p>
      <w:pPr>
        <w:shd w:fill="F2F2F2" w:val="clear"/>
        <w:spacing w:after="0"/>
        <w:ind w:left="200" w:right="200"/>
      </w:pPr>
      <w:r>
        <w:rPr>
          <w:rFonts w:ascii="Consolas" w:cs="Consolas" w:eastAsia="Consolas" w:hAnsi="Consolas"/>
          <w:color w:val="333333"/>
          <w:sz w:val="19"/>
          <w:szCs w:val="19"/>
        </w:rPr>
        <w:t xml:space="preserve">    res = engine.answer(q)</w:t>
      </w:r>
    </w:p>
    <w:p>
      <w:pPr>
        <w:shd w:fill="F2F2F2" w:val="clear"/>
        <w:spacing w:after="160"/>
        <w:ind w:left="200" w:right="200"/>
      </w:pPr>
      <w:r>
        <w:rPr>
          <w:rFonts w:ascii="Consolas" w:cs="Consolas" w:eastAsia="Consolas" w:hAnsi="Consolas"/>
          <w:color w:val="333333"/>
          <w:sz w:val="19"/>
          <w:szCs w:val="19"/>
        </w:rPr>
        <w:t xml:space="preserve">    print(f"Bot: {res['answer']}  (confidence: {res['confidence']})")</w:t>
      </w:r>
    </w:p>
    <w:p>
      <w:pPr>
        <w:pStyle w:val="Heading2"/>
        <w:spacing w:after="120" w:before="280"/>
      </w:pPr>
      <w:r>
        <w:t xml:space="preserve">Things to keep in mind on Colab</w:t>
      </w:r>
    </w:p>
    <w:p>
      <w:pPr>
        <w:pStyle w:val="ListParagraph"/>
        <w:numPr>
          <w:ilvl w:val="0"/>
          <w:numId w:val="2"/>
        </w:numPr>
        <w:spacing w:after="80"/>
      </w:pPr>
      <w:r>
        <w:t xml:space="preserve">Colab wipes its file storage every time the session disconnects or restarts — you will need to re-upload faqs.json and chatbot_engine.py each fresh session, unless you mount Google Drive instead.</w:t>
      </w:r>
    </w:p>
    <w:p>
      <w:pPr>
        <w:pStyle w:val="ListParagraph"/>
        <w:numPr>
          <w:ilvl w:val="0"/>
          <w:numId w:val="2"/>
        </w:numPr>
        <w:spacing w:after="80"/>
      </w:pPr>
      <w:r>
        <w:t xml:space="preserve">Keep faqs.json and chatbot_engine.py in the same folder (Colab's default /content/ folder is fine) — the engine loads the JSON using a relative path.</w:t>
      </w:r>
    </w:p>
    <w:p>
      <w:pPr>
        <w:pStyle w:val="ListParagraph"/>
        <w:numPr>
          <w:ilvl w:val="0"/>
          <w:numId w:val="2"/>
        </w:numPr>
        <w:spacing w:after="80"/>
      </w:pPr>
      <w:r>
        <w:t xml:space="preserve">If you ever see “ModuleNotFoundError: sklearn”, run !pip install scikit-learn in a cell — but this is rare since Colab includes it by default.</w:t>
      </w:r>
    </w:p>
    <w:p>
      <w:pPr>
        <w:pStyle w:val="Heading1"/>
        <w:spacing w:after="160" w:before="360"/>
      </w:pPr>
      <w:r>
        <w:t xml:space="preserve">5. Current Status &amp; What's Next</w:t>
      </w:r>
    </w:p>
    <w:p>
      <w:pPr>
        <w:spacing w:after="160"/>
      </w:pPr>
      <w:r>
        <w:t xml:space="preserve">What's working right now:</w:t>
      </w:r>
    </w:p>
    <w:p>
      <w:pPr>
        <w:pStyle w:val="ListParagraph"/>
        <w:numPr>
          <w:ilvl w:val="0"/>
          <w:numId w:val="2"/>
        </w:numPr>
        <w:spacing w:after="80"/>
      </w:pPr>
      <w:r>
        <w:t xml:space="preserve">45-question bilingual FAQ dataset (up from 30), sourced from the real SafeX Solutions website</w:t>
      </w:r>
    </w:p>
    <w:p>
      <w:pPr>
        <w:pStyle w:val="ListParagraph"/>
        <w:numPr>
          <w:ilvl w:val="0"/>
          <w:numId w:val="2"/>
        </w:numPr>
        <w:spacing w:after="80"/>
      </w:pPr>
      <w:r>
        <w:t xml:space="preserve">60 extra Roman Urdu phrasing variants added across the dataset for stronger, more realistic matching</w:t>
      </w:r>
    </w:p>
    <w:p>
      <w:pPr>
        <w:pStyle w:val="ListParagraph"/>
        <w:numPr>
          <w:ilvl w:val="0"/>
          <w:numId w:val="2"/>
        </w:numPr>
        <w:spacing w:after="80"/>
      </w:pPr>
      <w:r>
        <w:t xml:space="preserve">TF-IDF + Cosine Similarity matching engine with confidence scoring</w:t>
      </w:r>
    </w:p>
    <w:p>
      <w:pPr>
        <w:pStyle w:val="ListParagraph"/>
        <w:numPr>
          <w:ilvl w:val="0"/>
          <w:numId w:val="2"/>
        </w:numPr>
        <w:spacing w:after="80"/>
      </w:pPr>
      <w:r>
        <w:t xml:space="preserve">Handles English, Roman Urdu (in multiple common phrasings), or mixed-language input</w:t>
      </w:r>
    </w:p>
    <w:p>
      <w:pPr>
        <w:pStyle w:val="ListParagraph"/>
        <w:numPr>
          <w:ilvl w:val="0"/>
          <w:numId w:val="2"/>
        </w:numPr>
        <w:spacing w:after="80"/>
      </w:pPr>
      <w:r>
        <w:t xml:space="preserve">Fallback response when confidence is too low, instead of guessing wrong</w:t>
      </w:r>
    </w:p>
    <w:p>
      <w:pPr>
        <w:pStyle w:val="ListParagraph"/>
        <w:numPr>
          <w:ilvl w:val="0"/>
          <w:numId w:val="2"/>
        </w:numPr>
        <w:spacing w:after="80"/>
      </w:pPr>
      <w:r>
        <w:t xml:space="preserve">Tested against 21 sample questions — 18/21 (86%) answered with confidence ≥ 0.25, including several deliberately hard/casual Roman Urdu variants not literally in the dataset</w:t>
      </w:r>
    </w:p>
    <w:p>
      <w:pPr>
        <w:spacing w:after="160"/>
      </w:pPr>
      <w:r>
        <w:rPr>
          <w:b w:val="false"/>
          <w:bCs w:val="false"/>
        </w:rPr>
        <w:t xml:space="preserve">Known limitations (worth knowing before Module 2/3 build on top):</w:t>
      </w:r>
    </w:p>
    <w:p>
      <w:pPr>
        <w:pStyle w:val="ListParagraph"/>
        <w:numPr>
          <w:ilvl w:val="0"/>
          <w:numId w:val="2"/>
        </w:numPr>
        <w:spacing w:after="80"/>
      </w:pPr>
      <w:r>
        <w:t xml:space="preserve">This is a keyword-overlap matcher, not a true semantic/meaning-based one — the 3 test misses were all extremely casual, heavily-abbreviated Roman Urdu (e.g. dropped vowels like “bnate” instead of “banate”). If that becomes a real problem, the engine can be swapped to use sentence-transformers instead, without changing the answer() interface Module 2/3 will already be using.</w:t>
      </w:r>
    </w:p>
    <w:p>
      <w:pPr>
        <w:pStyle w:val="ListParagraph"/>
        <w:numPr>
          <w:ilvl w:val="0"/>
          <w:numId w:val="2"/>
        </w:numPr>
        <w:spacing w:after="80"/>
      </w:pPr>
      <w:r>
        <w:t xml:space="preserve">The confidence threshold (0.25) was tuned on a small test set — it should be revisited once real user questions start coming in.</w:t>
      </w:r>
    </w:p>
    <w:p>
      <w:pPr>
        <w:spacing w:after="160"/>
      </w:pPr>
      <w:r>
        <w:t xml:space="preserve">Suggested next steps for Module 2 &amp; 3:</w:t>
      </w:r>
    </w:p>
    <w:p>
      <w:pPr>
        <w:pStyle w:val="ListParagraph"/>
        <w:numPr>
          <w:ilvl w:val="0"/>
          <w:numId w:val="3"/>
        </w:numPr>
        <w:spacing w:after="80"/>
      </w:pPr>
      <w:r>
        <w:t xml:space="preserve">Module 2 can use matched_language to decide which language to reply in, and add light preprocessing (typo correction, spelling normalization like “kia”→“kya”) before calling engine.answer().</w:t>
      </w:r>
    </w:p>
    <w:p>
      <w:pPr>
        <w:pStyle w:val="ListParagraph"/>
        <w:numPr>
          <w:ilvl w:val="0"/>
          <w:numId w:val="3"/>
        </w:numPr>
        <w:spacing w:after="80"/>
      </w:pPr>
      <w:r>
        <w:t xml:space="preserve">Module 3 can use get_top_matches() to show “did you mean...?” options whenever confidence is below the threshold, instead of only showing the fallback message.</w:t>
      </w:r>
    </w:p>
    <w:p>
      <w:pPr>
        <w:pStyle w:val="ListParagraph"/>
        <w:numPr>
          <w:ilvl w:val="0"/>
          <w:numId w:val="3"/>
        </w:numPr>
        <w:spacing w:after="80"/>
      </w:pPr>
      <w:r>
        <w:t xml:space="preserve">As real conversations come in, new FAQs / keywords / Roman Urdu variants can be added by editing build_dataset.py and re-running it — no manual JSON/CSV editing needed.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2026-07-03T06:55:46.755Z</dcterms:created>
  <dcterms:modified xsi:type="dcterms:W3CDTF">2026-07-03T06:55:46.766Z</dcterms:modified>
</cp:coreProperties>
</file>

<file path=docProps/custom.xml><?xml version="1.0" encoding="utf-8"?>
<Properties xmlns="http://schemas.openxmlformats.org/officeDocument/2006/custom-properties" xmlns:vt="http://schemas.openxmlformats.org/officeDocument/2006/docPropsVTypes"/>
</file>