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Property Buying Guide - Bangalore</w:t>
      </w:r>
    </w:p>
    <w:p>
      <w:pPr>
        <w:pStyle w:val="Heading1"/>
      </w:pPr>
      <w:r>
        <w:t>1. Understanding Property Types</w:t>
      </w:r>
    </w:p>
    <w:p>
      <w:r>
        <w:t>Bangalore's real estate market offers diverse property types to suit different buyer needs and budgets. Understanding these types is crucial before making a purchase decision.</w:t>
      </w:r>
    </w:p>
    <w:p>
      <w:pPr>
        <w:pStyle w:val="Heading2"/>
      </w:pPr>
      <w:r>
        <w:t>Apartments</w:t>
      </w:r>
    </w:p>
    <w:p>
      <w:r>
        <w:t>Apartments are the most common residential property type in Bangalore, ranging from affordable 1BHK units starting at Rs. 25-30 Lakhs in peripheral areas to luxury penthouses costing Rs. 5+ Crores in prime locations. Apartments offer shared amenities, security, and community living. Typical maintenance charges range from Rs. 2-5 per sq.ft. per month. Key considerations include floor level (higher floors command 2-5% premium), facing direction (East and North facing are preferred), and parking allocation.</w:t>
      </w:r>
    </w:p>
    <w:p>
      <w:pPr>
        <w:pStyle w:val="Heading2"/>
      </w:pPr>
      <w:r>
        <w:t>Independent Villas</w:t>
      </w:r>
    </w:p>
    <w:p>
      <w:r>
        <w:t>Villas provide maximum privacy and space, typically ranging from Rs. 1.5-6 Crores in Bangalore. They come with private gardens, dedicated parking, and independent utility connections. Popular villa clusters are in Sarjapur Road, Whitefield, and Yelahanka. Maintenance is the owner's responsibility, though gated villa communities share common area maintenance costs.</w:t>
      </w:r>
    </w:p>
    <w:p>
      <w:pPr>
        <w:pStyle w:val="Heading2"/>
      </w:pPr>
      <w:r>
        <w:t>Plotted Developments</w:t>
      </w:r>
    </w:p>
    <w:p>
      <w:r>
        <w:t>Buying a plot gives maximum flexibility to build a custom home. BMRDA/BDA-approved plots in Bangalore range from Rs. 3,000-8,000 per sq.ft. depending on location. Ensure the plot has clear title, approved layout plan, and all utility connections. Popular areas for plots include Kanakapura Road, Devanahalli, and Sarjapur. Bank loans are available for approved layouts.</w:t>
      </w:r>
    </w:p>
    <w:p>
      <w:pPr>
        <w:pStyle w:val="Heading1"/>
      </w:pPr>
      <w:r>
        <w:t>2. Legal Checklist</w:t>
      </w:r>
    </w:p>
    <w:p>
      <w:pPr>
        <w:pStyle w:val="ListBullet"/>
      </w:pPr>
      <w:r>
        <w:t>RERA Registration: Every project must be registered with Karnataka RERA (K-RERA). Verify at rera.karnataka.gov.in</w:t>
      </w:r>
    </w:p>
    <w:p>
      <w:pPr>
        <w:pStyle w:val="ListBullet"/>
      </w:pPr>
      <w:r>
        <w:t>Title Deed: Ensure clear ownership chain for at least 30 years. Get title verified by an independent lawyer.</w:t>
      </w:r>
    </w:p>
    <w:p>
      <w:pPr>
        <w:pStyle w:val="ListBullet"/>
      </w:pPr>
      <w:r>
        <w:t>Encumbrance Certificate (EC): Obtain for the last 30 years to confirm no pending loans or disputes.</w:t>
      </w:r>
    </w:p>
    <w:p>
      <w:pPr>
        <w:pStyle w:val="ListBullet"/>
      </w:pPr>
      <w:r>
        <w:t>Khata Certificate: Essential for property tax payment and obtaining building plan approval.</w:t>
      </w:r>
    </w:p>
    <w:p>
      <w:pPr>
        <w:pStyle w:val="ListBullet"/>
      </w:pPr>
      <w:r>
        <w:t>Completion Certificate (CC) &amp; Occupancy Certificate (OC): Must be obtained before possession.</w:t>
      </w:r>
    </w:p>
    <w:p>
      <w:pPr>
        <w:pStyle w:val="ListBullet"/>
      </w:pPr>
      <w:r>
        <w:t>Building Plan Approval: Verify from BBMP/BDA/BMRDA depending on the jurisdiction.</w:t>
      </w:r>
    </w:p>
    <w:p>
      <w:pPr>
        <w:pStyle w:val="ListBullet"/>
      </w:pPr>
      <w:r>
        <w:t>Land Use Certificate: Confirm the land is zoned for residential/commercial use as applicable.</w:t>
      </w:r>
    </w:p>
    <w:p>
      <w:pPr>
        <w:pStyle w:val="ListBullet"/>
      </w:pPr>
      <w:r>
        <w:t>NOC from various departments: Fire, water, electricity, environment clearance.</w:t>
      </w:r>
    </w:p>
    <w:p>
      <w:pPr>
        <w:pStyle w:val="Heading1"/>
      </w:pPr>
      <w:r>
        <w:t>3. Home Loan Guide</w:t>
      </w:r>
    </w:p>
    <w:p>
      <w:r>
        <w:t>Most banks offer home loans up to 80% of property value (75% for properties above Rs. 75 Lakhs). Current interest rates range from 8.35-9.5% per annum. Key banks and their current rates: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Bank</w:t>
            </w:r>
          </w:p>
        </w:tc>
        <w:tc>
          <w:tcPr>
            <w:tcW w:type="dxa" w:w="2160"/>
          </w:tcPr>
          <w:p>
            <w:r>
              <w:rPr>
                <w:b/>
              </w:rPr>
              <w:t>Interest Rate</w:t>
            </w:r>
          </w:p>
        </w:tc>
        <w:tc>
          <w:tcPr>
            <w:tcW w:type="dxa" w:w="2160"/>
          </w:tcPr>
          <w:p>
            <w:r>
              <w:rPr>
                <w:b/>
              </w:rPr>
              <w:t>Max Tenure</w:t>
            </w:r>
          </w:p>
        </w:tc>
        <w:tc>
          <w:tcPr>
            <w:tcW w:type="dxa" w:w="2160"/>
          </w:tcPr>
          <w:p>
            <w:r>
              <w:rPr>
                <w:b/>
              </w:rPr>
              <w:t>Processing Fee</w:t>
            </w:r>
          </w:p>
        </w:tc>
      </w:tr>
      <w:tr>
        <w:tc>
          <w:tcPr>
            <w:tcW w:type="dxa" w:w="2160"/>
          </w:tcPr>
          <w:p>
            <w:r>
              <w:t>SBI</w:t>
            </w:r>
          </w:p>
        </w:tc>
        <w:tc>
          <w:tcPr>
            <w:tcW w:type="dxa" w:w="2160"/>
          </w:tcPr>
          <w:p>
            <w:r>
              <w:t>8.35% onwards</w:t>
            </w:r>
          </w:p>
        </w:tc>
        <w:tc>
          <w:tcPr>
            <w:tcW w:type="dxa" w:w="2160"/>
          </w:tcPr>
          <w:p>
            <w:r>
              <w:t>30 years</w:t>
            </w:r>
          </w:p>
        </w:tc>
        <w:tc>
          <w:tcPr>
            <w:tcW w:type="dxa" w:w="2160"/>
          </w:tcPr>
          <w:p>
            <w:r>
              <w:t>0.35% of loan amount</w:t>
            </w:r>
          </w:p>
        </w:tc>
      </w:tr>
      <w:tr>
        <w:tc>
          <w:tcPr>
            <w:tcW w:type="dxa" w:w="2160"/>
          </w:tcPr>
          <w:p>
            <w:r>
              <w:t>HDFC Bank</w:t>
            </w:r>
          </w:p>
        </w:tc>
        <w:tc>
          <w:tcPr>
            <w:tcW w:type="dxa" w:w="2160"/>
          </w:tcPr>
          <w:p>
            <w:r>
              <w:t>8.50% onwards</w:t>
            </w:r>
          </w:p>
        </w:tc>
        <w:tc>
          <w:tcPr>
            <w:tcW w:type="dxa" w:w="2160"/>
          </w:tcPr>
          <w:p>
            <w:r>
              <w:t>30 years</w:t>
            </w:r>
          </w:p>
        </w:tc>
        <w:tc>
          <w:tcPr>
            <w:tcW w:type="dxa" w:w="2160"/>
          </w:tcPr>
          <w:p>
            <w:r>
              <w:t>0.50% of loan amount</w:t>
            </w:r>
          </w:p>
        </w:tc>
      </w:tr>
      <w:tr>
        <w:tc>
          <w:tcPr>
            <w:tcW w:type="dxa" w:w="2160"/>
          </w:tcPr>
          <w:p>
            <w:r>
              <w:t>ICICI Bank</w:t>
            </w:r>
          </w:p>
        </w:tc>
        <w:tc>
          <w:tcPr>
            <w:tcW w:type="dxa" w:w="2160"/>
          </w:tcPr>
          <w:p>
            <w:r>
              <w:t>8.45% onwards</w:t>
            </w:r>
          </w:p>
        </w:tc>
        <w:tc>
          <w:tcPr>
            <w:tcW w:type="dxa" w:w="2160"/>
          </w:tcPr>
          <w:p>
            <w:r>
              <w:t>30 years</w:t>
            </w:r>
          </w:p>
        </w:tc>
        <w:tc>
          <w:tcPr>
            <w:tcW w:type="dxa" w:w="2160"/>
          </w:tcPr>
          <w:p>
            <w:r>
              <w:t>0.50% of loan amount</w:t>
            </w:r>
          </w:p>
        </w:tc>
      </w:tr>
      <w:tr>
        <w:tc>
          <w:tcPr>
            <w:tcW w:type="dxa" w:w="2160"/>
          </w:tcPr>
          <w:p>
            <w:r>
              <w:t>Axis Bank</w:t>
            </w:r>
          </w:p>
        </w:tc>
        <w:tc>
          <w:tcPr>
            <w:tcW w:type="dxa" w:w="2160"/>
          </w:tcPr>
          <w:p>
            <w:r>
              <w:t>8.55% onwards</w:t>
            </w:r>
          </w:p>
        </w:tc>
        <w:tc>
          <w:tcPr>
            <w:tcW w:type="dxa" w:w="2160"/>
          </w:tcPr>
          <w:p>
            <w:r>
              <w:t>25 years</w:t>
            </w:r>
          </w:p>
        </w:tc>
        <w:tc>
          <w:tcPr>
            <w:tcW w:type="dxa" w:w="2160"/>
          </w:tcPr>
          <w:p>
            <w:r>
              <w:t>Rs. 10,000 flat</w:t>
            </w:r>
          </w:p>
        </w:tc>
      </w:tr>
      <w:tr>
        <w:tc>
          <w:tcPr>
            <w:tcW w:type="dxa" w:w="2160"/>
          </w:tcPr>
          <w:p>
            <w:r>
              <w:t>Bank of Baroda</w:t>
            </w:r>
          </w:p>
        </w:tc>
        <w:tc>
          <w:tcPr>
            <w:tcW w:type="dxa" w:w="2160"/>
          </w:tcPr>
          <w:p>
            <w:r>
              <w:t>8.40% onwards</w:t>
            </w:r>
          </w:p>
        </w:tc>
        <w:tc>
          <w:tcPr>
            <w:tcW w:type="dxa" w:w="2160"/>
          </w:tcPr>
          <w:p>
            <w:r>
              <w:t>30 years</w:t>
            </w:r>
          </w:p>
        </w:tc>
        <w:tc>
          <w:tcPr>
            <w:tcW w:type="dxa" w:w="2160"/>
          </w:tcPr>
          <w:p>
            <w:r>
              <w:t>0.25% of loan amount</w:t>
            </w:r>
          </w:p>
        </w:tc>
      </w:tr>
      <w:tr>
        <w:tc>
          <w:tcPr>
            <w:tcW w:type="dxa" w:w="2160"/>
          </w:tcPr>
          <w:p>
            <w:r>
              <w:t>Kotak Mahindra</w:t>
            </w:r>
          </w:p>
        </w:tc>
        <w:tc>
          <w:tcPr>
            <w:tcW w:type="dxa" w:w="2160"/>
          </w:tcPr>
          <w:p>
            <w:r>
              <w:t>8.60% onwards</w:t>
            </w:r>
          </w:p>
        </w:tc>
        <w:tc>
          <w:tcPr>
            <w:tcW w:type="dxa" w:w="2160"/>
          </w:tcPr>
          <w:p>
            <w:r>
              <w:t>25 years</w:t>
            </w:r>
          </w:p>
        </w:tc>
        <w:tc>
          <w:tcPr>
            <w:tcW w:type="dxa" w:w="2160"/>
          </w:tcPr>
          <w:p>
            <w:r>
              <w:t>0.50% of loan amount</w:t>
            </w:r>
          </w:p>
        </w:tc>
      </w:tr>
      <w:tr>
        <w:tc>
          <w:tcPr>
            <w:tcW w:type="dxa" w:w="2160"/>
          </w:tcPr>
          <w:p>
            <w:r>
              <w:t>LIC Housing</w:t>
            </w:r>
          </w:p>
        </w:tc>
        <w:tc>
          <w:tcPr>
            <w:tcW w:type="dxa" w:w="2160"/>
          </w:tcPr>
          <w:p>
            <w:r>
              <w:t>8.50% onwards</w:t>
            </w:r>
          </w:p>
        </w:tc>
        <w:tc>
          <w:tcPr>
            <w:tcW w:type="dxa" w:w="2160"/>
          </w:tcPr>
          <w:p>
            <w:r>
              <w:t>30 years</w:t>
            </w:r>
          </w:p>
        </w:tc>
        <w:tc>
          <w:tcPr>
            <w:tcW w:type="dxa" w:w="2160"/>
          </w:tcPr>
          <w:p>
            <w:r>
              <w:t>Rs. 10,000-15,000</w:t>
            </w:r>
          </w:p>
        </w:tc>
      </w:tr>
    </w:tbl>
    <w:p>
      <w:pPr>
        <w:pStyle w:val="Heading1"/>
      </w:pPr>
      <w:r>
        <w:t>4. Tax Benefits</w:t>
      </w:r>
    </w:p>
    <w:p>
      <w:r>
        <w:t>Home buyers can avail significant tax deductions under the Income Tax Act:</w:t>
        <w:br/>
        <w:br/>
        <w:t>Section 80C: Principal repayment - up to Rs. 1.5 Lakhs per year</w:t>
        <w:br/>
        <w:t>Section 24(b): Interest on home loan - up to Rs. 2 Lakhs per year (self-occupied property)</w:t>
        <w:br/>
        <w:t>Section 80EEA: Additional Rs. 1.5 Lakhs interest deduction for first-time buyers (stamp duty value up to Rs. 45 Lakhs)</w:t>
        <w:br/>
        <w:br/>
        <w:t>Registration charges in Karnataka: 5.6% of property value (5% stamp duty + 1% registration + surcharge). GST of 5% applies to under-construction properties (1% for affordable housing under Rs. 45 Lakhs).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