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Standard Amenities Specification Guide</w:t>
      </w:r>
    </w:p>
    <w:p>
      <w:pPr>
        <w:jc w:val="center"/>
      </w:pPr>
      <w:r>
        <w:t>Reference Document for Premium Residential Projects in Bangalore</w:t>
      </w:r>
    </w:p>
    <w:p>
      <w:pPr>
        <w:pStyle w:val="Heading1"/>
      </w:pPr>
      <w:r>
        <w:t>Swimming Pool Standards</w:t>
      </w:r>
    </w:p>
    <w:p>
      <w:r>
        <w:t>Main Pool: Minimum 25m x 10m lap pool with depth ranging from 3.5 ft to 5.5 ft. Pool must have 6-lane markings for competitive swimming. Water filtration using sand filter and UV treatment. Temperature control system maintaining 26-28 degrees Celsius. Pool deck with Italian porcelain anti-skid tiles. Minimum 12 sun loungers and 4 umbrellas.</w:t>
        <w:br/>
        <w:br/>
        <w:t>Kids Pool: Separate pool with maximum depth of 2 feet. Mushroom shower and water play features. Soft rubber flooring around the pool area. Dedicated lifeguard during operating hours (6 AM - 9 PM).</w:t>
        <w:br/>
        <w:br/>
        <w:t>Changing Rooms: Separate male and female changing rooms with lockers, showers, and washrooms. Minimum 20 lockers per changing room.</w:t>
      </w:r>
    </w:p>
    <w:p>
      <w:pPr>
        <w:pStyle w:val="Heading1"/>
      </w:pPr>
      <w:r>
        <w:t>Gymnasium Standards</w:t>
      </w:r>
    </w:p>
    <w:p>
      <w:r>
        <w:t>Minimum area: 3,000 sq.ft. for projects with 300+ units. Equipment must be commercial grade (Technogym, Life Fitness, or equivalent). Required equipment includes:</w:t>
        <w:br/>
        <w:br/>
        <w:t>Cardio Zone: 8 treadmills, 6 ellipticals, 4 stationary bikes, 2 rowing machines, 2 stair climbers. All cardio equipment must have individual entertainment screens.</w:t>
        <w:br/>
        <w:br/>
        <w:t>Strength Zone: Complete dumbbell rack (5-50 kg), Olympic barbell sets, Smith machine, cable crossover, leg press, lat pulldown, seated row, chest press, shoulder press machines. Minimum 2 adjustable benches.</w:t>
        <w:br/>
        <w:br/>
        <w:t>Free Weights Area: Rubber matted floor, mirror wall, kettlebell set (4-32 kg).</w:t>
        <w:br/>
        <w:br/>
        <w:t>Functional Training Zone: TRX suspension trainers, battle ropes, medicine balls, resistance bands, plyo boxes.</w:t>
        <w:br/>
        <w:br/>
        <w:t>The gym must have professional-grade flooring (rubber tiles, 8mm minimum thickness), air conditioning maintaining 22-24 degrees, water dispenser, and certified trainer on duty.</w:t>
      </w:r>
    </w:p>
    <w:p>
      <w:pPr>
        <w:pStyle w:val="Heading1"/>
      </w:pPr>
      <w:r>
        <w:t>Clubhouse Standards</w:t>
      </w:r>
    </w:p>
    <w:p>
      <w:r>
        <w:t>Minimum clubhouse area: 5,000 sq.ft. for projects with 300+ units. The clubhouse must include:</w:t>
        <w:br/>
        <w:br/>
        <w:t>Banquet Hall: Capacity for minimum 150 guests. Air-conditioned with stage area. Professional sound system and projection facility. Catering kitchen adjacent to the hall.</w:t>
        <w:br/>
        <w:br/>
        <w:t>Indoor Games Room: Billiards table (tournament size), 2 table tennis tables, carrom boards, chess tables, foosball table. Air-conditioned with appropriate lighting.</w:t>
        <w:br/>
        <w:br/>
        <w:t>Library/Reading Lounge: Minimum 1,000 sq.ft. with seating for 20 people. Wi-Fi enabled. Subscription to 10+ magazines and 5+ newspapers.</w:t>
        <w:br/>
        <w:br/>
        <w:t>Multi-purpose Room: 800 sq.ft. flexible space for yoga, dance, art classes. Mirror wall, wooden flooring, and sound system.</w:t>
      </w:r>
    </w:p>
    <w:p>
      <w:pPr>
        <w:pStyle w:val="Heading1"/>
      </w:pPr>
      <w:r>
        <w:t>Security Infrastructure</w:t>
      </w:r>
    </w:p>
    <w:p>
      <w:r>
        <w:t>Entry/Exit Control: Boom barriers with RFID/ANPR at all vehicle entry points. Pedestrian turnstiles with biometric/card access. Visitor management system with photo capture and OTP verification.</w:t>
        <w:br/>
        <w:br/>
        <w:t>CCTV Coverage: HD cameras at all entry/exit points, parking levels, elevator lobbies, common areas, and perimeter. Minimum 30-day recording storage. Night vision capability. AI-powered analytics for intrusion detection and abandoned object detection.</w:t>
        <w:br/>
        <w:br/>
        <w:t>Intercom System: IP-based intercom connecting every apartment to the security room, clubhouse, and management office. Video door phone at apartment entrance connected to guard room.</w:t>
        <w:br/>
        <w:br/>
        <w:t>Fire Safety: Smoke detectors in every apartment. Sprinkler system in common areas and parking. Fire extinguishers on every floor. Fire alarm system connected to nearest fire station. Two dedicated fire exits per floor. Pressurized stairwells. Fire pump room with diesel and electric pumps.</w:t>
      </w:r>
    </w:p>
    <w:p>
      <w:pPr>
        <w:pStyle w:val="Heading1"/>
      </w:pPr>
      <w:r>
        <w:t>Landscaping Standards</w:t>
      </w:r>
    </w:p>
    <w:p>
      <w:r>
        <w:t>Minimum 65% of total project area must be open space (excluding building footprint and roads). Landscaping must include a mix of native trees (minimum 50% of tree species must be native), ornamental plants, and lawned areas.</w:t>
        <w:br/>
        <w:br/>
        <w:t>Required green features: Central garden/park (minimum 1 acre for projects above 5 acres), jogging/walking track (rubberized surface, minimum 500m), children's play area (imported equipment, EPDM rubber flooring), senior citizen area with reflexology path, pet-friendly zone with agility equipment, organic composting facility, and drip irrigation system for all landscaped areas.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