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mallCaps/>
          <w:sz w:val="28"/>
          <w:szCs w:val="28"/>
        </w:rPr>
      </w:pPr>
      <w:r>
        <w:rPr>
          <w:smallCaps/>
          <w:sz w:val="28"/>
          <w:szCs w:val="28"/>
        </w:rPr>
        <w:t xml:space="preserve">ГОСУДАРСТВЕННОЕ БЮДЖЕТНОЕ ПРОФЕССИОНАЛЬНОЕ ОБРАЗОВАТЕЛЬНОЕ УЧРЕЖДЕНИЕ РЕСПУБЛИКИ ХАКАСИЯ </w:t>
      </w:r>
    </w:p>
    <w:p>
      <w:pPr>
        <w:pStyle w:val="Normal"/>
        <w:jc w:val="center"/>
        <w:rPr>
          <w:smallCaps/>
          <w:sz w:val="28"/>
          <w:szCs w:val="28"/>
        </w:rPr>
      </w:pPr>
      <w:r>
        <w:rPr>
          <w:smallCaps/>
          <w:sz w:val="28"/>
          <w:szCs w:val="28"/>
        </w:rPr>
        <w:t>«ХАКАССКИЙ ПОЛИТЕХНИЧЕСКИЙ КОЛЛЕДЖ»</w:t>
      </w:r>
    </w:p>
    <w:p>
      <w:pPr>
        <w:pStyle w:val="Normal"/>
        <w:jc w:val="center"/>
        <w:rPr/>
      </w:pPr>
      <w:r>
        <w:rPr/>
      </w:r>
    </w:p>
    <w:p>
      <w:pPr>
        <w:pStyle w:val="Normal"/>
        <w:jc w:val="center"/>
        <w:rPr/>
      </w:pPr>
      <w:r>
        <w:rPr/>
        <w:t xml:space="preserve">Специальность 09.02.03 </w:t>
      </w:r>
    </w:p>
    <w:p>
      <w:pPr>
        <w:pStyle w:val="Normal"/>
        <w:jc w:val="center"/>
        <w:rPr>
          <w:caps/>
        </w:rPr>
      </w:pPr>
      <w:r>
        <w:rPr/>
        <w:t>Программирование в компьютерных системах</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caps/>
          <w:sz w:val="40"/>
          <w:szCs w:val="40"/>
        </w:rPr>
      </w:pPr>
      <w:r>
        <w:rPr>
          <w:caps/>
          <w:sz w:val="40"/>
          <w:szCs w:val="40"/>
        </w:rPr>
        <w:t xml:space="preserve">отчет </w:t>
      </w:r>
    </w:p>
    <w:p>
      <w:pPr>
        <w:pStyle w:val="Normal"/>
        <w:jc w:val="center"/>
        <w:rPr>
          <w:caps/>
          <w:sz w:val="36"/>
          <w:szCs w:val="40"/>
        </w:rPr>
      </w:pPr>
      <w:r>
        <w:rPr>
          <w:caps/>
          <w:sz w:val="36"/>
          <w:szCs w:val="40"/>
        </w:rPr>
        <w:t>по практической работе  №</w:t>
      </w:r>
      <w:r>
        <w:rPr>
          <w:caps/>
          <w:sz w:val="36"/>
          <w:szCs w:val="40"/>
        </w:rPr>
        <w:t>3</w:t>
      </w:r>
    </w:p>
    <w:p>
      <w:pPr>
        <w:pStyle w:val="Normal"/>
        <w:rPr>
          <w:caps/>
          <w:sz w:val="36"/>
          <w:szCs w:val="36"/>
        </w:rPr>
      </w:pPr>
      <w:r>
        <w:rPr>
          <w:caps/>
          <w:sz w:val="36"/>
          <w:szCs w:val="36"/>
        </w:rPr>
      </w:r>
    </w:p>
    <w:p>
      <w:pPr>
        <w:pStyle w:val="Normal"/>
        <w:jc w:val="center"/>
        <w:rPr>
          <w:caps/>
          <w:sz w:val="36"/>
          <w:szCs w:val="36"/>
        </w:rPr>
      </w:pPr>
      <w:r>
        <w:rPr>
          <w:caps/>
          <w:sz w:val="36"/>
          <w:szCs w:val="28"/>
        </w:rPr>
        <w:t xml:space="preserve">ТЕМА: </w:t>
      </w:r>
      <w:r>
        <w:rPr>
          <w:rFonts w:eastAsia="Calibri"/>
          <w:caps/>
          <w:color w:val="000000"/>
          <w:sz w:val="36"/>
          <w:szCs w:val="36"/>
        </w:rPr>
        <w:t>«Системы менеджмента качества. Основные международные стандарты в области IT»</w:t>
      </w:r>
    </w:p>
    <w:p>
      <w:pPr>
        <w:pStyle w:val="Normal"/>
        <w:jc w:val="both"/>
        <w:rPr>
          <w:sz w:val="36"/>
          <w:szCs w:val="36"/>
        </w:rPr>
      </w:pPr>
      <w:r>
        <w:rPr>
          <w:sz w:val="36"/>
          <w:szCs w:val="36"/>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ind w:left="6946"/>
        <w:jc w:val="both"/>
        <w:rPr/>
      </w:pPr>
      <w:r>
        <w:rPr/>
      </w:r>
    </w:p>
    <w:p>
      <w:pPr>
        <w:pStyle w:val="Normal"/>
        <w:ind w:left="6663"/>
        <w:jc w:val="both"/>
        <w:rPr/>
      </w:pPr>
      <w:r>
        <w:rPr/>
        <w:t>Руководитель:</w:t>
      </w:r>
    </w:p>
    <w:p>
      <w:pPr>
        <w:pStyle w:val="Normal"/>
        <w:ind w:left="6663"/>
        <w:jc w:val="both"/>
        <w:rPr/>
      </w:pPr>
      <w:r>
        <w:rPr/>
        <w:t>____________ Н.И. Мороз</w:t>
      </w:r>
    </w:p>
    <w:p>
      <w:pPr>
        <w:pStyle w:val="Normal"/>
        <w:ind w:firstLine="364" w:left="6663"/>
        <w:rPr>
          <w:sz w:val="18"/>
          <w:szCs w:val="18"/>
        </w:rPr>
      </w:pPr>
      <w:r>
        <w:rPr>
          <w:sz w:val="18"/>
          <w:szCs w:val="18"/>
        </w:rPr>
        <w:t>(подпись)</w:t>
      </w:r>
    </w:p>
    <w:p>
      <w:pPr>
        <w:pStyle w:val="Normal"/>
        <w:ind w:left="6663"/>
        <w:jc w:val="both"/>
        <w:rPr/>
      </w:pPr>
      <w:r>
        <w:rPr/>
        <w:t>__________________________</w:t>
      </w:r>
    </w:p>
    <w:p>
      <w:pPr>
        <w:pStyle w:val="Normal"/>
        <w:ind w:left="6663"/>
        <w:jc w:val="center"/>
        <w:rPr>
          <w:sz w:val="18"/>
          <w:szCs w:val="18"/>
        </w:rPr>
      </w:pPr>
      <w:r>
        <w:rPr>
          <w:sz w:val="18"/>
          <w:szCs w:val="18"/>
        </w:rPr>
        <w:t>(оценка, дата)</w:t>
      </w:r>
    </w:p>
    <w:p>
      <w:pPr>
        <w:pStyle w:val="Normal"/>
        <w:ind w:left="6663"/>
        <w:jc w:val="both"/>
        <w:rPr/>
      </w:pPr>
      <w:r>
        <w:rPr/>
        <w:t>Выполнил:</w:t>
      </w:r>
    </w:p>
    <w:p>
      <w:pPr>
        <w:pStyle w:val="Normal"/>
        <w:ind w:left="6663"/>
        <w:jc w:val="both"/>
        <w:rPr/>
      </w:pPr>
      <w:r>
        <w:rPr/>
        <w:t>Студент группы ИС(АБД) – 41</w:t>
      </w:r>
    </w:p>
    <w:p>
      <w:pPr>
        <w:pStyle w:val="Normal"/>
        <w:ind w:left="6663"/>
        <w:jc w:val="both"/>
        <w:rPr/>
      </w:pPr>
      <w:r>
        <w:rPr/>
        <w:t>____________ С. Ю. Демин</w:t>
      </w:r>
    </w:p>
    <w:p>
      <w:pPr>
        <w:pStyle w:val="Normal"/>
        <w:ind w:firstLine="392" w:left="6663"/>
        <w:rPr>
          <w:sz w:val="18"/>
          <w:szCs w:val="18"/>
        </w:rPr>
      </w:pPr>
      <w:r>
        <w:rPr>
          <w:sz w:val="18"/>
          <w:szCs w:val="18"/>
        </w:rPr>
        <w:t>(подпись)</w:t>
      </w:r>
    </w:p>
    <w:p>
      <w:pPr>
        <w:pStyle w:val="Normal"/>
        <w:ind w:left="6663"/>
        <w:jc w:val="both"/>
        <w:rPr/>
      </w:pPr>
      <w:r>
        <w:rPr/>
        <w:t>__________________________</w:t>
      </w:r>
    </w:p>
    <w:p>
      <w:pPr>
        <w:pStyle w:val="Normal"/>
        <w:ind w:left="6237"/>
        <w:jc w:val="center"/>
        <w:rPr>
          <w:sz w:val="18"/>
          <w:szCs w:val="18"/>
        </w:rPr>
      </w:pPr>
      <w:r>
        <w:rPr>
          <w:sz w:val="18"/>
          <w:szCs w:val="18"/>
        </w:rPr>
        <w:t>(дата)</w:t>
      </w:r>
    </w:p>
    <w:p>
      <w:pPr>
        <w:pStyle w:val="Normal"/>
        <w:ind w:left="6521"/>
        <w:jc w:val="both"/>
        <w:rPr/>
      </w:pPr>
      <w:r>
        <w:rPr/>
      </w:r>
    </w:p>
    <w:p>
      <w:pPr>
        <w:pStyle w:val="Normal"/>
        <w:ind w:left="6946"/>
        <w:jc w:val="both"/>
        <w:rPr/>
      </w:pPr>
      <w:r>
        <w:rPr/>
      </w:r>
    </w:p>
    <w:p>
      <w:pPr>
        <w:pStyle w:val="Normal"/>
        <w:jc w:val="both"/>
        <w:rPr/>
      </w:pPr>
      <w:r>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center"/>
        <w:rPr>
          <w:rFonts w:ascii="Arial" w:hAnsi="Arial" w:cs="Arial"/>
        </w:rPr>
      </w:pPr>
      <w:r>
        <w:rPr/>
        <w:t>Абакан 2026</w:t>
      </w:r>
    </w:p>
    <w:p>
      <w:pPr>
        <w:pStyle w:val="Normal"/>
        <w:rPr/>
      </w:pPr>
      <w:r>
        <w:rPr/>
      </w:r>
      <w:r>
        <w:br w:type="page"/>
      </w:r>
    </w:p>
    <w:p>
      <w:pPr>
        <w:pStyle w:val="Heading1"/>
        <w:spacing w:before="0" w:after="120"/>
        <w:rPr/>
      </w:pPr>
      <w:bookmarkStart w:id="0" w:name="__RefHeading___Toc1415_2914387927"/>
      <w:bookmarkStart w:id="1" w:name="_Toc240654966"/>
      <w:bookmarkEnd w:id="0"/>
      <w:r>
        <w:rPr/>
        <w:t>СОДЕРЖАНИЕ</w:t>
      </w:r>
      <w:bookmarkEnd w:id="1"/>
    </w:p>
    <w:sdt>
      <w:sdtPr>
        <w:docPartObj>
          <w:docPartGallery w:val="Table of Contents"/>
          <w:docPartUnique w:val="true"/>
        </w:docPartObj>
      </w:sdtPr>
      <w:sdtContent>
        <w:p>
          <w:pPr>
            <w:pStyle w:val="TOC1"/>
            <w:tabs>
              <w:tab w:val="clear" w:pos="480"/>
              <w:tab w:val="clear" w:pos="9345"/>
              <w:tab w:val="right" w:pos="10204" w:leader="dot"/>
            </w:tabs>
            <w:rPr/>
          </w:pPr>
          <w:r>
            <w:fldChar w:fldCharType="begin"/>
          </w:r>
          <w:r>
            <w:rPr>
              <w:rStyle w:val="Style14"/>
              <w:b w:val="false"/>
              <w:bCs w:val="false"/>
            </w:rPr>
            <w:instrText xml:space="preserve"> TOC \o "1-3" \h</w:instrText>
          </w:r>
          <w:r>
            <w:rPr>
              <w:rStyle w:val="Style14"/>
              <w:b w:val="false"/>
              <w:bCs w:val="false"/>
            </w:rPr>
            <w:fldChar w:fldCharType="separate"/>
          </w:r>
          <w:hyperlink w:anchor="__RefHeading___Toc1417_2914387927">
            <w:r>
              <w:rPr>
                <w:rStyle w:val="Style14"/>
                <w:b w:val="false"/>
                <w:bCs w:val="false"/>
              </w:rPr>
              <w:t>В</w:t>
            </w:r>
          </w:hyperlink>
          <w:r>
            <w:rPr>
              <w:b w:val="false"/>
              <w:bCs w:val="false"/>
            </w:rPr>
            <w:t>ведение</w:t>
          </w:r>
        </w:p>
        <w:p>
          <w:pPr>
            <w:pStyle w:val="TOC1"/>
            <w:tabs>
              <w:tab w:val="clear" w:pos="480"/>
              <w:tab w:val="clear" w:pos="9345"/>
              <w:tab w:val="right" w:pos="10204" w:leader="dot"/>
            </w:tabs>
            <w:rPr/>
          </w:pPr>
          <w:hyperlink w:anchor="__RefHeading___Toc1419_2914387927">
            <w:r>
              <w:rPr>
                <w:rStyle w:val="Style14"/>
                <w:b w:val="false"/>
                <w:bCs w:val="false"/>
              </w:rPr>
              <w:t>Основная часть</w:t>
              <w:tab/>
              <w:t>4</w:t>
            </w:r>
          </w:hyperlink>
        </w:p>
        <w:p>
          <w:pPr>
            <w:pStyle w:val="TOC2"/>
            <w:tabs>
              <w:tab w:val="clear" w:pos="10195"/>
              <w:tab w:val="right" w:pos="10204" w:leader="dot"/>
            </w:tabs>
            <w:rPr/>
          </w:pPr>
          <w:hyperlink w:anchor="__RefHeading___Toc1421_2914387927">
            <w:r>
              <w:rPr>
                <w:rStyle w:val="Style14"/>
                <w:b w:val="false"/>
                <w:bCs w:val="false"/>
              </w:rPr>
              <w:t>1 Российское и зарубежное законодательство в области ИБ</w:t>
              <w:tab/>
              <w:t>4</w:t>
            </w:r>
          </w:hyperlink>
        </w:p>
        <w:p>
          <w:pPr>
            <w:pStyle w:val="TOC2"/>
            <w:tabs>
              <w:tab w:val="clear" w:pos="10195"/>
              <w:tab w:val="right" w:pos="10204" w:leader="dot"/>
            </w:tabs>
            <w:rPr/>
          </w:pPr>
          <w:hyperlink w:anchor="__RefHeading___Toc1423_2914387927">
            <w:r>
              <w:rPr>
                <w:rStyle w:val="Style14"/>
                <w:b w:val="false"/>
                <w:bCs w:val="false"/>
              </w:rPr>
              <w:t>2 Анализ положений «Оранжевой книги»</w:t>
              <w:tab/>
              <w:t>4</w:t>
            </w:r>
          </w:hyperlink>
        </w:p>
        <w:p>
          <w:pPr>
            <w:pStyle w:val="TOC2"/>
            <w:tabs>
              <w:tab w:val="clear" w:pos="10195"/>
              <w:tab w:val="right" w:pos="10204" w:leader="dot"/>
            </w:tabs>
            <w:rPr/>
          </w:pPr>
          <w:hyperlink w:anchor="__RefHeading___Toc1425_2914387927">
            <w:r>
              <w:rPr>
                <w:rStyle w:val="Style14"/>
                <w:b w:val="false"/>
                <w:bCs w:val="false"/>
              </w:rPr>
              <w:t>3 Анализ стандарта ISO/IEC 15408 «Критерии оценки безопасности информационных технологий»</w:t>
              <w:tab/>
              <w:t>6</w:t>
            </w:r>
          </w:hyperlink>
        </w:p>
        <w:p>
          <w:pPr>
            <w:pStyle w:val="TOC1"/>
            <w:tabs>
              <w:tab w:val="clear" w:pos="480"/>
              <w:tab w:val="clear" w:pos="9345"/>
              <w:tab w:val="right" w:pos="10204" w:leader="dot"/>
            </w:tabs>
            <w:rPr/>
          </w:pPr>
          <w:r>
            <w:rPr>
              <w:b w:val="false"/>
              <w:bCs w:val="false"/>
            </w:rPr>
            <w:t>Заключение</w:t>
          </w:r>
          <w:hyperlink w:anchor="__RefHeading___Toc1427_2914387927">
            <w:r>
              <w:rPr>
                <w:rStyle w:val="Style14"/>
                <w:b w:val="false"/>
                <w:bCs w:val="false"/>
              </w:rPr>
              <w:tab/>
              <w:t>8</w:t>
            </w:r>
          </w:hyperlink>
          <w:r>
            <w:rPr>
              <w:rStyle w:val="Style14"/>
              <w:b w:val="false"/>
              <w:bCs w:val="false"/>
            </w:rPr>
            <w:fldChar w:fldCharType="end"/>
          </w:r>
        </w:p>
      </w:sdtContent>
    </w:sdt>
    <w:p>
      <w:pPr>
        <w:pStyle w:val="Heading1"/>
        <w:spacing w:before="0" w:after="120"/>
        <w:rPr/>
      </w:pPr>
      <w:r>
        <w:br w:type="page"/>
      </w:r>
      <w:bookmarkStart w:id="2" w:name="__RefHeading___Toc1417_2914387927"/>
      <w:bookmarkStart w:id="3" w:name="_Toc240654967"/>
      <w:bookmarkEnd w:id="2"/>
      <w:r>
        <w:rPr/>
        <w:t>ВВЕДЕНИЕ</w:t>
      </w:r>
      <w:bookmarkEnd w:id="3"/>
    </w:p>
    <w:p>
      <w:pPr>
        <w:pStyle w:val="def"/>
        <w:spacing w:before="120" w:after="120"/>
        <w:jc w:val="both"/>
        <w:rPr>
          <w:b w:val="false"/>
          <w:bCs w:val="false"/>
          <w:sz w:val="24"/>
          <w:szCs w:val="24"/>
        </w:rPr>
      </w:pPr>
      <w:r>
        <w:rPr>
          <w:b w:val="false"/>
          <w:bCs w:val="false"/>
          <w:sz w:val="24"/>
          <w:szCs w:val="24"/>
        </w:rPr>
        <w:t>Национальные и межгосударственные стандарты устанавливают общие организационно-методические и организационно-нормативные положения для определенной области деятельности, а также общетехнические требования, нормы и правила, обеспечивающие взаимопонимание, техническое единство и взаимосвязь различных областей науки, техники и производства в процессах создания и использования продукции. Кроме того, они устанавливают требования по охране окружающей среды, безопасности продукции, процессов и услуг для жизни и здоровья людей, имущества физических и юридических лиц, государства и другие общетехнические требования.</w:t>
      </w:r>
    </w:p>
    <w:p>
      <w:pPr>
        <w:pStyle w:val="def"/>
        <w:spacing w:before="120" w:after="120"/>
        <w:jc w:val="both"/>
        <w:rPr>
          <w:b w:val="false"/>
          <w:bCs w:val="false"/>
          <w:sz w:val="24"/>
          <w:szCs w:val="24"/>
        </w:rPr>
      </w:pPr>
      <w:r>
        <w:rPr>
          <w:b w:val="false"/>
          <w:bCs w:val="false"/>
          <w:sz w:val="24"/>
          <w:szCs w:val="24"/>
        </w:rPr>
        <w:t>Эти стандарты объединены в системы (комплексы) стандартов и направлены на решение задач хозяйствующих субъектов, обеспечивая повышение эффективности производства и качества продукции. В современных условиях стандартизация в области информационных технологий приобретает особое значение, поскольку именно от качества программных средств и надежности автоматизированных систем управления зависит эффективность функционирования предприятий и организаций.</w:t>
      </w:r>
    </w:p>
    <w:p>
      <w:pPr>
        <w:pStyle w:val="def"/>
        <w:spacing w:before="120" w:after="120"/>
        <w:jc w:val="both"/>
        <w:rPr>
          <w:b w:val="false"/>
          <w:bCs w:val="false"/>
          <w:sz w:val="24"/>
          <w:szCs w:val="24"/>
        </w:rPr>
      </w:pPr>
      <w:r>
        <w:rPr>
          <w:b w:val="false"/>
          <w:bCs w:val="false"/>
          <w:sz w:val="24"/>
          <w:szCs w:val="24"/>
        </w:rPr>
        <w:t>Настоящая практическая работа посвящена изучению содержания четырех основополагающих стандартов в области менеджмента качества и надежности технических систем. В рамках работы рассматриваются национальный стандарт ГОСТ ISO 9000-2011, устанавливающий основные положения и словарь систем менеджмента качества, межгосударственный стандарт ГОСТ 28195-89, регламентирующий оценку качества программных средств, а также стандарты ГОСТ 27.301-95 и ГОСТ 24.701-86, определяющие основные положения расчета надежности и надежности автоматизированных систем управления соответственно.</w:t>
      </w:r>
      <w:r>
        <w:br w:type="page"/>
      </w:r>
    </w:p>
    <w:p>
      <w:pPr>
        <w:pStyle w:val="Heading1"/>
        <w:spacing w:before="0" w:after="120"/>
        <w:rPr/>
      </w:pPr>
      <w:bookmarkStart w:id="4" w:name="__RefHeading___Toc1419_2914387927"/>
      <w:bookmarkStart w:id="5" w:name="_Toc240654968"/>
      <w:bookmarkEnd w:id="4"/>
      <w:r>
        <w:rPr/>
        <w:t>ОСНОВНАЯ ЧАСТЬ</w:t>
      </w:r>
      <w:bookmarkEnd w:id="5"/>
    </w:p>
    <w:p>
      <w:pPr>
        <w:pStyle w:val="Heading2"/>
        <w:rPr/>
      </w:pPr>
      <w:bookmarkStart w:id="6" w:name="__RefHeading___Toc1421_2914387927"/>
      <w:bookmarkEnd w:id="6"/>
      <w:r>
        <w:rPr/>
        <w:t>1 Национальный стандарт ГОСТ ISO 9000-2011 «Системы менеджмента качества. Основные положения и словарь»</w:t>
      </w:r>
    </w:p>
    <w:p>
      <w:pPr>
        <w:pStyle w:val="def"/>
        <w:rPr/>
      </w:pPr>
      <w:r>
        <w:rPr/>
        <w:t>Национальный стандарт ГОСТ ISO 9000-2011 «Системы менеджмента качества. Основные положения и словарь» представляет собой основополагающий документ, устанавливающий основные положения и словарь для систем менеджмента качества. Основная цель данного стандарта заключается в том, чтобы помочь организациям различных форм собственности и масштабов деятельности внедрить и обеспечить функционирование эффективной системы менеджмента качества, ориентированной на потребителя и постоянное улучшение.</w:t>
      </w:r>
    </w:p>
    <w:p>
      <w:pPr>
        <w:pStyle w:val="def"/>
        <w:rPr/>
      </w:pPr>
      <w:r>
        <w:rPr/>
        <w:t>Стандарт описывает основные понятия и принципы менеджмента качества, которые могут быть применены ко всем организациям, независимо от их размера, сферы деятельности и выпускаемой продукции. Он устанавливает единую терминологию в области менеджмента качества, что обеспечивает взаимопонимание между специалистами, работающими в данной области, а также служит основой для других стандартов серии ISO 9000.</w:t>
      </w:r>
    </w:p>
    <w:p>
      <w:pPr>
        <w:pStyle w:val="def"/>
        <w:rPr/>
      </w:pPr>
      <w:r>
        <w:rPr/>
        <w:t>Стандарт определяет восемь принципов менеджмента качества, которые должны быть положены в основу построения и функционирования системы менеджмента качества: ориентация на потребителя, лидерство руководителя, вовлечение работников, процессный подход, системный подход к менеджменту, постоянное улучшение, принятие решений, основанных на фактах, и взаимовыгодные отношения с поставщиками. Определения основных понятий, устанавливаемые стандартом, представлены в таблице 1.</w:t>
      </w:r>
    </w:p>
    <w:p>
      <w:pPr>
        <w:pStyle w:val="def"/>
        <w:rPr/>
      </w:pPr>
      <w:r>
        <w:rPr/>
        <w:t>Таблица 1.1 — Определения основных понятий</w:t>
      </w:r>
    </w:p>
    <w:p>
      <w:pPr>
        <w:pStyle w:val="def"/>
        <w:ind w:hanging="0"/>
        <w:rPr/>
      </w:pPr>
      <w:r>
        <w:rPr/>
      </w:r>
    </w:p>
    <w:tbl>
      <w:tblPr>
        <w:tblW w:w="10205" w:type="dxa"/>
        <w:jc w:val="left"/>
        <w:tblInd w:w="55" w:type="dxa"/>
        <w:tblLayout w:type="fixed"/>
        <w:tblCellMar>
          <w:top w:w="55" w:type="dxa"/>
          <w:left w:w="55" w:type="dxa"/>
          <w:bottom w:w="55" w:type="dxa"/>
          <w:right w:w="55" w:type="dxa"/>
        </w:tblCellMar>
      </w:tblPr>
      <w:tblGrid>
        <w:gridCol w:w="362"/>
        <w:gridCol w:w="2261"/>
        <w:gridCol w:w="7582"/>
      </w:tblGrid>
      <w:tr>
        <w:trPr/>
        <w:tc>
          <w:tcPr>
            <w:tcW w:w="362" w:type="dxa"/>
            <w:tcBorders>
              <w:top w:val="single" w:sz="4" w:space="0" w:color="000000"/>
              <w:left w:val="single" w:sz="4" w:space="0" w:color="000000"/>
              <w:bottom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w:t>
            </w:r>
          </w:p>
        </w:tc>
        <w:tc>
          <w:tcPr>
            <w:tcW w:w="2261" w:type="dxa"/>
            <w:tcBorders>
              <w:top w:val="single" w:sz="4" w:space="0" w:color="000000"/>
              <w:left w:val="single" w:sz="4" w:space="0" w:color="000000"/>
              <w:bottom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Понятие</w:t>
            </w:r>
          </w:p>
        </w:tc>
        <w:tc>
          <w:tcPr>
            <w:tcW w:w="7582" w:type="dxa"/>
            <w:tcBorders>
              <w:top w:val="single" w:sz="4" w:space="0" w:color="000000"/>
              <w:left w:val="single" w:sz="4" w:space="0" w:color="000000"/>
              <w:bottom w:val="single" w:sz="4" w:space="0" w:color="000000"/>
              <w:right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Определение</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Система менеджмента качества</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Совокупность взаимосвязанных и взаимодействующих элементов организации для разработки политики и целей в области качества, а также процессов для достижения этих целей</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Принципы менеджмента качества</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Основополагающие и фундаментальные правила и убеждения, которые используются для руководства организацией с целью постоянного улучшения ее деятельности</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3</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Процессный подход</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Систематическая идентификация и менеджмент применяемых организацией процессов, а также их взаимодействия</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4</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Постоянное улучшение</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Повторяющаяся деятельность по увеличению способности выполнить требования</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5</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Требование</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Потребность или ожидание, которое установлено, обычно предполагается или является обязательным</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6</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Надежность</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Собирательный термин, применяемый для описания свойства готовности и влияющих на него свойств безотказности, ремонтопригодности и обеспеченности технического обслуживания и ремонта</w:t>
            </w:r>
          </w:p>
        </w:tc>
      </w:tr>
      <w:tr>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7</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Эффективность</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Связь между достигнутым результатом и использованными ресурсами</w:t>
            </w:r>
          </w:p>
        </w:tc>
      </w:tr>
      <w:tr>
        <w:trPr>
          <w:trHeight w:val="390" w:hRule="atLeast"/>
        </w:trPr>
        <w:tc>
          <w:tcPr>
            <w:tcW w:w="36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8</w:t>
            </w:r>
          </w:p>
        </w:tc>
        <w:tc>
          <w:tcPr>
            <w:tcW w:w="2261"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Соответствие</w:t>
            </w:r>
          </w:p>
        </w:tc>
        <w:tc>
          <w:tcPr>
            <w:tcW w:w="7582"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Выполнение требования</w:t>
            </w:r>
          </w:p>
        </w:tc>
      </w:tr>
    </w:tbl>
    <w:p>
      <w:pPr>
        <w:pStyle w:val="def"/>
        <w:ind w:hanging="0"/>
        <w:rPr/>
      </w:pPr>
      <w:r>
        <w:rPr/>
      </w:r>
      <w:r>
        <w:br w:type="page"/>
      </w:r>
    </w:p>
    <w:p>
      <w:pPr>
        <w:pStyle w:val="def"/>
        <w:rPr/>
      </w:pPr>
      <w:r>
        <w:rPr/>
        <w:t>В системах менеджмента качества применяются следующие виды документов:</w:t>
      </w:r>
    </w:p>
    <w:p>
      <w:pPr>
        <w:pStyle w:val="def"/>
        <w:rPr/>
      </w:pPr>
      <w:r>
        <w:rPr/>
        <w:t>Политика в области качества — документ, устанавливающий основные направления и цели организации в области качества, официально сформулированные высшим руководством.</w:t>
      </w:r>
    </w:p>
    <w:p>
      <w:pPr>
        <w:pStyle w:val="def"/>
        <w:rPr/>
      </w:pPr>
      <w:r>
        <w:rPr/>
        <w:t>Руководство по качеству — документ, описывающий систему менеджмента качества организации, включающий область применения, документированные процедуры, описание взаимодействия процессов.</w:t>
      </w:r>
    </w:p>
    <w:p>
      <w:pPr>
        <w:pStyle w:val="def"/>
        <w:rPr/>
      </w:pPr>
      <w:r>
        <w:rPr/>
        <w:t>Документированные процедуры — документы, устанавливающие порядок выполнения определенных видов деятельности или процессов.</w:t>
      </w:r>
    </w:p>
    <w:p>
      <w:pPr>
        <w:pStyle w:val="def"/>
        <w:rPr/>
      </w:pPr>
      <w:r>
        <w:rPr/>
        <w:t>Записи — документы, содержащие достигнутые результаты или свидетельства осуществленной деятельности.</w:t>
      </w:r>
    </w:p>
    <w:p>
      <w:pPr>
        <w:pStyle w:val="def"/>
        <w:rPr/>
      </w:pPr>
      <w:r>
        <w:rPr/>
        <w:t>Стандарты организации — документы, устанавливающие требования к выполнению конкретных работ или процессов внутри организации.</w:t>
      </w:r>
    </w:p>
    <w:p>
      <w:pPr>
        <w:pStyle w:val="def"/>
        <w:rPr/>
      </w:pPr>
      <w:r>
        <w:rPr/>
        <w:t>Продукция — результат процесса, который может быть произведен без какого-либо взаимодействия с потребителем. Продукция может быть материальной или нематериальной, а также комбинированной.</w:t>
      </w:r>
    </w:p>
    <w:p>
      <w:pPr>
        <w:pStyle w:val="def"/>
        <w:rPr/>
      </w:pPr>
      <w:r>
        <w:rPr/>
        <w:t>Выделяют четыре общие категории продукции: технические средства, программное обеспечение, услуги и перерабатываемые материалы. Технические средства представляют собой материальную продукцию, состоящую из отдельных деталей. Программное обеспечение состоит из информации, представленной в виде программ или процедур. Услуги являются нематериальной продукцией, возникающей в результате взаимодействия с потребителем. Перерабатываемые материалы представляют собой материальную продукцию, получаемую путем переработки сырья.</w:t>
      </w:r>
    </w:p>
    <w:p>
      <w:pPr>
        <w:pStyle w:val="def"/>
        <w:rPr/>
      </w:pPr>
      <w:r>
        <w:rPr/>
        <w:t>Понятия, относящиеся к качеству, могут быть представлены в виде иерархической схемы, в которой выделяются три основные группы: понятия, относящиеся к качеству в целом (качество, уровень качества, градация качества), понятия, относящиеся к системе менеджмента качества (политика в области качества, цели в области качества, менеджмент качества, планирование качества, управление качеством, обеспечение качества, улучшение качества), и понятия, относящиеся к процессам и продукции (процесс, продукция, удовлетворенность потребителей, характеристика качества).</w:t>
      </w:r>
    </w:p>
    <w:p>
      <w:pPr>
        <w:pStyle w:val="Heading2"/>
        <w:spacing w:before="240" w:after="120"/>
        <w:rPr/>
      </w:pPr>
      <w:bookmarkStart w:id="7" w:name="__RefHeading___Toc1423_2914387927"/>
      <w:bookmarkEnd w:id="7"/>
      <w:r>
        <w:rPr/>
        <w:t>2 Межгосударственный стандарт ГОСТ 28195-89 «Оценка качества программных средств»</w:t>
      </w:r>
    </w:p>
    <w:p>
      <w:pPr>
        <w:pStyle w:val="def"/>
        <w:rPr/>
      </w:pPr>
      <w:r>
        <w:rPr/>
        <w:t>Межгосударственный стандарт ГОСТ 28195-89 «Оценка качества программных средств. Общие положения» устанавливает общие положения по оценке качества программных средств вычислительной техники, поставляемых через фонды алгоритмов и программ, а также номенклатуру и применяемость показателей качества программных средств.</w:t>
      </w:r>
    </w:p>
    <w:p>
      <w:pPr>
        <w:pStyle w:val="def"/>
        <w:rPr/>
      </w:pPr>
      <w:r>
        <w:rPr/>
        <w:t>Стандарт распространяется на программные средства, которые представляют собой программу, предназначенную для многократного применения на различных объектах, разработанную любым способом и снабженную комплектом программных документов. Стандарт устанавливает единый подход к оценке качества программных средств на всех этапах их жизненного цикла, включая планирование показателей качества, контроль качества на этапах разработки, производство, проверку эффективности модификации на этапе сопровождения.</w:t>
      </w:r>
    </w:p>
    <w:p>
      <w:pPr>
        <w:pStyle w:val="def"/>
        <w:rPr/>
      </w:pPr>
      <w:r>
        <w:rPr/>
        <w:t>Оценка качества программного средства представляет собой совокупность операций, включающих выбор номенклатуры показателей качества оцениваемого программного средства, определение значений этих показателей и сравнение их с базовыми значениями. Оценка качества осуществляется на всех этапах жизненного цикла программного средства при планировании показателей качества, контроле качества на отдельных этапах разработки, контроле качества в процессе производства и проверке эффективности модификации на этапе сопровождения.</w:t>
      </w:r>
    </w:p>
    <w:p>
      <w:pPr>
        <w:pStyle w:val="def"/>
        <w:rPr/>
      </w:pPr>
      <w:r>
        <w:rPr/>
        <w:t>Оценку качества проводят специалисты различных организаций в зависимости от этапа жизненного цикла программного средства. Разработчик проводит оценку на этапах разработки программного средства. Фондодержатель осуществляет оценку на этапах приемки программного средства в фонд. Испытательные центры и центры сертификации программных средств проводят оценку на этапах испытаний и внедрения. Изготовитель выполняет оценку на этапах тиражирования программного средства. Пользователь проводит оценку на этапах внедрения, сопровождения и эксплуатации программного средства.</w:t>
      </w:r>
    </w:p>
    <w:p>
      <w:pPr>
        <w:pStyle w:val="def"/>
        <w:rPr/>
      </w:pPr>
      <w:r>
        <w:rPr/>
        <w:t>Классификация методов определения показателей качества программных средств представлена в таблице 2.1.</w:t>
      </w:r>
    </w:p>
    <w:p>
      <w:pPr>
        <w:pStyle w:val="def"/>
        <w:rPr/>
      </w:pPr>
      <w:r>
        <w:rPr/>
        <w:t>Таблица 2.1 — Классификация методов определения показателей качества программных средств</w:t>
      </w:r>
    </w:p>
    <w:tbl>
      <w:tblPr>
        <w:tblW w:w="10205" w:type="dxa"/>
        <w:jc w:val="left"/>
        <w:tblInd w:w="55" w:type="dxa"/>
        <w:tblLayout w:type="fixed"/>
        <w:tblCellMar>
          <w:top w:w="55" w:type="dxa"/>
          <w:left w:w="55" w:type="dxa"/>
          <w:bottom w:w="55" w:type="dxa"/>
          <w:right w:w="55" w:type="dxa"/>
        </w:tblCellMar>
      </w:tblPr>
      <w:tblGrid>
        <w:gridCol w:w="1995"/>
        <w:gridCol w:w="2145"/>
        <w:gridCol w:w="6065"/>
      </w:tblGrid>
      <w:tr>
        <w:trPr/>
        <w:tc>
          <w:tcPr>
            <w:tcW w:w="1995" w:type="dxa"/>
            <w:tcBorders>
              <w:top w:val="single" w:sz="4" w:space="0" w:color="000000"/>
              <w:left w:val="single" w:sz="4" w:space="0" w:color="000000"/>
              <w:bottom w:val="single" w:sz="4" w:space="0" w:color="000000"/>
            </w:tcBorders>
            <w:vAlign w:val="center"/>
          </w:tcPr>
          <w:p>
            <w:pPr>
              <w:pStyle w:val="Style19"/>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w:t>
            </w:r>
          </w:p>
        </w:tc>
        <w:tc>
          <w:tcPr>
            <w:tcW w:w="2145" w:type="dxa"/>
            <w:tcBorders>
              <w:top w:val="single" w:sz="4" w:space="0" w:color="000000"/>
              <w:left w:val="single" w:sz="4" w:space="0" w:color="000000"/>
              <w:bottom w:val="single" w:sz="4" w:space="0" w:color="000000"/>
            </w:tcBorders>
            <w:vAlign w:val="center"/>
          </w:tcPr>
          <w:p>
            <w:pPr>
              <w:pStyle w:val="Style19"/>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Название метода</w:t>
            </w:r>
          </w:p>
        </w:tc>
        <w:tc>
          <w:tcPr>
            <w:tcW w:w="6065" w:type="dxa"/>
            <w:tcBorders>
              <w:top w:val="single" w:sz="4" w:space="0" w:color="000000"/>
              <w:left w:val="single" w:sz="4" w:space="0" w:color="000000"/>
              <w:bottom w:val="single" w:sz="4" w:space="0" w:color="000000"/>
              <w:right w:val="single" w:sz="4" w:space="0" w:color="000000"/>
            </w:tcBorders>
            <w:vAlign w:val="center"/>
          </w:tcPr>
          <w:p>
            <w:pPr>
              <w:pStyle w:val="Style19"/>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Характеристика метода</w:t>
            </w:r>
          </w:p>
        </w:tc>
      </w:tr>
      <w:tr>
        <w:trPr>
          <w:trHeight w:val="849" w:hRule="atLeast"/>
        </w:trPr>
        <w:tc>
          <w:tcPr>
            <w:tcW w:w="199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0"/>
                <w:szCs w:val="20"/>
                <w:u w:val="none"/>
              </w:rPr>
              <w:t>1 признак классификации: по способам получения информации о ПС</w:t>
            </w:r>
          </w:p>
        </w:tc>
        <w:tc>
          <w:tcPr>
            <w:tcW w:w="214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r>
          </w:p>
        </w:tc>
        <w:tc>
          <w:tcPr>
            <w:tcW w:w="6065"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r>
          </w:p>
        </w:tc>
      </w:tr>
      <w:tr>
        <w:trPr/>
        <w:tc>
          <w:tcPr>
            <w:tcW w:w="199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1</w:t>
            </w:r>
          </w:p>
        </w:tc>
        <w:tc>
          <w:tcPr>
            <w:tcW w:w="214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Измерительный</w:t>
            </w:r>
          </w:p>
        </w:tc>
        <w:tc>
          <w:tcPr>
            <w:tcW w:w="6065"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Основан на получении информации о свойствах и характеристиках программного средства с использованием инструментальных средств. Определяет объем программного средства, число строк исходного текста, число операторов и операндов, число исполненных операторов, число ветвей в программе, число точек входа и выхода, время выполнения ветви программы, время реакции и другие показатели</w:t>
            </w:r>
          </w:p>
        </w:tc>
      </w:tr>
      <w:tr>
        <w:trPr/>
        <w:tc>
          <w:tcPr>
            <w:tcW w:w="199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2</w:t>
            </w:r>
          </w:p>
        </w:tc>
        <w:tc>
          <w:tcPr>
            <w:tcW w:w="214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Регистрационный</w:t>
            </w:r>
          </w:p>
        </w:tc>
        <w:tc>
          <w:tcPr>
            <w:tcW w:w="6065"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Основан на получении информации во время испытаний или функционирования программного средства, когда регистрируются и подсчитываются определенные события: время и число сбоев и отказов, время передачи управления другим модулям, время начала и окончания работы</w:t>
            </w:r>
          </w:p>
        </w:tc>
      </w:tr>
      <w:tr>
        <w:trPr/>
        <w:tc>
          <w:tcPr>
            <w:tcW w:w="199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3</w:t>
            </w:r>
          </w:p>
        </w:tc>
        <w:tc>
          <w:tcPr>
            <w:tcW w:w="2145"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Органолептический</w:t>
            </w:r>
          </w:p>
        </w:tc>
        <w:tc>
          <w:tcPr>
            <w:tcW w:w="6065"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Основан на использовании информации, получаемой в результате анализа восприятия органов чувств (зрения, слуха). Применяется для определения таких показателей, как удобство применения, эффективность и тому подобное</w:t>
            </w:r>
          </w:p>
        </w:tc>
      </w:tr>
    </w:tbl>
    <w:p>
      <w:pPr>
        <w:pStyle w:val="def"/>
        <w:rPr/>
      </w:pPr>
      <w:r>
        <w:rPr/>
        <w:t>Продолжение таблицы 2.1 — Классификация методов определения показателей качества программных средств</w:t>
      </w:r>
    </w:p>
    <w:tbl>
      <w:tblPr>
        <w:tblW w:w="10205" w:type="dxa"/>
        <w:jc w:val="left"/>
        <w:tblInd w:w="55" w:type="dxa"/>
        <w:tblLayout w:type="fixed"/>
        <w:tblCellMar>
          <w:top w:w="55" w:type="dxa"/>
          <w:left w:w="55" w:type="dxa"/>
          <w:bottom w:w="55" w:type="dxa"/>
          <w:right w:w="55" w:type="dxa"/>
        </w:tblCellMar>
      </w:tblPr>
      <w:tblGrid>
        <w:gridCol w:w="2458"/>
        <w:gridCol w:w="1937"/>
        <w:gridCol w:w="5810"/>
      </w:tblGrid>
      <w:tr>
        <w:trPr/>
        <w:tc>
          <w:tcPr>
            <w:tcW w:w="2458" w:type="dxa"/>
            <w:tcBorders>
              <w:top w:val="single" w:sz="4" w:space="0" w:color="000000"/>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4</w:t>
            </w:r>
          </w:p>
        </w:tc>
        <w:tc>
          <w:tcPr>
            <w:tcW w:w="1937" w:type="dxa"/>
            <w:tcBorders>
              <w:top w:val="single" w:sz="4" w:space="0" w:color="000000"/>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Расчетный</w:t>
            </w:r>
          </w:p>
        </w:tc>
        <w:tc>
          <w:tcPr>
            <w:tcW w:w="5810" w:type="dxa"/>
            <w:tcBorders>
              <w:top w:val="single" w:sz="4" w:space="0" w:color="000000"/>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Основан на использовании теоретических и эмпирических зависимостей, статистических данных, накапливаемых при испытаниях, эксплуатации и сопровождении программного средства. Определяет длительность и точность вычислений, время реакции, необходимые ресурсы</w:t>
            </w:r>
          </w:p>
        </w:tc>
      </w:tr>
      <w:tr>
        <w:trPr/>
        <w:tc>
          <w:tcPr>
            <w:tcW w:w="2458"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0"/>
                <w:szCs w:val="20"/>
                <w:u w:val="none"/>
              </w:rPr>
              <w:t>2 признак классификации: по источникам получения информации</w:t>
            </w:r>
          </w:p>
        </w:tc>
        <w:tc>
          <w:tcPr>
            <w:tcW w:w="1937"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r>
          </w:p>
        </w:tc>
        <w:tc>
          <w:tcPr>
            <w:tcW w:w="5810"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r>
          </w:p>
        </w:tc>
      </w:tr>
      <w:tr>
        <w:trPr/>
        <w:tc>
          <w:tcPr>
            <w:tcW w:w="2458"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1</w:t>
            </w:r>
          </w:p>
        </w:tc>
        <w:tc>
          <w:tcPr>
            <w:tcW w:w="1937"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Традиционный</w:t>
            </w:r>
          </w:p>
        </w:tc>
        <w:tc>
          <w:tcPr>
            <w:tcW w:w="5810"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Определение значений показателей качества осуществляется группой экспертов-специалистов, компетентных в решении данной задачи, на базе опыта и интуиции. Применяется в случаях, когда задача не может быть решена никакими другими из существующих способов или другие способы являются значительно более трудоемкими</w:t>
            </w:r>
          </w:p>
        </w:tc>
      </w:tr>
      <w:tr>
        <w:trPr/>
        <w:tc>
          <w:tcPr>
            <w:tcW w:w="2458"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2</w:t>
            </w:r>
          </w:p>
        </w:tc>
        <w:tc>
          <w:tcPr>
            <w:tcW w:w="1937"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Экспертный</w:t>
            </w:r>
          </w:p>
        </w:tc>
        <w:tc>
          <w:tcPr>
            <w:tcW w:w="5810"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Рекомендуется применять при определении показателей наглядности, полноты и доступности программной документации, легкости освоения, структуры. Основан на обработке индивидуальных мнений группы квалифицированных специалистов</w:t>
            </w:r>
          </w:p>
        </w:tc>
      </w:tr>
      <w:tr>
        <w:trPr/>
        <w:tc>
          <w:tcPr>
            <w:tcW w:w="2458"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3</w:t>
            </w:r>
          </w:p>
        </w:tc>
        <w:tc>
          <w:tcPr>
            <w:tcW w:w="1937" w:type="dxa"/>
            <w:tcBorders>
              <w:left w:val="single" w:sz="4" w:space="0" w:color="000000"/>
              <w:bottom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Социологический</w:t>
            </w:r>
          </w:p>
        </w:tc>
        <w:tc>
          <w:tcPr>
            <w:tcW w:w="5810" w:type="dxa"/>
            <w:tcBorders>
              <w:left w:val="single" w:sz="4" w:space="0" w:color="000000"/>
              <w:bottom w:val="single" w:sz="4" w:space="0" w:color="000000"/>
              <w:right w:val="single" w:sz="4" w:space="0" w:color="000000"/>
            </w:tcBorders>
            <w:vAlign w:val="center"/>
          </w:tcPr>
          <w:p>
            <w:pPr>
              <w:pStyle w:val="Style18"/>
              <w:jc w:val="left"/>
              <w:rPr>
                <w:rFonts w:ascii="Times New Roman" w:hAnsi="Times New Roman"/>
                <w:b w:val="false"/>
                <w:bCs w:val="false"/>
                <w:i w:val="false"/>
                <w:i w:val="false"/>
                <w:iCs w:val="false"/>
                <w:strike w:val="false"/>
                <w:dstrike w:val="false"/>
                <w:outline w:val="false"/>
                <w:shadow w:val="false"/>
                <w:color w:val="000000"/>
                <w:sz w:val="20"/>
                <w:szCs w:val="20"/>
                <w:u w:val="none"/>
              </w:rPr>
            </w:pPr>
            <w:r>
              <w:rPr>
                <w:rFonts w:ascii="Times New Roman" w:hAnsi="Times New Roman"/>
                <w:b w:val="false"/>
                <w:bCs w:val="false"/>
                <w:i w:val="false"/>
                <w:iCs w:val="false"/>
                <w:strike w:val="false"/>
                <w:dstrike w:val="false"/>
                <w:outline w:val="false"/>
                <w:shadow w:val="false"/>
                <w:color w:val="000000"/>
                <w:sz w:val="20"/>
                <w:szCs w:val="20"/>
                <w:u w:val="none"/>
              </w:rPr>
              <w:t>Основан на обработке специальных анкет-вопросников, заполняемых пользователями программного средства. Позволяет получить субъективные оценки качества ПС непосредственно от потребителей</w:t>
            </w:r>
          </w:p>
        </w:tc>
      </w:tr>
    </w:tbl>
    <w:p>
      <w:pPr>
        <w:pStyle w:val="def"/>
        <w:rPr/>
      </w:pPr>
      <w:r>
        <w:rPr/>
      </w:r>
    </w:p>
    <w:p>
      <w:pPr>
        <w:pStyle w:val="def"/>
        <w:rPr/>
      </w:pPr>
      <w:r>
        <w:rPr/>
        <w:t>Оценка качества программных средств проводится на фазах жизненного цикла и включает выбор номенклатуры показателей, их оценку и сопоставление значений показателей, полученных в результате сравнения с базовыми значениями.</w:t>
      </w:r>
    </w:p>
    <w:p>
      <w:pPr>
        <w:pStyle w:val="def"/>
        <w:rPr/>
      </w:pPr>
      <w:r>
        <w:rPr/>
        <w:t>Показатели качества объединены в систему из четырех уровней. Каждый вышестоящий уровень содержит в качестве составляющих показатели нижестоящих уровней. Допускается вводить дополнительные показатели на каждом из уровней.</w:t>
      </w:r>
    </w:p>
    <w:p>
      <w:pPr>
        <w:pStyle w:val="def"/>
        <w:rPr/>
      </w:pPr>
      <w:r>
        <w:rPr/>
        <w:t>Для обеспечения возможности получения интегральной оценки по группам показателей качества используют факторы качества первого уровня: надежность программного средства, сопровождаемость, удобство применения, эффективность, универсальность и корректность.</w:t>
      </w:r>
    </w:p>
    <w:p>
      <w:pPr>
        <w:pStyle w:val="def"/>
        <w:rPr/>
      </w:pPr>
      <w:r>
        <w:rPr/>
        <w:t>Каждому фактору качества соответствует определенный набор критериев качества (комплексные показатели второго уровня): устойчивость функционирования, работоспособность, структурность, простота конструкции, наглядность, повторяемость, легкость освоения, доступность эксплуатационных программных документов, удобство эксплуатации и обслуживания, уровень автоматизации, временная эффективность, ресурсоемкость, гибкость, мобильность, модифицируемость, полнота реализации, согласованность, логическая корректность, проверенность.</w:t>
      </w:r>
    </w:p>
    <w:p>
      <w:pPr>
        <w:pStyle w:val="def"/>
        <w:rPr/>
      </w:pPr>
      <w:r>
        <w:rPr/>
        <w:t>Критерии качества определяются одной или несколькими метриками третьего уровня. Метрики составляются из оценочных элементов (единичных показателей четвертого уровня), определяющих заданное в метрике свойство.</w:t>
      </w:r>
    </w:p>
    <w:p>
      <w:pPr>
        <w:pStyle w:val="def"/>
        <w:rPr/>
      </w:pPr>
      <w:r>
        <w:rPr/>
        <w:t>Для показателей качества на всех уровнях принимается единая шкала оценки от 0 до 1. Показатели качества на каждом вышестоящем уровне определяются показателями качества нижестоящего уровня. Результаты оценки каждого фактора определяются результатами оценки соответствующих ему критериев. Результаты оценки каждого критерия определяются результатами оценки соответствующих ему метрик. Результаты оценки каждой метрики определяются результатами оценки определяющих ее оценочных элементов.</w:t>
      </w:r>
    </w:p>
    <w:p>
      <w:pPr>
        <w:pStyle w:val="def"/>
        <w:rPr/>
      </w:pPr>
      <w:r>
        <w:rPr/>
        <w:t>Фазы жизненного цикла программных средств представлены в таблице 2.2.</w:t>
      </w:r>
    </w:p>
    <w:p>
      <w:pPr>
        <w:pStyle w:val="def"/>
        <w:rPr/>
      </w:pPr>
      <w:r>
        <w:rPr/>
        <w:t>Таблица 2.2 — Фазы жизненного цикла программных средств</w:t>
      </w:r>
    </w:p>
    <w:p>
      <w:pPr>
        <w:pStyle w:val="def"/>
        <w:rPr/>
      </w:pPr>
      <w:r>
        <w:rPr/>
      </w:r>
    </w:p>
    <w:tbl>
      <w:tblPr>
        <w:tblW w:w="10205" w:type="dxa"/>
        <w:jc w:val="left"/>
        <w:tblInd w:w="55" w:type="dxa"/>
        <w:tblLayout w:type="fixed"/>
        <w:tblCellMar>
          <w:top w:w="55" w:type="dxa"/>
          <w:left w:w="55" w:type="dxa"/>
          <w:bottom w:w="55" w:type="dxa"/>
          <w:right w:w="55" w:type="dxa"/>
        </w:tblCellMar>
      </w:tblPr>
      <w:tblGrid>
        <w:gridCol w:w="1535"/>
        <w:gridCol w:w="2007"/>
        <w:gridCol w:w="2532"/>
        <w:gridCol w:w="4131"/>
      </w:tblGrid>
      <w:tr>
        <w:trPr/>
        <w:tc>
          <w:tcPr>
            <w:tcW w:w="1535" w:type="dxa"/>
            <w:tcBorders>
              <w:top w:val="single" w:sz="4" w:space="0" w:color="000000"/>
              <w:left w:val="single" w:sz="4" w:space="0" w:color="000000"/>
              <w:bottom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Процесс</w:t>
            </w:r>
          </w:p>
        </w:tc>
        <w:tc>
          <w:tcPr>
            <w:tcW w:w="2007" w:type="dxa"/>
            <w:tcBorders>
              <w:top w:val="single" w:sz="4" w:space="0" w:color="000000"/>
              <w:left w:val="single" w:sz="4" w:space="0" w:color="000000"/>
              <w:bottom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Фаза</w:t>
            </w:r>
          </w:p>
        </w:tc>
        <w:tc>
          <w:tcPr>
            <w:tcW w:w="2532" w:type="dxa"/>
            <w:tcBorders>
              <w:top w:val="single" w:sz="4" w:space="0" w:color="000000"/>
              <w:left w:val="single" w:sz="4" w:space="0" w:color="000000"/>
              <w:bottom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Подфаза</w:t>
            </w:r>
          </w:p>
        </w:tc>
        <w:tc>
          <w:tcPr>
            <w:tcW w:w="4131" w:type="dxa"/>
            <w:tcBorders>
              <w:top w:val="single" w:sz="4" w:space="0" w:color="000000"/>
              <w:left w:val="single" w:sz="4" w:space="0" w:color="000000"/>
              <w:bottom w:val="single" w:sz="4" w:space="0" w:color="000000"/>
              <w:right w:val="single" w:sz="4" w:space="0" w:color="000000"/>
            </w:tcBorders>
            <w:vAlign w:val="center"/>
          </w:tcPr>
          <w:p>
            <w:pPr>
              <w:pStyle w:val="Style19"/>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Результат</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Разработка</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Анализ</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Определение требований. Спецификация требований. Техническое задание</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Логический проект (функциональный проект). Программно-технический проект: системы, программ, модулей, документации</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Разработка</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Проектирование</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Логическое проектирование</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Модули. Программы. Система. Средства тестирования. Дополняющая документация</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Разработка</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Реализация</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Тестирование модуля, программы, системы, дополняющая документация. Сдача в фонд (при необходимости)</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Разработка</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Тестирование</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Программное средство в форме, готовой для поставки. Документация. Правила внесения изменений</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Изготовление</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Выпуск</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Установленное программное средство. Организация применения. Отчет об испытаниях. Отзыв пользователя</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Применение</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Внедрение</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Подтверждающее стабильной эксплуатации. Предоставление набора услуг по внедрению</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Применение</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Эксплуатация</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Предложения об усовершенствовании. Сообщение о функциональных отклонениях</w:t>
            </w:r>
          </w:p>
        </w:tc>
      </w:tr>
      <w:tr>
        <w:trPr/>
        <w:tc>
          <w:tcPr>
            <w:tcW w:w="1535"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Применение</w:t>
            </w:r>
          </w:p>
        </w:tc>
        <w:tc>
          <w:tcPr>
            <w:tcW w:w="2007"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Обслуживание (сопровождение)</w:t>
            </w:r>
          </w:p>
        </w:tc>
        <w:tc>
          <w:tcPr>
            <w:tcW w:w="2532" w:type="dxa"/>
            <w:tcBorders>
              <w:left w:val="single" w:sz="4" w:space="0" w:color="000000"/>
              <w:bottom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4131" w:type="dxa"/>
            <w:tcBorders>
              <w:left w:val="single" w:sz="4" w:space="0" w:color="000000"/>
              <w:bottom w:val="single" w:sz="4" w:space="0" w:color="000000"/>
              <w:right w:val="single" w:sz="4" w:space="0" w:color="000000"/>
            </w:tcBorders>
            <w:vAlign w:val="center"/>
          </w:tcPr>
          <w:p>
            <w:pPr>
              <w:pStyle w:val="Style18"/>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Информация о сопровождении программ. Измененное программное средство</w:t>
            </w:r>
          </w:p>
        </w:tc>
      </w:tr>
    </w:tbl>
    <w:p>
      <w:pPr>
        <w:pStyle w:val="def"/>
        <w:rPr/>
      </w:pPr>
      <w:r>
        <w:rPr/>
      </w:r>
      <w:r>
        <w:br w:type="page"/>
      </w:r>
    </w:p>
    <w:p>
      <w:pPr>
        <w:pStyle w:val="Heading2"/>
        <w:spacing w:before="0" w:after="120"/>
        <w:rPr/>
      </w:pPr>
      <w:bookmarkStart w:id="8" w:name="__RefHeading___Toc1425_2914387927"/>
      <w:bookmarkEnd w:id="8"/>
      <w:r>
        <w:rPr/>
        <w:t>3 Анализ стандарта ISO/IEC 15408 «Критерии оценки безопасности информационных технологий»</w:t>
      </w:r>
    </w:p>
    <w:p>
      <w:pPr>
        <w:pStyle w:val="def"/>
        <w:ind w:firstLine="709"/>
        <w:rPr/>
      </w:pPr>
      <w:r>
        <w:rPr/>
        <w:t xml:space="preserve">Международный стандарт ISO/IEC 15408, полное наименование которого переводится как «Информационные технологии — Методы и средства обеспечения безопасности — Критерии оценки безопасности ИТ», действует на территории Российской Федерации как аутентичный национальный стандарт ГОСТ Р ИСО/МЭК 15408. В профессиональной и научной среде данный документ получил широкое историческое признание под лаконичным названием «Общие критерии». Действующая базовая редакция этого нормативного акта была официально введена в действие 1 декабря 2013 года, заложив прочную основу для современной индустрии сертификации. </w:t>
      </w:r>
    </w:p>
    <w:p>
      <w:pPr>
        <w:pStyle w:val="def"/>
        <w:ind w:firstLine="709"/>
        <w:rPr/>
      </w:pPr>
      <w:r>
        <w:rPr/>
        <w:t>Концептуальная суть «Общих критериев» заключается в том, что они представляют собой принципиально новый метастандарт, пришедший на смену устаревшим подходам. В отличие от жестко закрепленных и неизменных классов защищенности, применявшихся в американской «Оранжевой книге», данный стандарт не содержит готовых, раз и навсегда предписанных шаблонов безопасности. Вместо этого он предлагает инженерам исключительно гибкий инструментарий и богатый набор структурированных «библиотек», позволяющих с высокой точностью проектировать уникальные индивидуальные требования для каждой конкретной информационной системы с учетом ее архитектурных особенностей и актуальных киберугроз.</w:t>
      </w:r>
    </w:p>
    <w:p>
      <w:pPr>
        <w:pStyle w:val="def"/>
        <w:ind w:firstLine="709"/>
        <w:rPr/>
      </w:pPr>
      <w:r>
        <w:rPr/>
        <w:t xml:space="preserve">Область применения данного стандарта охватывает всестороннюю оценку безопасности широкого спектра ИТ-продуктов и комплексных систем, которые в рамках методологии принято именовать Объектами Оценки. Под эту категорию подпадает любое аппаратное, программно-аппаратное и чисто программное обеспечение, используемое для обработки конфиденциальных данных. В практической деятельности стандарт активно используется тремя ключевыми группами лиц, обеспечивая их эффективное взаимодействие на рынке. Разработчики применяют его для формирования детальных Заданий по безопасности и официального подтверждения высокого качества защиты своих программных продуктов. </w:t>
      </w:r>
    </w:p>
    <w:p>
      <w:pPr>
        <w:pStyle w:val="def"/>
        <w:ind w:firstLine="709"/>
        <w:rPr/>
      </w:pPr>
      <w:r>
        <w:rPr/>
        <w:t>Потребители, в свою очередь, опираются на стандарт для формирования консолидированных Профилей защиты, которые становятся обязательной частью технической документации при проведении крупных государственных закупок и коммерческих тендеров. Третьей стороной выступают сертифицированные оценщики и эксперты независимых испытательных лабораторий, использующие «Общие критерии» как единый, юридически и технически выверенный базис при проведении комплексных проверок систем на соответствие заявленному уровню защищенности.</w:t>
      </w:r>
    </w:p>
    <w:p>
      <w:pPr>
        <w:pStyle w:val="def"/>
        <w:ind w:firstLine="709"/>
        <w:rPr/>
      </w:pPr>
      <w:r>
        <w:rPr/>
        <w:t xml:space="preserve">Анализируя ключевые плюсы и минусы стандарта ISO/IEC 15408, необходимо отметить его сильные и слабые стороны, влияющие на процесс его интеграции в реальный сектор экономики. Главным достоинством выступает высочайшая гибкость и масштабируемость методологии, позволяющая конструировать жесткие требования под абсолютно любые уникальные бизнес-задачи. Не менее важным преимуществом является международное признание стандарта, благодаря которому сертификат соответствия, успешно полученный в одной стране, автоматически признается легитимным во многих развитых государствах мира. Этому способствует и четкое разделение требований на функциональные компоненты и уровни доверия к процессам проектирования. С другой стороны, серьезным минусом признана чрезвычайная сложность и колоссальная объемность официальных документов, так как стандарт состоит из нескольких огромных, тяжело воспринимаемых частей. </w:t>
      </w:r>
    </w:p>
    <w:p>
      <w:pPr>
        <w:pStyle w:val="def"/>
        <w:ind w:firstLine="709"/>
        <w:rPr/>
      </w:pPr>
      <w:r>
        <w:rPr/>
        <w:t>Это неизбежно влечет за собой высокую стоимость и длительность процедур официальной сертификации ИТ-продуктов по различным уровням доверия. Более того, выраженный мета-характер стандарта требует от создателей Профилей защиты и Заданий по безопасности очень высокой квалификации, так как никаких простых шаблонов «из коробки» этот нормативный документ не предоставляет, заставляя специалистов проводить глубокую аналитическую работу вручную. Изучение этой структуры наглядно показывает, как стандарт делится от крупных смысловых блоков до конкретных технических правил, а также определяет базовые понятия ключевых документов, используемых при сертификации ИТ-продуктов в международной практике.</w:t>
      </w:r>
    </w:p>
    <w:p>
      <w:pPr>
        <w:pStyle w:val="def"/>
        <w:ind w:firstLine="709"/>
        <w:rPr/>
      </w:pPr>
      <w:r>
        <w:rPr/>
        <w:t>Ниже представлена эта таблица в полностью оформленном и структурированном виде, готовом для переноса в ваш отчет все изображено в таблице 2.</w:t>
      </w:r>
    </w:p>
    <w:p>
      <w:pPr>
        <w:pStyle w:val="def"/>
        <w:rPr/>
      </w:pPr>
      <w:r>
        <w:rPr/>
        <w:t>Таблица 2 — Структурные элементы стандарта ISO/IEC 15408</w:t>
      </w:r>
    </w:p>
    <w:tbl>
      <w:tblPr>
        <w:tblW w:w="10205" w:type="dxa"/>
        <w:jc w:val="left"/>
        <w:tblInd w:w="0" w:type="dxa"/>
        <w:tblLayout w:type="fixed"/>
        <w:tblCellMar>
          <w:top w:w="0" w:type="dxa"/>
          <w:left w:w="0" w:type="dxa"/>
          <w:bottom w:w="28" w:type="dxa"/>
          <w:right w:w="0" w:type="dxa"/>
        </w:tblCellMar>
      </w:tblPr>
      <w:tblGrid>
        <w:gridCol w:w="362"/>
        <w:gridCol w:w="2483"/>
        <w:gridCol w:w="7360"/>
      </w:tblGrid>
      <w:tr>
        <w:trPr/>
        <w:tc>
          <w:tcPr>
            <w:tcW w:w="362" w:type="dxa"/>
            <w:tcBorders>
              <w:bottom w:val="single" w:sz="2" w:space="0" w:color="DCDFE5"/>
            </w:tcBorders>
            <w:vAlign w:val="center"/>
          </w:tcPr>
          <w:p>
            <w:pPr>
              <w:pStyle w:val="user3"/>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w:t>
            </w:r>
          </w:p>
        </w:tc>
        <w:tc>
          <w:tcPr>
            <w:tcW w:w="2483" w:type="dxa"/>
            <w:tcBorders>
              <w:bottom w:val="single" w:sz="2" w:space="0" w:color="DCDFE5"/>
            </w:tcBorders>
            <w:vAlign w:val="center"/>
          </w:tcPr>
          <w:p>
            <w:pPr>
              <w:pStyle w:val="user3"/>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Название элемента</w:t>
            </w:r>
          </w:p>
        </w:tc>
        <w:tc>
          <w:tcPr>
            <w:tcW w:w="7360" w:type="dxa"/>
            <w:tcBorders>
              <w:bottom w:val="single" w:sz="2" w:space="0" w:color="DCDFE5"/>
            </w:tcBorders>
            <w:vAlign w:val="center"/>
          </w:tcPr>
          <w:p>
            <w:pPr>
              <w:pStyle w:val="user3"/>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Что он собой представляет содержание элемента</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1</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Объект оценки (ОО)</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Программное, аппаратное средство или информационная система в целом, которая передается экспертам для проведения независимой проверки безопасности.</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2</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Профиль защиты (ПЗ)</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Нормативный документ, который описывает обобщенные требования безопасности для целой категории ИТ-продуктов например, «требования к межсетевым экранам».</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3</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Задание по безопасности (ЗБ)</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Технический документ, который описывает конкретные механизмы безопасности для одной определенной модели или версии продукта (например, «межсетевой экран марки X, версия 3.1»).</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4</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Класс требований</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Самый крупный элемент группировки в стандарте. Разделяет требования по направлениям (например, класс «Аудит» или класс «Идентификация». Всего в стандарте 11 функциональных классов.</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5</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Семейство требований</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Группа требований внутри одного класса, нацеленная на решение более узкой задачи (например, внутри класса «Аудит» есть семейство «Защита журнала аудита»).</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6</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Компонент требований</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Конкретное требование, которое выбирается разработчиком из семейства для включения в Задание по безопасности. Это «строительный блок» при сборке требований.</w:t>
            </w:r>
          </w:p>
        </w:tc>
      </w:tr>
      <w:tr>
        <w:trPr/>
        <w:tc>
          <w:tcPr>
            <w:tcW w:w="362" w:type="dxa"/>
            <w:tcBorders>
              <w:bottom w:val="single" w:sz="2" w:space="0" w:color="DCDFE5"/>
            </w:tcBorders>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7</w:t>
            </w:r>
          </w:p>
        </w:tc>
        <w:tc>
          <w:tcPr>
            <w:tcW w:w="2483" w:type="dxa"/>
            <w:tcBorders>
              <w:bottom w:val="single" w:sz="2" w:space="0" w:color="DCDFE5"/>
            </w:tcBorders>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Элемент требований</w:t>
            </w:r>
          </w:p>
        </w:tc>
        <w:tc>
          <w:tcPr>
            <w:tcW w:w="7360" w:type="dxa"/>
            <w:tcBorders>
              <w:bottom w:val="single" w:sz="2" w:space="0" w:color="DCDFE5"/>
            </w:tcBorders>
            <w:vAlign w:val="center"/>
          </w:tcPr>
          <w:p>
            <w:pPr>
              <w:pStyle w:val="user2"/>
              <w:spacing w:before="0" w:after="0"/>
              <w:ind w:hanging="0"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Самый нижний, неделимый уровень детализации. Содержит четкое текстовое правило или ограничение, которое проверяется при сертификации.</w:t>
            </w:r>
          </w:p>
        </w:tc>
      </w:tr>
      <w:tr>
        <w:trPr>
          <w:trHeight w:val="1187" w:hRule="atLeast"/>
        </w:trPr>
        <w:tc>
          <w:tcPr>
            <w:tcW w:w="362" w:type="dxa"/>
            <w:tcBorders/>
            <w:tcMar>
              <w:bottom w:w="0" w:type="dxa"/>
            </w:tcMar>
            <w:vAlign w:val="center"/>
          </w:tcPr>
          <w:p>
            <w:pPr>
              <w:pStyle w:val="user2"/>
              <w:spacing w:before="0" w:after="0"/>
              <w:ind w:hanging="0" w:left="0" w:right="0"/>
              <w:jc w:val="center"/>
              <w:rPr/>
            </w:pPr>
            <w:r>
              <w:rPr>
                <w:rStyle w:val="Strong"/>
                <w:b w:val="false"/>
                <w:bCs w:val="false"/>
                <w:strike w:val="false"/>
                <w:dstrike w:val="false"/>
                <w:sz w:val="20"/>
                <w:szCs w:val="20"/>
                <w:u w:val="none"/>
                <w:effect w:val="none"/>
              </w:rPr>
              <w:t>8</w:t>
            </w:r>
          </w:p>
        </w:tc>
        <w:tc>
          <w:tcPr>
            <w:tcW w:w="2483" w:type="dxa"/>
            <w:tcBorders/>
            <w:tcMar>
              <w:bottom w:w="0" w:type="dxa"/>
            </w:tcMar>
            <w:vAlign w:val="center"/>
          </w:tcPr>
          <w:p>
            <w:pPr>
              <w:pStyle w:val="user2"/>
              <w:spacing w:before="0" w:after="0"/>
              <w:ind w:hanging="0" w:left="0" w:right="0"/>
              <w:jc w:val="left"/>
              <w:rPr/>
            </w:pPr>
            <w:r>
              <w:rPr>
                <w:rStyle w:val="Strong"/>
                <w:b w:val="false"/>
                <w:bCs w:val="false"/>
                <w:strike w:val="false"/>
                <w:dstrike w:val="false"/>
                <w:sz w:val="20"/>
                <w:szCs w:val="20"/>
                <w:u w:val="none"/>
                <w:effect w:val="none"/>
              </w:rPr>
              <w:t>Оценочный уровень доверия (ОУД / EAL)</w:t>
            </w:r>
          </w:p>
        </w:tc>
        <w:tc>
          <w:tcPr>
            <w:tcW w:w="7360" w:type="dxa"/>
            <w:tcBorders/>
            <w:tcMar>
              <w:bottom w:w="0" w:type="dxa"/>
            </w:tcMar>
            <w:vAlign w:val="center"/>
          </w:tcPr>
          <w:p>
            <w:pPr>
              <w:pStyle w:val="user2"/>
              <w:spacing w:before="0" w:after="0"/>
              <w:ind w:left="0" w:right="0"/>
              <w:jc w:val="left"/>
              <w:rPr>
                <w:rFonts w:ascii="Times New Roman" w:hAnsi="Times New Roman"/>
                <w:b w:val="false"/>
                <w:bCs w:val="false"/>
                <w:strike w:val="false"/>
                <w:dstrike w:val="false"/>
                <w:sz w:val="20"/>
                <w:szCs w:val="20"/>
                <w:u w:val="none"/>
                <w:effect w:val="none"/>
              </w:rPr>
            </w:pPr>
            <w:r>
              <w:rPr>
                <w:b w:val="false"/>
                <w:bCs w:val="false"/>
                <w:strike w:val="false"/>
                <w:dstrike w:val="false"/>
                <w:sz w:val="20"/>
                <w:szCs w:val="20"/>
                <w:u w:val="none"/>
                <w:effect w:val="none"/>
              </w:rPr>
              <w:t>Шкала от 1 до 7 (где ОУД1 — минимум, ОУД7 — максимум), которая показывает, насколько глубоко, строго и детально тестировался данный ИТ-продукт.</w:t>
            </w:r>
          </w:p>
        </w:tc>
      </w:tr>
    </w:tbl>
    <w:p>
      <w:pPr>
        <w:pStyle w:val="def"/>
        <w:ind w:hanging="0"/>
        <w:rPr/>
      </w:pPr>
      <w:r>
        <w:rPr/>
      </w:r>
      <w:r>
        <w:br w:type="page"/>
      </w:r>
    </w:p>
    <w:p>
      <w:pPr>
        <w:pStyle w:val="Heading1"/>
        <w:spacing w:before="0" w:after="120"/>
        <w:rPr/>
      </w:pPr>
      <w:bookmarkStart w:id="9" w:name="__RefHeading___Toc1427_2914387927"/>
      <w:bookmarkStart w:id="10" w:name="_Toc240654975"/>
      <w:bookmarkEnd w:id="9"/>
      <w:r>
        <w:rPr/>
        <w:t>ЗАКЛЮЧЕНИЕ</w:t>
      </w:r>
      <w:bookmarkEnd w:id="10"/>
    </w:p>
    <w:p>
      <w:pPr>
        <w:pStyle w:val="def"/>
        <w:rPr/>
      </w:pPr>
      <w:r>
        <w:rPr/>
        <w:t>В ходе выполнения практической работы был произведен детальный аналитический обзор международной и национальной нормативно-правовой базы, стандартов и спецификаций в области информационной безопасности. Рассмотрены ключевые законы Российской Федерации Конституция, 149-ФЗ, 152-ФЗ, УК РФ и зарубежный опыт FISMA, законы Германии и стандарты Великобритании, регулирующие права граждан, обязанности операторов систем и уголовную ответственность в сфере ИТ. Также изучены фундаментальные мета-принципы построения оценочных систем от «Оранжевой книги» до современного международного стандарта ISO/IEC 15408 «Общие критерии», позволяющего гибко управлять функциональными требованиями и уровнями доверия при проектировании защищенных информационных систем.</w:t>
      </w:r>
    </w:p>
    <w:sectPr>
      <w:footerReference w:type="even" r:id="rId2"/>
      <w:footerReference w:type="default" r:id="rId3"/>
      <w:footerReference w:type="first" r:id="rId4"/>
      <w:type w:val="nextPage"/>
      <w:pgSz w:w="11906" w:h="16838"/>
      <w:pgMar w:left="1134" w:right="567" w:gutter="0" w:header="0" w:top="567" w:footer="544" w:bottom="62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auto"/>
    <w:pitch w:val="variable"/>
  </w:font>
  <w:font w:name="Liberation Sans">
    <w:altName w:val="Arial"/>
    <w:charset w:val="01"/>
    <w:family w:val="swiss"/>
    <w:pitch w:val="variable"/>
  </w:font>
  <w:font w:name="Cambria">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Работу подготовил: Демин Сергей Юрьевич</w:t>
    </w:r>
  </w:p>
  <w:sdt>
    <w:sdtPr>
      <w:docPartObj>
        <w:docPartGallery w:val="Page Numbers (Bottom of Page)"/>
        <w:docPartUnique w:val="true"/>
      </w:docPartObj>
      <w:id w:val="-435212728"/>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c44d5"/>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qFormat/>
    <w:rsid w:val="00d30c7d"/>
    <w:pPr>
      <w:keepNext w:val="true"/>
      <w:keepLines/>
      <w:spacing w:lineRule="auto" w:line="360" w:before="120" w:after="120"/>
      <w:jc w:val="center"/>
      <w:outlineLvl w:val="0"/>
    </w:pPr>
    <w:rPr>
      <w:rFonts w:eastAsia="" w:cs="" w:cstheme="majorBidi" w:eastAsiaTheme="majorEastAsia"/>
      <w:b/>
      <w:caps/>
      <w:sz w:val="28"/>
      <w:szCs w:val="32"/>
    </w:rPr>
  </w:style>
  <w:style w:type="paragraph" w:styleId="Heading2">
    <w:name w:val="heading 2"/>
    <w:basedOn w:val="Normal"/>
    <w:next w:val="Normal"/>
    <w:link w:val="2"/>
    <w:unhideWhenUsed/>
    <w:qFormat/>
    <w:rsid w:val="000a64e1"/>
    <w:pPr>
      <w:keepNext w:val="true"/>
      <w:keepLines/>
      <w:spacing w:lineRule="auto" w:line="360" w:before="120" w:after="120"/>
      <w:ind w:firstLine="709"/>
      <w:jc w:val="both"/>
      <w:outlineLvl w:val="1"/>
    </w:pPr>
    <w:rPr>
      <w:rFonts w:eastAsia="" w:cs="" w:cstheme="majorBidi" w:eastAsiaTheme="majorEastAsia"/>
      <w:b/>
      <w:sz w:val="28"/>
      <w:szCs w:val="26"/>
    </w:rPr>
  </w:style>
  <w:style w:type="character" w:styleId="DefaultParagraphFont" w:default="1">
    <w:name w:val="Default Paragraph Font"/>
    <w:uiPriority w:val="1"/>
    <w:unhideWhenUsed/>
    <w:qFormat/>
    <w:rPr/>
  </w:style>
  <w:style w:type="character" w:styleId="Style12" w:customStyle="1">
    <w:name w:val="Верхний колонтитул Знак"/>
    <w:qFormat/>
    <w:rsid w:val="006e7f72"/>
    <w:rPr>
      <w:sz w:val="24"/>
      <w:szCs w:val="24"/>
    </w:rPr>
  </w:style>
  <w:style w:type="character" w:styleId="Style13" w:customStyle="1">
    <w:name w:val="Нижний колонтитул Знак"/>
    <w:uiPriority w:val="99"/>
    <w:qFormat/>
    <w:rsid w:val="006e7f72"/>
    <w:rPr>
      <w:sz w:val="24"/>
      <w:szCs w:val="24"/>
    </w:rPr>
  </w:style>
  <w:style w:type="character" w:styleId="1" w:customStyle="1">
    <w:name w:val="Заголовок 1 Знак"/>
    <w:basedOn w:val="DefaultParagraphFont"/>
    <w:qFormat/>
    <w:rsid w:val="00d30c7d"/>
    <w:rPr>
      <w:rFonts w:eastAsia="" w:cs="" w:cstheme="majorBidi" w:eastAsiaTheme="majorEastAsia"/>
      <w:b/>
      <w:caps/>
      <w:sz w:val="28"/>
      <w:szCs w:val="32"/>
    </w:rPr>
  </w:style>
  <w:style w:type="character" w:styleId="Hyperlink">
    <w:name w:val="Hyperlink"/>
    <w:basedOn w:val="DefaultParagraphFont"/>
    <w:uiPriority w:val="99"/>
    <w:unhideWhenUsed/>
    <w:rsid w:val="00771a46"/>
    <w:rPr>
      <w:color w:themeColor="hyperlink" w:val="0000FF"/>
      <w:u w:val="single"/>
    </w:rPr>
  </w:style>
  <w:style w:type="character" w:styleId="2" w:customStyle="1">
    <w:name w:val="Заголовок 2 Знак"/>
    <w:basedOn w:val="DefaultParagraphFont"/>
    <w:qFormat/>
    <w:rsid w:val="000a64e1"/>
    <w:rPr>
      <w:rFonts w:eastAsia="" w:cs="" w:cstheme="majorBidi" w:eastAsiaTheme="majorEastAsia"/>
      <w:b/>
      <w:sz w:val="28"/>
      <w:szCs w:val="26"/>
    </w:rPr>
  </w:style>
  <w:style w:type="character" w:styleId="Style14">
    <w:name w:val="Ссылка указателя"/>
    <w:qFormat/>
    <w:rPr/>
  </w:style>
  <w:style w:type="character" w:styleId="Strong">
    <w:name w:val="Strong"/>
    <w:qFormat/>
    <w:rPr>
      <w:b/>
      <w:bCs/>
    </w:rPr>
  </w:style>
  <w:style w:type="character" w:styleId="Style15">
    <w:name w:val="Маркеры"/>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Liberation Sans" w:hAnsi="Liberation Sans" w:eastAsia="WenQuanYi Zen Hei Sharp" w:cs="Unifont"/>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Unifont"/>
    </w:rPr>
  </w:style>
  <w:style w:type="paragraph" w:styleId="Caption">
    <w:name w:val="caption"/>
    <w:basedOn w:val="Normal"/>
    <w:qFormat/>
    <w:pPr>
      <w:suppressLineNumbers/>
      <w:spacing w:before="120" w:after="120"/>
    </w:pPr>
    <w:rPr>
      <w:rFonts w:cs="Unifont"/>
      <w:i/>
      <w:iCs/>
    </w:rPr>
  </w:style>
  <w:style w:type="paragraph" w:styleId="Style17">
    <w:name w:val="Указатель"/>
    <w:basedOn w:val="Normal"/>
    <w:qFormat/>
    <w:pPr>
      <w:suppressLineNumbers/>
    </w:pPr>
    <w:rPr>
      <w:rFonts w:cs="Unifont"/>
    </w:rPr>
  </w:style>
  <w:style w:type="paragraph" w:styleId="user" w:customStyle="1">
    <w:name w:val="Заголовок (user)"/>
    <w:basedOn w:val="Normal"/>
    <w:next w:val="BodyText"/>
    <w:qFormat/>
    <w:pPr>
      <w:keepNext w:val="true"/>
      <w:spacing w:before="240" w:after="120"/>
    </w:pPr>
    <w:rPr>
      <w:rFonts w:ascii="Liberation Sans" w:hAnsi="Liberation Sans" w:eastAsia="Tahoma" w:cs="Unifont"/>
      <w:sz w:val="28"/>
      <w:szCs w:val="28"/>
    </w:rPr>
  </w:style>
  <w:style w:type="paragraph" w:styleId="user1" w:customStyle="1">
    <w:name w:val="Указатель (user)"/>
    <w:basedOn w:val="Normal"/>
    <w:qFormat/>
    <w:pPr>
      <w:suppressLineNumbers/>
    </w:pPr>
    <w:rPr>
      <w:rFonts w:cs="Unifont"/>
    </w:rPr>
  </w:style>
  <w:style w:type="paragraph" w:styleId="Title">
    <w:name w:val="Title"/>
    <w:basedOn w:val="Normal"/>
    <w:next w:val="BodyText"/>
    <w:qFormat/>
    <w:pPr>
      <w:keepNext w:val="true"/>
      <w:spacing w:before="240" w:after="120"/>
    </w:pPr>
    <w:rPr>
      <w:rFonts w:ascii="Liberation Sans" w:hAnsi="Liberation Sans" w:eastAsia="Tahoma" w:cs="Unifont"/>
      <w:sz w:val="28"/>
      <w:szCs w:val="28"/>
    </w:rPr>
  </w:style>
  <w:style w:type="paragraph" w:styleId="IndexHeading">
    <w:name w:val="index heading"/>
    <w:basedOn w:val="Normal"/>
    <w:qFormat/>
    <w:pPr>
      <w:suppressLineNumbers/>
    </w:pPr>
    <w:rPr>
      <w:rFonts w:cs="Unifont"/>
    </w:rPr>
  </w:style>
  <w:style w:type="paragraph" w:styleId="TOC1">
    <w:name w:val="toc 1"/>
    <w:basedOn w:val="Normal"/>
    <w:next w:val="Normal"/>
    <w:autoRedefine/>
    <w:uiPriority w:val="39"/>
    <w:rsid w:val="003578ea"/>
    <w:pPr>
      <w:tabs>
        <w:tab w:val="clear" w:pos="708"/>
        <w:tab w:val="left" w:pos="480" w:leader="none"/>
        <w:tab w:val="right" w:pos="9345" w:leader="dot"/>
      </w:tabs>
    </w:pPr>
    <w:rPr>
      <w:b/>
      <w:bCs/>
      <w:iCs/>
    </w:rPr>
  </w:style>
  <w:style w:type="paragraph" w:styleId="def" w:customStyle="1">
    <w:name w:val="текст def"/>
    <w:basedOn w:val="Normal"/>
    <w:qFormat/>
    <w:rsid w:val="00d14323"/>
    <w:pPr>
      <w:spacing w:lineRule="auto" w:line="360"/>
      <w:ind w:firstLine="709"/>
      <w:jc w:val="both"/>
    </w:pPr>
    <w:rPr/>
  </w:style>
  <w:style w:type="paragraph" w:styleId="HeaderandFooter">
    <w:name w:val="Header and Footer"/>
    <w:basedOn w:val="Normal"/>
    <w:qFormat/>
    <w:pPr/>
    <w:rPr/>
  </w:style>
  <w:style w:type="paragraph" w:styleId="Header">
    <w:name w:val="header"/>
    <w:basedOn w:val="Normal"/>
    <w:link w:val="Style12"/>
    <w:rsid w:val="006e7f72"/>
    <w:pPr>
      <w:tabs>
        <w:tab w:val="clear" w:pos="708"/>
        <w:tab w:val="center" w:pos="4677" w:leader="none"/>
        <w:tab w:val="right" w:pos="9355" w:leader="none"/>
      </w:tabs>
    </w:pPr>
    <w:rPr/>
  </w:style>
  <w:style w:type="paragraph" w:styleId="Footer">
    <w:name w:val="footer"/>
    <w:basedOn w:val="Normal"/>
    <w:link w:val="Style13"/>
    <w:uiPriority w:val="99"/>
    <w:rsid w:val="006e7f72"/>
    <w:pPr>
      <w:tabs>
        <w:tab w:val="clear" w:pos="708"/>
        <w:tab w:val="center" w:pos="4677" w:leader="none"/>
        <w:tab w:val="right" w:pos="9355" w:leader="none"/>
      </w:tabs>
    </w:pPr>
    <w:rPr/>
  </w:style>
  <w:style w:type="paragraph" w:styleId="TOCHeading">
    <w:name w:val="TOC Heading"/>
    <w:basedOn w:val="Heading1"/>
    <w:next w:val="Normal"/>
    <w:uiPriority w:val="39"/>
    <w:unhideWhenUsed/>
    <w:qFormat/>
    <w:rsid w:val="00771a46"/>
    <w:pPr>
      <w:suppressAutoHyphens w:val="false"/>
      <w:spacing w:lineRule="auto" w:line="259" w:before="120" w:after="0"/>
      <w:jc w:val="left"/>
      <w:outlineLvl w:val="9"/>
    </w:pPr>
    <w:rPr>
      <w:rFonts w:ascii="Cambria" w:hAnsi="Cambria" w:asciiTheme="majorHAnsi" w:hAnsiTheme="majorHAnsi"/>
      <w:b w:val="false"/>
      <w:color w:themeColor="accent1" w:themeShade="bf" w:val="365F91"/>
      <w:sz w:val="32"/>
    </w:rPr>
  </w:style>
  <w:style w:type="paragraph" w:styleId="TOC2">
    <w:name w:val="toc 2"/>
    <w:basedOn w:val="Normal"/>
    <w:next w:val="Normal"/>
    <w:autoRedefine/>
    <w:uiPriority w:val="39"/>
    <w:unhideWhenUsed/>
    <w:rsid w:val="00281f51"/>
    <w:pPr>
      <w:tabs>
        <w:tab w:val="clear" w:pos="708"/>
        <w:tab w:val="right" w:pos="10195" w:leader="dot"/>
      </w:tabs>
      <w:spacing w:before="0" w:after="100"/>
      <w:ind w:left="240"/>
    </w:pPr>
    <w:rPr/>
  </w:style>
  <w:style w:type="paragraph" w:styleId="user2">
    <w:name w:val="Содержимое таблицы (user)"/>
    <w:basedOn w:val="Normal"/>
    <w:qFormat/>
    <w:pPr>
      <w:widowControl w:val="false"/>
      <w:suppressLineNumbers/>
    </w:pPr>
    <w:rPr/>
  </w:style>
  <w:style w:type="paragraph" w:styleId="user3">
    <w:name w:val="Заголовок таблицы (user)"/>
    <w:basedOn w:val="user2"/>
    <w:qFormat/>
    <w:pPr>
      <w:suppressLineNumbers/>
      <w:jc w:val="center"/>
    </w:pPr>
    <w:rPr>
      <w:b/>
      <w:bCs/>
    </w:rPr>
  </w:style>
  <w:style w:type="paragraph" w:styleId="Style18">
    <w:name w:val="Содержимое таблицы"/>
    <w:basedOn w:val="Normal"/>
    <w:qFormat/>
    <w:pPr>
      <w:widowControl w:val="false"/>
      <w:suppressLineNumbers/>
    </w:pPr>
    <w:rPr/>
  </w:style>
  <w:style w:type="paragraph" w:styleId="Style19">
    <w:name w:val="Заголовок таблицы"/>
    <w:basedOn w:val="Style18"/>
    <w:qFormat/>
    <w:pPr>
      <w:suppressLineNumbers/>
      <w:jc w:val="center"/>
    </w:pPr>
    <w:rPr>
      <w:b/>
      <w:bCs/>
    </w:rPr>
  </w:style>
  <w:style w:type="numbering" w:styleId="Style20" w:customStyle="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
    <w:name w:val="Table Grid"/>
    <w:basedOn w:val="a1"/>
    <w:rsid w:val="005a45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BCBD7-D0D8-4353-8387-40A36276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Application>LibreOffice/24.8.5.2$Linux_X86_64 LibreOffice_project/480$Build-2</Application>
  <AppVersion>15.0000</AppVersion>
  <Pages>11</Pages>
  <Words>2376</Words>
  <Characters>18723</Characters>
  <CharactersWithSpaces>20938</CharactersWithSpaces>
  <Paragraphs>190</Paragraphs>
  <Company>ХПК</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2022-09-13T09:20:00Z</dcterms:created>
  <dc:creator>zeol</dc:creator>
  <dc:description/>
  <dc:language>ru-RU</dc:language>
  <cp:lastModifiedBy/>
  <cp:lastPrinted>2012-01-24T07:47:00Z</cp:lastPrinted>
  <dcterms:modified xsi:type="dcterms:W3CDTF">2026-10-02T10:35:42Z</dcterms:modified>
  <cp:revision>140</cp:revision>
  <dc:subject/>
  <dc:title>ФЕДЕРАЛЬНОЕ АГЕНТСТВО ПО ОБРАЗОВАНИЮ</dc:title>
</cp:coreProperties>
</file>

<file path=docProps/custom.xml><?xml version="1.0" encoding="utf-8"?>
<Properties xmlns="http://schemas.openxmlformats.org/officeDocument/2006/custom-properties" xmlns:vt="http://schemas.openxmlformats.org/officeDocument/2006/docPropsVTypes"/>
</file>