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21AE" w:rsidRDefault="00676887" w:rsidP="008D21AE">
      <w:pPr>
        <w:widowControl w:val="0"/>
        <w:bidi/>
        <w:rPr>
          <w:sz w:val="24"/>
          <w:szCs w:val="24"/>
          <w:rtl/>
          <w:lang w:bidi="he-IL"/>
        </w:rPr>
      </w:pPr>
      <w:r w:rsidRPr="008D21AE">
        <w:rPr>
          <w:rFonts w:hint="cs"/>
          <w:b/>
          <w:bCs/>
          <w:sz w:val="36"/>
          <w:szCs w:val="36"/>
          <w:rtl/>
          <w:lang w:bidi="he-IL"/>
        </w:rPr>
        <w:t>ה</w:t>
      </w:r>
      <w:r w:rsidRPr="008D21AE">
        <w:rPr>
          <w:b/>
          <w:bCs/>
          <w:sz w:val="36"/>
          <w:szCs w:val="36"/>
          <w:rtl/>
          <w:lang w:bidi="he-IL"/>
        </w:rPr>
        <w:t>שור</w:t>
      </w:r>
      <w:r>
        <w:rPr>
          <w:rFonts w:hint="cs"/>
          <w:b/>
          <w:bCs/>
          <w:sz w:val="28"/>
          <w:szCs w:val="28"/>
          <w:rtl/>
          <w:lang w:bidi="he-IL"/>
        </w:rPr>
        <w:t xml:space="preserve"> </w:t>
      </w:r>
      <w:r w:rsidRPr="008D21AE">
        <w:rPr>
          <w:b/>
          <w:bCs/>
          <w:sz w:val="32"/>
          <w:szCs w:val="32"/>
          <w:rtl/>
          <w:lang w:bidi="he-IL"/>
        </w:rPr>
        <w:t>והבור</w:t>
      </w:r>
      <w:r w:rsidR="008D21AE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D21AE">
        <w:rPr>
          <w:b/>
          <w:bCs/>
          <w:sz w:val="32"/>
          <w:szCs w:val="32"/>
          <w:rtl/>
          <w:lang w:bidi="he-IL"/>
        </w:rPr>
        <w:t>–</w:t>
      </w:r>
      <w:r w:rsidR="008D21AE">
        <w:rPr>
          <w:rFonts w:hint="cs"/>
          <w:b/>
          <w:bCs/>
          <w:sz w:val="32"/>
          <w:szCs w:val="32"/>
          <w:rtl/>
          <w:lang w:bidi="he-IL"/>
        </w:rPr>
        <w:t xml:space="preserve"> </w:t>
      </w:r>
      <w:r w:rsidR="008D21AE">
        <w:rPr>
          <w:b/>
          <w:bCs/>
          <w:sz w:val="32"/>
          <w:szCs w:val="32"/>
          <w:lang w:bidi="he-IL"/>
        </w:rPr>
        <w:t xml:space="preserve">The ox and the pit                                 </w:t>
      </w:r>
      <w:r w:rsidR="008D21AE">
        <w:rPr>
          <w:b/>
          <w:bCs/>
          <w:sz w:val="16"/>
          <w:szCs w:val="16"/>
          <w:lang w:bidi="he-IL"/>
        </w:rPr>
        <w:t xml:space="preserve">  </w:t>
      </w:r>
      <w:r w:rsidR="008D21AE">
        <w:rPr>
          <w:b/>
          <w:bCs/>
          <w:sz w:val="32"/>
          <w:szCs w:val="32"/>
          <w:lang w:bidi="he-IL"/>
        </w:rPr>
        <w:t xml:space="preserve">                               </w:t>
      </w:r>
      <w:r w:rsidR="008D21AE" w:rsidRPr="008D21AE">
        <w:rPr>
          <w:b/>
          <w:bCs/>
          <w:sz w:val="24"/>
          <w:szCs w:val="24"/>
          <w:lang w:bidi="he-IL"/>
        </w:rPr>
        <w:t xml:space="preserve"> </w:t>
      </w:r>
    </w:p>
    <w:p w:rsidR="008D21AE" w:rsidRPr="008D21AE" w:rsidRDefault="008D21AE" w:rsidP="008D21AE">
      <w:pPr>
        <w:widowControl w:val="0"/>
        <w:rPr>
          <w:rFonts w:ascii="Copperplate Gothic Bold" w:hAnsi="Copperplate Gothic Bold"/>
          <w:sz w:val="28"/>
          <w:szCs w:val="28"/>
          <w:u w:val="double"/>
          <w:rtl/>
          <w:lang w:bidi="he-IL"/>
        </w:rPr>
      </w:pPr>
      <w:r w:rsidRPr="008D21AE">
        <w:rPr>
          <w:rFonts w:ascii="Copperplate Gothic Bold" w:hAnsi="Copperplate Gothic Bold"/>
          <w:sz w:val="28"/>
          <w:szCs w:val="28"/>
          <w:u w:val="double"/>
          <w:lang w:bidi="he-IL"/>
        </w:rPr>
        <w:t>Overview</w:t>
      </w:r>
    </w:p>
    <w:p w:rsidR="008D21AE" w:rsidRDefault="008D21AE" w:rsidP="008D21AE">
      <w:pPr>
        <w:widowControl w:val="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תנא</w:t>
      </w:r>
      <w:r>
        <w:rPr>
          <w:sz w:val="28"/>
          <w:szCs w:val="28"/>
          <w:lang w:bidi="he-IL"/>
        </w:rPr>
        <w:t xml:space="preserve"> mentions the four </w:t>
      </w:r>
      <w:r>
        <w:rPr>
          <w:rFonts w:hint="cs"/>
          <w:sz w:val="28"/>
          <w:szCs w:val="28"/>
          <w:rtl/>
          <w:lang w:bidi="he-IL"/>
        </w:rPr>
        <w:t>אבות נזיקין</w:t>
      </w:r>
      <w:r>
        <w:rPr>
          <w:sz w:val="28"/>
          <w:szCs w:val="28"/>
          <w:lang w:bidi="he-IL"/>
        </w:rPr>
        <w:t xml:space="preserve">, which are: 1) </w:t>
      </w: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 (according to </w:t>
      </w:r>
      <w:r>
        <w:rPr>
          <w:rFonts w:hint="cs"/>
          <w:sz w:val="28"/>
          <w:szCs w:val="28"/>
          <w:rtl/>
          <w:lang w:bidi="he-IL"/>
        </w:rPr>
        <w:t>רב</w:t>
      </w:r>
      <w:r>
        <w:rPr>
          <w:sz w:val="28"/>
          <w:szCs w:val="28"/>
          <w:lang w:bidi="he-IL"/>
        </w:rPr>
        <w:t xml:space="preserve"> this includes the sub categories of (</w:t>
      </w:r>
      <w:r>
        <w:rPr>
          <w:rFonts w:hint="cs"/>
          <w:sz w:val="28"/>
          <w:szCs w:val="28"/>
          <w:rtl/>
          <w:lang w:bidi="he-IL"/>
        </w:rPr>
        <w:t>קרן</w:t>
      </w:r>
      <w:r>
        <w:rPr>
          <w:sz w:val="28"/>
          <w:szCs w:val="28"/>
          <w:lang w:bidi="he-IL"/>
        </w:rPr>
        <w:t xml:space="preserve">) goring, </w:t>
      </w:r>
      <w:r>
        <w:rPr>
          <w:rFonts w:hint="cs"/>
          <w:sz w:val="28"/>
          <w:szCs w:val="28"/>
          <w:rtl/>
          <w:lang w:bidi="he-IL"/>
        </w:rPr>
        <w:t>שן</w:t>
      </w:r>
      <w:r>
        <w:rPr>
          <w:sz w:val="28"/>
          <w:szCs w:val="28"/>
          <w:lang w:bidi="he-IL"/>
        </w:rPr>
        <w:t xml:space="preserve"> (eating), and </w:t>
      </w:r>
      <w:r>
        <w:rPr>
          <w:rFonts w:hint="cs"/>
          <w:sz w:val="28"/>
          <w:szCs w:val="28"/>
          <w:rtl/>
          <w:lang w:bidi="he-IL"/>
        </w:rPr>
        <w:t>רגל</w:t>
      </w:r>
      <w:r>
        <w:rPr>
          <w:sz w:val="28"/>
          <w:szCs w:val="28"/>
          <w:lang w:bidi="he-IL"/>
        </w:rPr>
        <w:t xml:space="preserve"> (trampling); and according to </w:t>
      </w:r>
      <w:r>
        <w:rPr>
          <w:rFonts w:hint="cs"/>
          <w:sz w:val="28"/>
          <w:szCs w:val="28"/>
          <w:rtl/>
          <w:lang w:bidi="he-IL"/>
        </w:rPr>
        <w:t>שמואל</w:t>
      </w:r>
      <w:r>
        <w:rPr>
          <w:sz w:val="28"/>
          <w:szCs w:val="28"/>
          <w:lang w:bidi="he-IL"/>
        </w:rPr>
        <w:t xml:space="preserve"> it refers to </w:t>
      </w:r>
      <w:r>
        <w:rPr>
          <w:rFonts w:hint="cs"/>
          <w:sz w:val="28"/>
          <w:szCs w:val="28"/>
          <w:rtl/>
          <w:lang w:bidi="he-IL"/>
        </w:rPr>
        <w:t>רגל</w:t>
      </w:r>
      <w:r>
        <w:rPr>
          <w:sz w:val="28"/>
          <w:szCs w:val="28"/>
          <w:lang w:bidi="he-IL"/>
        </w:rPr>
        <w:t xml:space="preserve"> only), 2) </w:t>
      </w:r>
      <w:r>
        <w:rPr>
          <w:rFonts w:hint="cs"/>
          <w:sz w:val="28"/>
          <w:szCs w:val="28"/>
          <w:rtl/>
          <w:lang w:bidi="he-IL"/>
        </w:rPr>
        <w:t>בור</w:t>
      </w:r>
      <w:r>
        <w:rPr>
          <w:sz w:val="28"/>
          <w:szCs w:val="28"/>
          <w:lang w:bidi="he-IL"/>
        </w:rPr>
        <w:t xml:space="preserve">, 3) </w:t>
      </w:r>
      <w:r>
        <w:rPr>
          <w:rFonts w:hint="cs"/>
          <w:sz w:val="28"/>
          <w:szCs w:val="28"/>
          <w:rtl/>
          <w:lang w:bidi="he-IL"/>
        </w:rPr>
        <w:t>מבעה</w:t>
      </w:r>
      <w:r>
        <w:rPr>
          <w:sz w:val="28"/>
          <w:szCs w:val="28"/>
          <w:lang w:bidi="he-IL"/>
        </w:rPr>
        <w:t xml:space="preserve"> (according to </w:t>
      </w:r>
      <w:r>
        <w:rPr>
          <w:rFonts w:hint="cs"/>
          <w:sz w:val="28"/>
          <w:szCs w:val="28"/>
          <w:rtl/>
          <w:lang w:bidi="he-IL"/>
        </w:rPr>
        <w:t>רב</w:t>
      </w:r>
      <w:r>
        <w:rPr>
          <w:sz w:val="28"/>
          <w:szCs w:val="28"/>
          <w:lang w:bidi="he-IL"/>
        </w:rPr>
        <w:t xml:space="preserve"> this refers to </w:t>
      </w:r>
      <w:r>
        <w:rPr>
          <w:rFonts w:hint="cs"/>
          <w:sz w:val="28"/>
          <w:szCs w:val="28"/>
          <w:rtl/>
          <w:lang w:bidi="he-IL"/>
        </w:rPr>
        <w:t>אדם המזיק</w:t>
      </w:r>
      <w:r>
        <w:rPr>
          <w:sz w:val="28"/>
          <w:szCs w:val="28"/>
          <w:lang w:bidi="he-IL"/>
        </w:rPr>
        <w:t xml:space="preserve">; and according to </w:t>
      </w:r>
      <w:r>
        <w:rPr>
          <w:rFonts w:hint="cs"/>
          <w:sz w:val="28"/>
          <w:szCs w:val="28"/>
          <w:rtl/>
          <w:lang w:bidi="he-IL"/>
        </w:rPr>
        <w:t>שמואל</w:t>
      </w:r>
      <w:r>
        <w:rPr>
          <w:sz w:val="28"/>
          <w:szCs w:val="28"/>
          <w:lang w:bidi="he-IL"/>
        </w:rPr>
        <w:t xml:space="preserve"> it refers to </w:t>
      </w:r>
      <w:r>
        <w:rPr>
          <w:rFonts w:hint="cs"/>
          <w:sz w:val="28"/>
          <w:szCs w:val="28"/>
          <w:rtl/>
          <w:lang w:bidi="he-IL"/>
        </w:rPr>
        <w:t>שן</w:t>
      </w:r>
      <w:r>
        <w:rPr>
          <w:sz w:val="28"/>
          <w:szCs w:val="28"/>
          <w:lang w:bidi="he-IL"/>
        </w:rPr>
        <w:t xml:space="preserve">), </w:t>
      </w:r>
      <w:r>
        <w:rPr>
          <w:rFonts w:hint="cs"/>
          <w:sz w:val="28"/>
          <w:szCs w:val="28"/>
          <w:rtl/>
          <w:lang w:bidi="he-IL"/>
        </w:rPr>
        <w:t>הבער</w:t>
      </w:r>
      <w:r>
        <w:rPr>
          <w:sz w:val="28"/>
          <w:szCs w:val="28"/>
          <w:lang w:bidi="he-IL"/>
        </w:rPr>
        <w:t xml:space="preserve"> – fire. </w:t>
      </w:r>
      <w:r>
        <w:rPr>
          <w:rFonts w:hint="cs"/>
          <w:sz w:val="28"/>
          <w:szCs w:val="28"/>
          <w:rtl/>
          <w:lang w:bidi="he-IL"/>
        </w:rPr>
        <w:t>רש"י</w:t>
      </w:r>
      <w:r>
        <w:rPr>
          <w:sz w:val="28"/>
          <w:szCs w:val="28"/>
          <w:lang w:bidi="he-IL"/>
        </w:rPr>
        <w:t xml:space="preserve"> in </w:t>
      </w:r>
      <w:r>
        <w:rPr>
          <w:rFonts w:hint="cs"/>
          <w:sz w:val="28"/>
          <w:szCs w:val="28"/>
          <w:rtl/>
          <w:lang w:bidi="he-IL"/>
        </w:rPr>
        <w:t>ד"ה השור והבור וכו'</w:t>
      </w:r>
      <w:r>
        <w:rPr>
          <w:sz w:val="28"/>
          <w:szCs w:val="28"/>
          <w:lang w:bidi="he-IL"/>
        </w:rPr>
        <w:t>, states that the</w:t>
      </w:r>
      <w:r w:rsidR="00343345">
        <w:rPr>
          <w:sz w:val="28"/>
          <w:szCs w:val="28"/>
          <w:lang w:bidi="he-IL"/>
        </w:rPr>
        <w:t xml:space="preserve"> </w:t>
      </w:r>
      <w:r w:rsidR="00343345">
        <w:rPr>
          <w:rFonts w:hint="cs"/>
          <w:sz w:val="28"/>
          <w:szCs w:val="28"/>
          <w:rtl/>
          <w:lang w:bidi="he-IL"/>
        </w:rPr>
        <w:t>ד' אבות</w:t>
      </w:r>
      <w:r w:rsidR="00343345">
        <w:rPr>
          <w:sz w:val="28"/>
          <w:szCs w:val="28"/>
          <w:lang w:bidi="he-IL"/>
        </w:rPr>
        <w:t xml:space="preserve"> are</w:t>
      </w:r>
      <w:r>
        <w:rPr>
          <w:sz w:val="28"/>
          <w:szCs w:val="28"/>
          <w:lang w:bidi="he-IL"/>
        </w:rPr>
        <w:t xml:space="preserve"> mentioned in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in the same order as they are mentioned in </w:t>
      </w:r>
      <w:r>
        <w:rPr>
          <w:rFonts w:hint="cs"/>
          <w:sz w:val="28"/>
          <w:szCs w:val="28"/>
          <w:rtl/>
          <w:lang w:bidi="he-IL"/>
        </w:rPr>
        <w:t>פרשת משפטים</w:t>
      </w:r>
      <w:r>
        <w:rPr>
          <w:sz w:val="28"/>
          <w:szCs w:val="28"/>
          <w:lang w:bidi="he-IL"/>
        </w:rPr>
        <w:t xml:space="preserve">; the first </w:t>
      </w:r>
      <w:r>
        <w:rPr>
          <w:rFonts w:hint="cs"/>
          <w:sz w:val="28"/>
          <w:szCs w:val="28"/>
          <w:rtl/>
          <w:lang w:bidi="he-IL"/>
        </w:rPr>
        <w:t>פרשה</w:t>
      </w:r>
      <w:r>
        <w:rPr>
          <w:sz w:val="28"/>
          <w:szCs w:val="28"/>
          <w:lang w:bidi="he-IL"/>
        </w:rPr>
        <w:t xml:space="preserve"> is </w:t>
      </w: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 the second </w:t>
      </w:r>
      <w:r>
        <w:rPr>
          <w:rFonts w:hint="cs"/>
          <w:sz w:val="28"/>
          <w:szCs w:val="28"/>
          <w:rtl/>
          <w:lang w:bidi="he-IL"/>
        </w:rPr>
        <w:t>פרשה</w:t>
      </w:r>
      <w:r>
        <w:rPr>
          <w:sz w:val="28"/>
          <w:szCs w:val="28"/>
          <w:lang w:bidi="he-IL"/>
        </w:rPr>
        <w:t xml:space="preserve"> is </w:t>
      </w:r>
      <w:r>
        <w:rPr>
          <w:rFonts w:hint="cs"/>
          <w:sz w:val="28"/>
          <w:szCs w:val="28"/>
          <w:rtl/>
          <w:lang w:bidi="he-IL"/>
        </w:rPr>
        <w:t>בור</w:t>
      </w:r>
      <w:r>
        <w:rPr>
          <w:sz w:val="28"/>
          <w:szCs w:val="28"/>
          <w:lang w:bidi="he-IL"/>
        </w:rPr>
        <w:t xml:space="preserve">. </w:t>
      </w:r>
    </w:p>
    <w:p w:rsidR="008D21AE" w:rsidRDefault="008D21AE" w:rsidP="008D21AE">
      <w:pPr>
        <w:widowControl w:val="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 xml:space="preserve">In </w:t>
      </w:r>
      <w:r>
        <w:rPr>
          <w:rFonts w:hint="cs"/>
          <w:sz w:val="28"/>
          <w:szCs w:val="28"/>
          <w:rtl/>
          <w:lang w:bidi="he-IL"/>
        </w:rPr>
        <w:t>פרשת משפטים</w:t>
      </w:r>
      <w:r>
        <w:rPr>
          <w:sz w:val="28"/>
          <w:szCs w:val="28"/>
          <w:lang w:bidi="he-IL"/>
        </w:rPr>
        <w:t xml:space="preserve"> the order of the </w:t>
      </w:r>
      <w:r>
        <w:rPr>
          <w:rFonts w:hint="cs"/>
          <w:sz w:val="28"/>
          <w:szCs w:val="28"/>
          <w:rtl/>
          <w:lang w:bidi="he-IL"/>
        </w:rPr>
        <w:t>דינים</w:t>
      </w:r>
      <w:r>
        <w:rPr>
          <w:sz w:val="28"/>
          <w:szCs w:val="28"/>
          <w:lang w:bidi="he-IL"/>
        </w:rPr>
        <w:t xml:space="preserve"> relevant to our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is as follows:</w:t>
      </w:r>
    </w:p>
    <w:p w:rsidR="008D21AE" w:rsidRPr="008D21AE" w:rsidRDefault="008D21AE" w:rsidP="008D21AE">
      <w:pPr>
        <w:widowControl w:val="0"/>
        <w:rPr>
          <w:sz w:val="28"/>
          <w:szCs w:val="28"/>
          <w:lang w:bidi="he-IL"/>
        </w:rPr>
      </w:pPr>
      <w:r>
        <w:rPr>
          <w:sz w:val="28"/>
          <w:szCs w:val="28"/>
          <w:lang w:bidi="he-IL"/>
        </w:rPr>
        <w:t>a)</w:t>
      </w:r>
      <w:r>
        <w:rPr>
          <w:rStyle w:val="FootnoteReference"/>
          <w:sz w:val="28"/>
          <w:szCs w:val="28"/>
          <w:lang w:bidi="he-IL"/>
        </w:rPr>
        <w:footnoteReference w:id="1"/>
      </w:r>
      <w:r>
        <w:rPr>
          <w:sz w:val="28"/>
          <w:szCs w:val="28"/>
          <w:lang w:bidi="he-IL"/>
        </w:rPr>
        <w:t xml:space="preserve"> </w:t>
      </w:r>
      <w:r>
        <w:rPr>
          <w:rFonts w:hint="cs"/>
          <w:sz w:val="28"/>
          <w:szCs w:val="28"/>
          <w:rtl/>
          <w:lang w:bidi="he-IL"/>
        </w:rPr>
        <w:t>שור (קרן) המזיק אדם (כא, כח-לב)</w:t>
      </w:r>
      <w:r>
        <w:rPr>
          <w:sz w:val="28"/>
          <w:szCs w:val="28"/>
          <w:lang w:bidi="he-IL"/>
        </w:rPr>
        <w:t xml:space="preserve">, b) </w:t>
      </w:r>
      <w:r>
        <w:rPr>
          <w:rFonts w:hint="cs"/>
          <w:sz w:val="28"/>
          <w:szCs w:val="28"/>
          <w:rtl/>
          <w:lang w:bidi="he-IL"/>
        </w:rPr>
        <w:t>בור (לג-לד)</w:t>
      </w:r>
      <w:r>
        <w:rPr>
          <w:sz w:val="28"/>
          <w:szCs w:val="28"/>
          <w:lang w:bidi="he-IL"/>
        </w:rPr>
        <w:t xml:space="preserve">, c) </w:t>
      </w:r>
      <w:r>
        <w:rPr>
          <w:rFonts w:hint="cs"/>
          <w:sz w:val="28"/>
          <w:szCs w:val="28"/>
          <w:rtl/>
          <w:lang w:bidi="he-IL"/>
        </w:rPr>
        <w:t>שור (קרן) דאזיק שור (לה-לו)</w:t>
      </w:r>
      <w:r>
        <w:rPr>
          <w:sz w:val="28"/>
          <w:szCs w:val="28"/>
          <w:lang w:bidi="he-IL"/>
        </w:rPr>
        <w:t xml:space="preserve">, d) </w:t>
      </w:r>
      <w:r>
        <w:rPr>
          <w:rFonts w:hint="cs"/>
          <w:sz w:val="28"/>
          <w:szCs w:val="28"/>
          <w:rtl/>
          <w:lang w:bidi="he-IL"/>
        </w:rPr>
        <w:t>גנב (לז)</w:t>
      </w:r>
      <w:r>
        <w:rPr>
          <w:sz w:val="28"/>
          <w:szCs w:val="28"/>
          <w:lang w:bidi="he-IL"/>
        </w:rPr>
        <w:t xml:space="preserve">, e) </w:t>
      </w:r>
      <w:r>
        <w:rPr>
          <w:rFonts w:hint="cs"/>
          <w:sz w:val="28"/>
          <w:szCs w:val="28"/>
          <w:rtl/>
          <w:lang w:bidi="he-IL"/>
        </w:rPr>
        <w:t>שן ורגל (כב,ד)</w:t>
      </w:r>
      <w:r>
        <w:rPr>
          <w:sz w:val="28"/>
          <w:szCs w:val="28"/>
          <w:lang w:bidi="he-IL"/>
        </w:rPr>
        <w:t xml:space="preserve">, and f) </w:t>
      </w:r>
      <w:r>
        <w:rPr>
          <w:rFonts w:hint="cs"/>
          <w:sz w:val="28"/>
          <w:szCs w:val="28"/>
          <w:rtl/>
          <w:lang w:bidi="he-IL"/>
        </w:rPr>
        <w:t>הבער (ה)</w:t>
      </w:r>
      <w:r>
        <w:rPr>
          <w:sz w:val="28"/>
          <w:szCs w:val="28"/>
          <w:lang w:bidi="he-IL"/>
        </w:rPr>
        <w:t xml:space="preserve">. Our </w:t>
      </w:r>
      <w:r>
        <w:rPr>
          <w:rFonts w:hint="cs"/>
          <w:sz w:val="28"/>
          <w:szCs w:val="28"/>
          <w:rtl/>
          <w:lang w:bidi="he-IL"/>
        </w:rPr>
        <w:t>תוספות</w:t>
      </w:r>
      <w:r>
        <w:rPr>
          <w:sz w:val="28"/>
          <w:szCs w:val="28"/>
          <w:lang w:bidi="he-IL"/>
        </w:rPr>
        <w:t xml:space="preserve"> coordinates the </w:t>
      </w:r>
      <w:r>
        <w:rPr>
          <w:rFonts w:hint="cs"/>
          <w:sz w:val="28"/>
          <w:szCs w:val="28"/>
          <w:rtl/>
          <w:lang w:bidi="he-IL"/>
        </w:rPr>
        <w:t>משנה</w:t>
      </w:r>
      <w:r>
        <w:rPr>
          <w:sz w:val="28"/>
          <w:szCs w:val="28"/>
          <w:lang w:bidi="he-IL"/>
        </w:rPr>
        <w:t xml:space="preserve"> with the </w:t>
      </w:r>
      <w:r>
        <w:rPr>
          <w:rFonts w:hint="cs"/>
          <w:sz w:val="28"/>
          <w:szCs w:val="28"/>
          <w:rtl/>
          <w:lang w:bidi="he-IL"/>
        </w:rPr>
        <w:t>פסוקים</w:t>
      </w:r>
      <w:r>
        <w:rPr>
          <w:sz w:val="28"/>
          <w:szCs w:val="28"/>
          <w:lang w:bidi="he-IL"/>
        </w:rPr>
        <w:t xml:space="preserve">. </w:t>
      </w:r>
    </w:p>
    <w:p w:rsidR="008D21AE" w:rsidRDefault="008D21AE" w:rsidP="008D21AE">
      <w:pPr>
        <w:widowControl w:val="0"/>
        <w:bidi/>
        <w:jc w:val="center"/>
        <w:rPr>
          <w:sz w:val="24"/>
          <w:szCs w:val="24"/>
          <w:rtl/>
          <w:lang w:bidi="he-IL"/>
        </w:rPr>
      </w:pPr>
      <w:r>
        <w:rPr>
          <w:sz w:val="24"/>
          <w:szCs w:val="24"/>
          <w:lang w:bidi="he-IL"/>
        </w:rPr>
        <w:t>-----------------------------------</w:t>
      </w:r>
    </w:p>
    <w:p w:rsidR="008D21AE" w:rsidRDefault="00676887" w:rsidP="008D21AE">
      <w:pPr>
        <w:widowControl w:val="0"/>
        <w:bidi/>
        <w:rPr>
          <w:rFonts w:ascii="David" w:hAnsi="David" w:cs="David" w:hint="cs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פי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רש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בקונטרס כסדר שנכתבו בפרשה סדרן במשנה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17CD9" w:rsidRDefault="00417CD9" w:rsidP="00417CD9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 w:rsidRPr="00417CD9">
        <w:rPr>
          <w:b/>
          <w:bCs/>
          <w:sz w:val="28"/>
          <w:szCs w:val="28"/>
          <w:rtl/>
          <w:lang w:bidi="he-IL"/>
        </w:rPr>
        <w:t>רש"י</w:t>
      </w:r>
      <w:r w:rsidRPr="00417CD9">
        <w:rPr>
          <w:b/>
          <w:bCs/>
          <w:sz w:val="28"/>
          <w:szCs w:val="28"/>
          <w:lang w:bidi="he-IL"/>
        </w:rPr>
        <w:t xml:space="preserve"> explained that the order</w:t>
      </w:r>
      <w:r w:rsidRPr="00417CD9">
        <w:rPr>
          <w:sz w:val="28"/>
          <w:szCs w:val="28"/>
          <w:lang w:bidi="he-IL"/>
        </w:rPr>
        <w:t xml:space="preserve"> of the</w:t>
      </w:r>
      <w:r>
        <w:rPr>
          <w:rFonts w:ascii="David" w:hAnsi="David" w:cs="David"/>
          <w:b/>
          <w:bCs/>
          <w:sz w:val="28"/>
          <w:szCs w:val="28"/>
          <w:lang w:bidi="he-IL"/>
        </w:rPr>
        <w:t xml:space="preserve"> </w:t>
      </w:r>
      <w:r w:rsidRPr="00417CD9">
        <w:rPr>
          <w:rFonts w:ascii="David" w:hAnsi="David" w:cs="David"/>
          <w:sz w:val="28"/>
          <w:szCs w:val="28"/>
          <w:lang w:bidi="he-IL"/>
        </w:rPr>
        <w:t xml:space="preserve"> </w:t>
      </w:r>
      <w:r w:rsidRPr="00417CD9">
        <w:rPr>
          <w:rFonts w:asciiTheme="majorBidi" w:hAnsiTheme="majorBidi" w:cstheme="majorBidi" w:hint="cs"/>
          <w:sz w:val="28"/>
          <w:szCs w:val="28"/>
          <w:rtl/>
          <w:lang w:bidi="he-IL"/>
        </w:rPr>
        <w:t>ד' אבות נזיקין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, follows the order in which they are written 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פרשה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 w:rsidRPr="00417CD9">
        <w:rPr>
          <w:rFonts w:asciiTheme="majorBidi" w:hAnsiTheme="majorBidi" w:cstheme="majorBidi"/>
          <w:sz w:val="24"/>
          <w:szCs w:val="24"/>
          <w:lang w:bidi="he-IL"/>
        </w:rPr>
        <w:t xml:space="preserve">of </w:t>
      </w:r>
      <w:r w:rsidRPr="00417CD9">
        <w:rPr>
          <w:rFonts w:asciiTheme="majorBidi" w:hAnsiTheme="majorBidi" w:cstheme="majorBidi" w:hint="cs"/>
          <w:sz w:val="24"/>
          <w:szCs w:val="24"/>
          <w:rtl/>
          <w:lang w:bidi="he-IL"/>
        </w:rPr>
        <w:t>משפטים</w:t>
      </w:r>
      <w:r w:rsidRPr="00417CD9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417CD9" w:rsidRDefault="00417CD9" w:rsidP="00417CD9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</w:p>
    <w:p w:rsidR="00417CD9" w:rsidRPr="00417CD9" w:rsidRDefault="00417CD9" w:rsidP="00417CD9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anticipates the following difficulty with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פרש"י</w:t>
      </w:r>
      <w:r>
        <w:rPr>
          <w:rFonts w:asciiTheme="majorBidi" w:hAnsiTheme="majorBidi" w:cstheme="majorBidi"/>
          <w:sz w:val="24"/>
          <w:szCs w:val="24"/>
          <w:lang w:bidi="he-IL"/>
        </w:rPr>
        <w:t>:</w:t>
      </w:r>
    </w:p>
    <w:p w:rsidR="008D21AE" w:rsidRDefault="00676887" w:rsidP="00774CD4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וא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ף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ע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ל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ג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ב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דלמ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אן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ד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אמר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תנא שור</w:t>
      </w:r>
      <w:r w:rsidR="00417CD9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2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לרגלו לא הוי כסדר הפרשה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17CD9" w:rsidRPr="00417CD9" w:rsidRDefault="00417CD9" w:rsidP="00417CD9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even though that according to the one who maintains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that when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taught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>it was ref</w:t>
      </w:r>
      <w:bookmarkStart w:id="0" w:name="_GoBack"/>
      <w:bookmarkEnd w:id="0"/>
      <w:r>
        <w:rPr>
          <w:rFonts w:asciiTheme="majorBidi" w:hAnsiTheme="majorBidi" w:cstheme="majorBidi"/>
          <w:sz w:val="28"/>
          <w:szCs w:val="28"/>
          <w:lang w:bidi="he-IL"/>
        </w:rPr>
        <w:t xml:space="preserve">erring to the damages caused by the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‘foot’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of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, in which case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 w:rsidR="00B96E53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does not follow the order of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פרשה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(as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תוס'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continues to explain) -</w:t>
      </w:r>
    </w:p>
    <w:p w:rsidR="008D21AE" w:rsidRDefault="00676887" w:rsidP="008D21AE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דרגל נפקא לן מושלח את בעירה</w:t>
      </w:r>
      <w:r w:rsidR="00417CD9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3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דכתיב בתר בור</w:t>
      </w:r>
      <w:r w:rsidR="00417CD9" w:rsidRPr="00417CD9">
        <w:rPr>
          <w:rStyle w:val="FootnoteReference"/>
          <w:rFonts w:ascii="David" w:hAnsi="David" w:cs="David"/>
          <w:b/>
          <w:bCs/>
          <w:sz w:val="28"/>
          <w:szCs w:val="28"/>
          <w:lang w:bidi="he-IL"/>
        </w:rPr>
        <w:footnoteReference w:id="4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417CD9" w:rsidRDefault="00417CD9" w:rsidP="00B96E53">
      <w:pPr>
        <w:widowControl w:val="0"/>
        <w:rPr>
          <w:sz w:val="24"/>
          <w:szCs w:val="24"/>
          <w:rtl/>
          <w:lang w:bidi="he-IL"/>
        </w:rPr>
      </w:pPr>
      <w:r>
        <w:rPr>
          <w:b/>
          <w:bCs/>
          <w:sz w:val="28"/>
          <w:szCs w:val="28"/>
          <w:lang w:bidi="he-IL"/>
        </w:rPr>
        <w:t>F</w:t>
      </w:r>
      <w:r w:rsidR="00B96E53">
        <w:rPr>
          <w:b/>
          <w:bCs/>
          <w:sz w:val="28"/>
          <w:szCs w:val="28"/>
          <w:lang w:bidi="he-IL"/>
        </w:rPr>
        <w:t>or</w:t>
      </w:r>
      <w:r>
        <w:rPr>
          <w:b/>
          <w:bCs/>
          <w:sz w:val="28"/>
          <w:szCs w:val="28"/>
          <w:lang w:bidi="he-IL"/>
        </w:rPr>
        <w:t xml:space="preserve"> we derive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מזיק</w:t>
      </w:r>
      <w:r>
        <w:rPr>
          <w:sz w:val="28"/>
          <w:szCs w:val="28"/>
          <w:lang w:bidi="he-IL"/>
        </w:rPr>
        <w:t xml:space="preserve"> of </w:t>
      </w:r>
      <w:r>
        <w:rPr>
          <w:rFonts w:hint="cs"/>
          <w:b/>
          <w:bCs/>
          <w:sz w:val="28"/>
          <w:szCs w:val="28"/>
          <w:rtl/>
          <w:lang w:bidi="he-IL"/>
        </w:rPr>
        <w:t>רגל</w:t>
      </w:r>
      <w:r>
        <w:rPr>
          <w:b/>
          <w:bCs/>
          <w:sz w:val="28"/>
          <w:szCs w:val="28"/>
          <w:lang w:bidi="he-IL"/>
        </w:rPr>
        <w:t xml:space="preserve"> from </w:t>
      </w:r>
      <w:r>
        <w:rPr>
          <w:sz w:val="28"/>
          <w:szCs w:val="28"/>
          <w:lang w:bidi="he-IL"/>
        </w:rPr>
        <w:t xml:space="preserve">the </w:t>
      </w:r>
      <w:r>
        <w:rPr>
          <w:rFonts w:hint="cs"/>
          <w:sz w:val="28"/>
          <w:szCs w:val="28"/>
          <w:rtl/>
          <w:lang w:bidi="he-IL"/>
        </w:rPr>
        <w:t>פסוק</w:t>
      </w:r>
      <w:r>
        <w:rPr>
          <w:sz w:val="28"/>
          <w:szCs w:val="28"/>
          <w:lang w:bidi="he-IL"/>
        </w:rPr>
        <w:t xml:space="preserve"> of </w:t>
      </w:r>
      <w:r>
        <w:rPr>
          <w:b/>
          <w:bCs/>
          <w:sz w:val="28"/>
          <w:szCs w:val="28"/>
          <w:lang w:bidi="he-IL"/>
        </w:rPr>
        <w:t xml:space="preserve">‘and he will send his cattle’, which is written </w:t>
      </w:r>
      <w:r>
        <w:rPr>
          <w:sz w:val="28"/>
          <w:szCs w:val="28"/>
          <w:lang w:bidi="he-IL"/>
        </w:rPr>
        <w:t xml:space="preserve">in the </w:t>
      </w:r>
      <w:r>
        <w:rPr>
          <w:rFonts w:hint="cs"/>
          <w:sz w:val="28"/>
          <w:szCs w:val="28"/>
          <w:rtl/>
          <w:lang w:bidi="he-IL"/>
        </w:rPr>
        <w:t>תורה</w:t>
      </w:r>
      <w:r>
        <w:rPr>
          <w:sz w:val="28"/>
          <w:szCs w:val="28"/>
          <w:lang w:bidi="he-IL"/>
        </w:rPr>
        <w:t xml:space="preserve"> </w:t>
      </w:r>
      <w:r w:rsidRPr="00417CD9">
        <w:rPr>
          <w:b/>
          <w:bCs/>
          <w:sz w:val="28"/>
          <w:szCs w:val="28"/>
          <w:lang w:bidi="he-IL"/>
        </w:rPr>
        <w:t>after</w:t>
      </w:r>
      <w:r>
        <w:rPr>
          <w:sz w:val="28"/>
          <w:szCs w:val="28"/>
          <w:lang w:bidi="he-IL"/>
        </w:rPr>
        <w:t xml:space="preserve"> </w:t>
      </w:r>
      <w:r w:rsidRPr="00417CD9">
        <w:rPr>
          <w:sz w:val="28"/>
          <w:szCs w:val="28"/>
          <w:lang w:bidi="he-IL"/>
        </w:rPr>
        <w:t xml:space="preserve">the </w:t>
      </w:r>
      <w:r w:rsidRPr="00417CD9">
        <w:rPr>
          <w:rFonts w:hint="cs"/>
          <w:sz w:val="28"/>
          <w:szCs w:val="28"/>
          <w:rtl/>
          <w:lang w:bidi="he-IL"/>
        </w:rPr>
        <w:t>פרשה</w:t>
      </w:r>
      <w:r w:rsidRPr="00417CD9">
        <w:rPr>
          <w:sz w:val="28"/>
          <w:szCs w:val="28"/>
          <w:lang w:bidi="he-IL"/>
        </w:rPr>
        <w:t xml:space="preserve"> of</w:t>
      </w:r>
      <w:r>
        <w:rPr>
          <w:b/>
          <w:bCs/>
          <w:sz w:val="28"/>
          <w:szCs w:val="28"/>
          <w:lang w:bidi="he-IL"/>
        </w:rPr>
        <w:t xml:space="preserve"> </w:t>
      </w:r>
      <w:r>
        <w:rPr>
          <w:rFonts w:hint="cs"/>
          <w:b/>
          <w:bCs/>
          <w:sz w:val="28"/>
          <w:szCs w:val="28"/>
          <w:rtl/>
          <w:lang w:bidi="he-IL"/>
        </w:rPr>
        <w:t>בור</w:t>
      </w:r>
      <w:r>
        <w:rPr>
          <w:b/>
          <w:bCs/>
          <w:sz w:val="28"/>
          <w:szCs w:val="28"/>
          <w:lang w:bidi="he-IL"/>
        </w:rPr>
        <w:t xml:space="preserve">. </w:t>
      </w:r>
      <w:r w:rsidRPr="00417CD9">
        <w:rPr>
          <w:sz w:val="24"/>
          <w:szCs w:val="24"/>
          <w:lang w:bidi="he-IL"/>
        </w:rPr>
        <w:t>This seemi</w:t>
      </w:r>
      <w:r>
        <w:rPr>
          <w:sz w:val="24"/>
          <w:szCs w:val="24"/>
          <w:lang w:bidi="he-IL"/>
        </w:rPr>
        <w:t>n</w:t>
      </w:r>
      <w:r w:rsidRPr="00417CD9">
        <w:rPr>
          <w:sz w:val="24"/>
          <w:szCs w:val="24"/>
          <w:lang w:bidi="he-IL"/>
        </w:rPr>
        <w:t>gly</w:t>
      </w:r>
      <w:r>
        <w:rPr>
          <w:sz w:val="24"/>
          <w:szCs w:val="24"/>
          <w:lang w:bidi="he-IL"/>
        </w:rPr>
        <w:t xml:space="preserve"> contradicts</w:t>
      </w:r>
      <w:r w:rsidR="00555A3E">
        <w:rPr>
          <w:rStyle w:val="FootnoteReference"/>
          <w:sz w:val="24"/>
          <w:szCs w:val="24"/>
          <w:lang w:bidi="he-IL"/>
        </w:rPr>
        <w:footnoteReference w:id="5"/>
      </w:r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>פרש"י</w:t>
      </w:r>
      <w:r>
        <w:rPr>
          <w:sz w:val="24"/>
          <w:szCs w:val="24"/>
          <w:lang w:bidi="he-IL"/>
        </w:rPr>
        <w:t xml:space="preserve"> </w:t>
      </w:r>
      <w:r w:rsidR="00555A3E">
        <w:rPr>
          <w:sz w:val="24"/>
          <w:szCs w:val="24"/>
          <w:lang w:bidi="he-IL"/>
        </w:rPr>
        <w:t>–</w:t>
      </w:r>
    </w:p>
    <w:p w:rsidR="00555A3E" w:rsidRDefault="00555A3E" w:rsidP="00417CD9">
      <w:pPr>
        <w:widowControl w:val="0"/>
        <w:rPr>
          <w:sz w:val="24"/>
          <w:szCs w:val="24"/>
          <w:rtl/>
          <w:lang w:bidi="he-IL"/>
        </w:rPr>
      </w:pPr>
    </w:p>
    <w:p w:rsidR="00555A3E" w:rsidRPr="00417CD9" w:rsidRDefault="00555A3E" w:rsidP="00417CD9">
      <w:pPr>
        <w:widowControl w:val="0"/>
        <w:rPr>
          <w:b/>
          <w:bCs/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תוספות</w:t>
      </w:r>
      <w:r>
        <w:rPr>
          <w:sz w:val="24"/>
          <w:szCs w:val="24"/>
          <w:lang w:bidi="he-IL"/>
        </w:rPr>
        <w:t xml:space="preserve"> answers, that -</w:t>
      </w:r>
    </w:p>
    <w:p w:rsidR="008D21AE" w:rsidRDefault="00676887" w:rsidP="00774CD4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מ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כל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מ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ק</w:t>
      </w:r>
      <w:r w:rsidR="00555A3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ום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שם שור כתיב קודם בפרשה</w:t>
      </w:r>
      <w:r w:rsidR="00555A3E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6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דהיינו נגיחה דקרן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555A3E" w:rsidRDefault="00555A3E" w:rsidP="00555A3E">
      <w:pPr>
        <w:widowControl w:val="0"/>
        <w:rPr>
          <w:rFonts w:asciiTheme="majorBidi" w:hAnsiTheme="majorBidi" w:cstheme="majorBidi"/>
          <w:sz w:val="24"/>
          <w:szCs w:val="24"/>
          <w:rtl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Nevertheless, the ‘name’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is written 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פרשה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prior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to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בור</w:t>
      </w:r>
      <w:r>
        <w:rPr>
          <w:rFonts w:asciiTheme="majorBidi" w:hAnsiTheme="majorBidi" w:cstheme="majorBidi"/>
          <w:sz w:val="28"/>
          <w:szCs w:val="28"/>
          <w:lang w:bidi="he-IL"/>
        </w:rPr>
        <w:t>;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7"/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that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is </w:t>
      </w:r>
      <w:proofErr w:type="gramStart"/>
      <w:r>
        <w:rPr>
          <w:rFonts w:asciiTheme="majorBidi" w:hAnsiTheme="majorBidi" w:cstheme="majorBidi"/>
          <w:sz w:val="28"/>
          <w:szCs w:val="28"/>
          <w:lang w:bidi="he-IL"/>
        </w:rPr>
        <w:lastRenderedPageBreak/>
        <w:t>referring</w:t>
      </w:r>
      <w:proofErr w:type="gramEnd"/>
      <w:r>
        <w:rPr>
          <w:rFonts w:asciiTheme="majorBidi" w:hAnsiTheme="majorBidi" w:cstheme="majorBidi"/>
          <w:sz w:val="28"/>
          <w:szCs w:val="28"/>
          <w:lang w:bidi="he-IL"/>
        </w:rPr>
        <w:t xml:space="preserve"> to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the goring with the horn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of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. Therefore since 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the term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שור (דאזיק אדם)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is written prior to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בור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, the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list</w:t>
      </w:r>
      <w:r w:rsidR="00B96E53">
        <w:rPr>
          <w:rFonts w:asciiTheme="majorBidi" w:hAnsiTheme="majorBidi" w:cstheme="majorBidi"/>
          <w:sz w:val="24"/>
          <w:szCs w:val="24"/>
          <w:lang w:bidi="he-IL"/>
        </w:rPr>
        <w:t>s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before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בור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, even though the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of the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is referring to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רגל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, and the (prior)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שור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of the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פ</w:t>
      </w:r>
      <w:r w:rsidR="00B96E53">
        <w:rPr>
          <w:rFonts w:asciiTheme="majorBidi" w:hAnsiTheme="majorBidi" w:cstheme="majorBidi" w:hint="cs"/>
          <w:sz w:val="24"/>
          <w:szCs w:val="24"/>
          <w:rtl/>
          <w:lang w:bidi="he-IL"/>
        </w:rPr>
        <w:t>ס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וק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 xml:space="preserve"> is referring to </w:t>
      </w:r>
      <w:r w:rsidRPr="00555A3E">
        <w:rPr>
          <w:rFonts w:asciiTheme="majorBidi" w:hAnsiTheme="majorBidi" w:cstheme="majorBidi" w:hint="cs"/>
          <w:sz w:val="24"/>
          <w:szCs w:val="24"/>
          <w:rtl/>
          <w:lang w:bidi="he-IL"/>
        </w:rPr>
        <w:t>קרן</w:t>
      </w:r>
      <w:r w:rsidRPr="00555A3E"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555A3E" w:rsidRDefault="00555A3E" w:rsidP="00555A3E">
      <w:pPr>
        <w:widowControl w:val="0"/>
        <w:rPr>
          <w:rFonts w:asciiTheme="majorBidi" w:hAnsiTheme="majorBidi" w:cstheme="majorBidi"/>
          <w:sz w:val="24"/>
          <w:szCs w:val="24"/>
          <w:rtl/>
          <w:lang w:bidi="he-IL"/>
        </w:rPr>
      </w:pPr>
    </w:p>
    <w:p w:rsidR="00555A3E" w:rsidRDefault="00EA4826" w:rsidP="00555A3E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anticipates an additional difficulty</w:t>
      </w:r>
    </w:p>
    <w:p w:rsidR="008D21AE" w:rsidRDefault="00676887" w:rsidP="00774CD4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ולמ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אן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ד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אמר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מבעה זה אדם</w:t>
      </w:r>
      <w:r w:rsidR="00F708F5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8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א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ף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ע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ל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ג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ב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דלבתר הבערה כתיב בפרשת אמור</w:t>
      </w:r>
      <w:r w:rsidR="00F708F5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9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EA4826" w:rsidRPr="00F708F5" w:rsidRDefault="00F708F5" w:rsidP="00B96E53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according to the one who maintains that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the term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in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refers to a person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who damages;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even though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that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אדם המזיק (ממון)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is written after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מזיק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of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הבערה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,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which is written in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פרשת משפטים</w:t>
      </w:r>
      <w:r>
        <w:rPr>
          <w:rFonts w:asciiTheme="majorBidi" w:hAnsiTheme="majorBidi" w:cstheme="majorBidi"/>
          <w:sz w:val="28"/>
          <w:szCs w:val="28"/>
          <w:lang w:bidi="he-IL"/>
        </w:rPr>
        <w:t>,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0"/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and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אדם המזיק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is first written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in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פרשת אמו</w:t>
      </w:r>
      <w:r w:rsidR="00B96E53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 w:rsidRPr="00F708F5">
        <w:rPr>
          <w:rFonts w:asciiTheme="majorBidi" w:hAnsiTheme="majorBidi" w:cstheme="majorBidi"/>
          <w:sz w:val="24"/>
          <w:szCs w:val="24"/>
          <w:lang w:bidi="he-IL"/>
        </w:rPr>
        <w:t>where it states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-</w:t>
      </w:r>
    </w:p>
    <w:p w:rsidR="008D21AE" w:rsidRDefault="00676887" w:rsidP="008D21AE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מכה בהמה ישלמנה דהיינו אדם דאזיק שור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F708F5" w:rsidRDefault="00F708F5" w:rsidP="00F708F5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‘He who smites an animal shall pay for it’, which is referencing a person who damages an ox.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If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אדם המזיק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is written in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תורה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after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הבער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, why does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state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(which is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אדם המזיק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[according to this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מ"ד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]) before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הבער</w:t>
      </w:r>
      <w:r>
        <w:rPr>
          <w:rFonts w:asciiTheme="majorBidi" w:hAnsiTheme="majorBidi" w:cstheme="majorBidi"/>
          <w:sz w:val="24"/>
          <w:szCs w:val="24"/>
          <w:lang w:bidi="he-IL"/>
        </w:rPr>
        <w:t>?!</w:t>
      </w:r>
    </w:p>
    <w:p w:rsidR="00F708F5" w:rsidRDefault="00F708F5" w:rsidP="00F708F5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</w:p>
    <w:p w:rsidR="00F708F5" w:rsidRPr="00F708F5" w:rsidRDefault="00F708F5" w:rsidP="00F708F5">
      <w:pPr>
        <w:widowControl w:val="0"/>
        <w:rPr>
          <w:rFonts w:asciiTheme="majorBidi" w:hAnsiTheme="majorBidi" w:cstheme="majorBidi"/>
          <w:b/>
          <w:bCs/>
          <w:sz w:val="28"/>
          <w:szCs w:val="28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responds that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תנא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-</w:t>
      </w:r>
    </w:p>
    <w:p w:rsidR="008D21AE" w:rsidRDefault="00676887" w:rsidP="00774CD4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לא חש לשנותו כסדר הפרשה</w:t>
      </w:r>
      <w:r w:rsidR="008B3F1D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11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לפי שרחוק כל כך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F708F5" w:rsidRPr="001C5F85" w:rsidRDefault="00F708F5" w:rsidP="00B96E53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Was not concerned to list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14631D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in the order of the </w:t>
      </w:r>
      <w:r w:rsidR="0014631D"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פרשה</w:t>
      </w:r>
      <w:r w:rsidR="0014631D">
        <w:rPr>
          <w:rFonts w:asciiTheme="majorBidi" w:hAnsiTheme="majorBidi" w:cstheme="majorBidi"/>
          <w:sz w:val="28"/>
          <w:szCs w:val="28"/>
          <w:lang w:bidi="he-IL"/>
        </w:rPr>
        <w:t xml:space="preserve"> (as he listed </w:t>
      </w:r>
      <w:r w:rsidR="0014631D">
        <w:rPr>
          <w:rFonts w:asciiTheme="majorBidi" w:hAnsiTheme="majorBidi" w:cstheme="majorBidi" w:hint="cs"/>
          <w:sz w:val="28"/>
          <w:szCs w:val="28"/>
          <w:rtl/>
          <w:lang w:bidi="he-IL"/>
        </w:rPr>
        <w:t>שור</w:t>
      </w:r>
      <w:r w:rsidR="0014631D">
        <w:rPr>
          <w:rFonts w:asciiTheme="majorBidi" w:hAnsiTheme="majorBidi" w:cstheme="majorBidi"/>
          <w:sz w:val="28"/>
          <w:szCs w:val="28"/>
          <w:lang w:bidi="he-IL"/>
        </w:rPr>
        <w:t xml:space="preserve"> and </w:t>
      </w:r>
      <w:r w:rsidR="0014631D">
        <w:rPr>
          <w:rFonts w:asciiTheme="majorBidi" w:hAnsiTheme="majorBidi" w:cstheme="majorBidi" w:hint="cs"/>
          <w:sz w:val="28"/>
          <w:szCs w:val="28"/>
          <w:rtl/>
          <w:lang w:bidi="he-IL"/>
        </w:rPr>
        <w:t>בור</w:t>
      </w:r>
      <w:r w:rsidR="0014631D">
        <w:rPr>
          <w:rFonts w:asciiTheme="majorBidi" w:hAnsiTheme="majorBidi" w:cstheme="majorBidi"/>
          <w:sz w:val="28"/>
          <w:szCs w:val="28"/>
          <w:lang w:bidi="he-IL"/>
        </w:rPr>
        <w:t>),</w:t>
      </w:r>
      <w:r w:rsidR="001C5F85"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 w:rsidR="001C5F85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because </w:t>
      </w:r>
      <w:r w:rsidR="001C5F85"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 w:rsidR="001C5F85">
        <w:rPr>
          <w:rFonts w:asciiTheme="majorBidi" w:hAnsiTheme="majorBidi" w:cstheme="majorBidi"/>
          <w:sz w:val="28"/>
          <w:szCs w:val="28"/>
          <w:lang w:bidi="he-IL"/>
        </w:rPr>
        <w:t xml:space="preserve"> was written </w:t>
      </w:r>
      <w:r w:rsidR="001C5F85"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so far away </w:t>
      </w:r>
      <w:r w:rsidR="001C5F85">
        <w:rPr>
          <w:rFonts w:asciiTheme="majorBidi" w:hAnsiTheme="majorBidi" w:cstheme="majorBidi"/>
          <w:sz w:val="24"/>
          <w:szCs w:val="24"/>
          <w:lang w:bidi="he-IL"/>
        </w:rPr>
        <w:t xml:space="preserve">in a later </w:t>
      </w:r>
      <w:r w:rsidR="001C5F85">
        <w:rPr>
          <w:rFonts w:asciiTheme="majorBidi" w:hAnsiTheme="majorBidi" w:cstheme="majorBidi" w:hint="cs"/>
          <w:sz w:val="24"/>
          <w:szCs w:val="24"/>
          <w:rtl/>
          <w:lang w:bidi="he-IL"/>
        </w:rPr>
        <w:t>חומש</w:t>
      </w:r>
      <w:r w:rsidR="001C5F85">
        <w:rPr>
          <w:rFonts w:asciiTheme="majorBidi" w:hAnsiTheme="majorBidi" w:cstheme="majorBidi"/>
          <w:sz w:val="24"/>
          <w:szCs w:val="24"/>
          <w:lang w:bidi="he-IL"/>
        </w:rPr>
        <w:t xml:space="preserve"> that placing </w:t>
      </w:r>
      <w:r w:rsidR="001C5F85"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 w:rsidR="001C5F85">
        <w:rPr>
          <w:rFonts w:asciiTheme="majorBidi" w:hAnsiTheme="majorBidi" w:cstheme="majorBidi"/>
          <w:sz w:val="24"/>
          <w:szCs w:val="24"/>
          <w:lang w:bidi="he-IL"/>
        </w:rPr>
        <w:t xml:space="preserve"> last (since it is written in </w:t>
      </w:r>
      <w:r w:rsidR="001C5F85">
        <w:rPr>
          <w:rFonts w:asciiTheme="majorBidi" w:hAnsiTheme="majorBidi" w:cstheme="majorBidi" w:hint="cs"/>
          <w:sz w:val="24"/>
          <w:szCs w:val="24"/>
          <w:rtl/>
          <w:lang w:bidi="he-IL"/>
        </w:rPr>
        <w:t>פרשת אמו</w:t>
      </w:r>
      <w:r w:rsidR="00B96E53">
        <w:rPr>
          <w:rFonts w:asciiTheme="majorBidi" w:hAnsiTheme="majorBidi" w:cstheme="majorBidi" w:hint="cs"/>
          <w:sz w:val="24"/>
          <w:szCs w:val="24"/>
          <w:rtl/>
          <w:lang w:bidi="he-IL"/>
        </w:rPr>
        <w:t>ר</w:t>
      </w:r>
      <w:r w:rsidR="001C5F85">
        <w:rPr>
          <w:rFonts w:asciiTheme="majorBidi" w:hAnsiTheme="majorBidi" w:cstheme="majorBidi"/>
          <w:sz w:val="24"/>
          <w:szCs w:val="24"/>
          <w:lang w:bidi="he-IL"/>
        </w:rPr>
        <w:t xml:space="preserve">) did not seem appropriate (for it does not [really] reflect the </w:t>
      </w:r>
      <w:r w:rsidR="001C5F85">
        <w:rPr>
          <w:rFonts w:asciiTheme="majorBidi" w:hAnsiTheme="majorBidi" w:cstheme="majorBidi" w:hint="cs"/>
          <w:sz w:val="24"/>
          <w:szCs w:val="24"/>
          <w:rtl/>
          <w:lang w:bidi="he-IL"/>
        </w:rPr>
        <w:t>סדר הפרשה</w:t>
      </w:r>
      <w:r w:rsidR="001C5F85">
        <w:rPr>
          <w:rFonts w:asciiTheme="majorBidi" w:hAnsiTheme="majorBidi" w:cstheme="majorBidi"/>
          <w:sz w:val="24"/>
          <w:szCs w:val="24"/>
          <w:lang w:bidi="he-IL"/>
        </w:rPr>
        <w:t>) -</w:t>
      </w:r>
    </w:p>
    <w:p w:rsidR="008D21AE" w:rsidRDefault="00676887" w:rsidP="008D21AE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ושנאו כסדר לא הרי דסיפא שמבעה קודם להבער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1C5F85" w:rsidRDefault="001C5F85" w:rsidP="001C5F85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instead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תנא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inserted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according to the order of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'לא הרי'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in the latter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section of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; where he mentions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of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before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of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הבער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.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first states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לא הרי השור כהרי המבעה וכו'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, and then afterwards it states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ולא זה וזה וכו' כהרי האש</w:t>
      </w:r>
      <w:r>
        <w:rPr>
          <w:rFonts w:asciiTheme="majorBidi" w:hAnsiTheme="majorBidi" w:cstheme="majorBidi"/>
          <w:sz w:val="24"/>
          <w:szCs w:val="24"/>
          <w:lang w:bidi="he-IL"/>
        </w:rPr>
        <w:t>.</w:t>
      </w:r>
      <w:r>
        <w:rPr>
          <w:rStyle w:val="FootnoteReference"/>
          <w:rFonts w:asciiTheme="majorBidi" w:hAnsiTheme="majorBidi" w:cstheme="majorBidi"/>
          <w:sz w:val="24"/>
          <w:szCs w:val="24"/>
          <w:lang w:bidi="he-IL"/>
        </w:rPr>
        <w:footnoteReference w:id="12"/>
      </w:r>
    </w:p>
    <w:p w:rsidR="001C5F85" w:rsidRDefault="001C5F85" w:rsidP="001C5F85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</w:p>
    <w:p w:rsidR="001C5F85" w:rsidRPr="001C5F85" w:rsidRDefault="001C5F85" w:rsidP="001C5F85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תוספות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offers an alternate explanation why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מבעה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precedes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הבער</w:t>
      </w:r>
      <w:r>
        <w:rPr>
          <w:rFonts w:asciiTheme="majorBidi" w:hAnsiTheme="majorBidi" w:cstheme="majorBidi"/>
          <w:sz w:val="24"/>
          <w:szCs w:val="24"/>
          <w:lang w:bidi="he-IL"/>
        </w:rPr>
        <w:t>:</w:t>
      </w:r>
    </w:p>
    <w:p w:rsidR="008D21AE" w:rsidRDefault="00676887" w:rsidP="00774CD4">
      <w:pPr>
        <w:widowControl w:val="0"/>
        <w:bidi/>
        <w:rPr>
          <w:rFonts w:ascii="David" w:hAnsi="David" w:cs="David"/>
          <w:b/>
          <w:bCs/>
          <w:sz w:val="28"/>
          <w:szCs w:val="28"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ור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 xml:space="preserve">בינו 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ת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ם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פי</w:t>
      </w:r>
      <w:r w:rsidR="008D21AE">
        <w:rPr>
          <w:rFonts w:ascii="David" w:hAnsi="David" w:cs="David" w:hint="cs"/>
          <w:b/>
          <w:bCs/>
          <w:sz w:val="28"/>
          <w:szCs w:val="28"/>
          <w:rtl/>
          <w:lang w:bidi="he-IL"/>
        </w:rPr>
        <w:t>רש</w:t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דשם אדם כתיב בפרשה קודם כי יגנוב איש שור</w:t>
      </w:r>
      <w:r w:rsidR="001C5F85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13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</w:t>
      </w:r>
      <w:r w:rsidR="00774CD4">
        <w:rPr>
          <w:rFonts w:ascii="David" w:hAnsi="David" w:cs="David" w:hint="cs"/>
          <w:b/>
          <w:bCs/>
          <w:sz w:val="28"/>
          <w:szCs w:val="28"/>
          <w:rtl/>
          <w:lang w:bidi="he-IL"/>
        </w:rPr>
        <w:t>-</w:t>
      </w:r>
    </w:p>
    <w:p w:rsidR="001C5F85" w:rsidRPr="001C5F85" w:rsidRDefault="001C5F85" w:rsidP="00B96E53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And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ר"ת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explained that the term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אדם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is written 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פרשה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before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הבער</w:t>
      </w:r>
      <w:r>
        <w:rPr>
          <w:rFonts w:asciiTheme="majorBidi" w:hAnsiTheme="majorBidi" w:cstheme="majorBidi"/>
          <w:sz w:val="28"/>
          <w:szCs w:val="28"/>
          <w:lang w:bidi="he-IL"/>
        </w:rPr>
        <w:t>; as it says, ‘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if a man will steal an ox’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(and even though the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אדם המזיק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of our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משנה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is not </w:t>
      </w:r>
      <w:r w:rsidR="00B96E53">
        <w:rPr>
          <w:rFonts w:asciiTheme="majorBidi" w:hAnsiTheme="majorBidi" w:cstheme="majorBidi"/>
          <w:sz w:val="24"/>
          <w:szCs w:val="24"/>
          <w:lang w:bidi="he-IL"/>
        </w:rPr>
        <w:t xml:space="preserve">referring specifically (only) to </w:t>
      </w:r>
      <w:r w:rsidR="00B96E53">
        <w:rPr>
          <w:rFonts w:asciiTheme="majorBidi" w:hAnsiTheme="majorBidi" w:cstheme="majorBidi" w:hint="cs"/>
          <w:sz w:val="24"/>
          <w:szCs w:val="24"/>
          <w:rtl/>
          <w:lang w:bidi="he-IL"/>
        </w:rPr>
        <w:t>אדם הגונב שור</w:t>
      </w:r>
      <w:r w:rsidR="00B96E53">
        <w:rPr>
          <w:rFonts w:asciiTheme="majorBidi" w:hAnsiTheme="majorBidi" w:cstheme="majorBidi"/>
          <w:sz w:val="24"/>
          <w:szCs w:val="24"/>
          <w:lang w:bidi="he-IL"/>
        </w:rPr>
        <w:t>, nevertheless) -</w:t>
      </w:r>
    </w:p>
    <w:p w:rsidR="005139AD" w:rsidRDefault="00676887" w:rsidP="00004781">
      <w:pPr>
        <w:widowControl w:val="0"/>
        <w:bidi/>
        <w:rPr>
          <w:rFonts w:ascii="David" w:hAnsi="David" w:cs="David"/>
          <w:b/>
          <w:bCs/>
          <w:sz w:val="28"/>
          <w:szCs w:val="28"/>
          <w:rtl/>
          <w:lang w:bidi="he-IL"/>
        </w:rPr>
      </w:pP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>והוא אחד מאבות נזיקין דקתני לה בברייתא</w:t>
      </w:r>
      <w:r w:rsidR="00946EA5">
        <w:rPr>
          <w:rStyle w:val="FootnoteReference"/>
          <w:rFonts w:ascii="David" w:hAnsi="David" w:cs="David"/>
          <w:b/>
          <w:bCs/>
          <w:sz w:val="28"/>
          <w:szCs w:val="28"/>
          <w:rtl/>
          <w:lang w:bidi="he-IL"/>
        </w:rPr>
        <w:footnoteReference w:id="14"/>
      </w:r>
      <w:r w:rsidRPr="008D21AE">
        <w:rPr>
          <w:rFonts w:ascii="David" w:hAnsi="David" w:cs="David"/>
          <w:b/>
          <w:bCs/>
          <w:sz w:val="28"/>
          <w:szCs w:val="28"/>
          <w:rtl/>
          <w:lang w:bidi="he-IL"/>
        </w:rPr>
        <w:t xml:space="preserve"> בגמרא</w:t>
      </w:r>
      <w:r w:rsidRPr="008D21AE">
        <w:rPr>
          <w:rFonts w:ascii="David" w:hAnsi="David" w:cs="David"/>
          <w:b/>
          <w:bCs/>
          <w:sz w:val="28"/>
          <w:szCs w:val="28"/>
        </w:rPr>
        <w:t>:</w:t>
      </w:r>
    </w:p>
    <w:p w:rsidR="00946EA5" w:rsidRPr="00946EA5" w:rsidRDefault="00946EA5" w:rsidP="00004781">
      <w:pPr>
        <w:widowControl w:val="0"/>
        <w:rPr>
          <w:rFonts w:asciiTheme="majorBidi" w:hAnsiTheme="majorBidi" w:cstheme="majorBidi"/>
          <w:sz w:val="24"/>
          <w:szCs w:val="24"/>
          <w:lang w:bidi="he-IL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lastRenderedPageBreak/>
        <w:t xml:space="preserve">This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אדם הגונב שור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is one of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אבות נזיקין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which is taught 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ברייתא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mentioned 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in the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he-IL"/>
        </w:rPr>
        <w:t>גמרא</w:t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>.</w:t>
      </w:r>
      <w:r w:rsidR="00004781" w:rsidRPr="00004781">
        <w:rPr>
          <w:rStyle w:val="FootnoteReference"/>
          <w:rFonts w:asciiTheme="majorBidi" w:hAnsiTheme="majorBidi" w:cstheme="majorBidi"/>
          <w:b/>
          <w:bCs/>
          <w:sz w:val="28"/>
          <w:szCs w:val="28"/>
        </w:rPr>
        <w:footnoteReference w:id="15"/>
      </w:r>
      <w:r>
        <w:rPr>
          <w:rFonts w:asciiTheme="majorBidi" w:hAnsiTheme="majorBidi" w:cstheme="majorBidi"/>
          <w:b/>
          <w:bCs/>
          <w:sz w:val="28"/>
          <w:szCs w:val="28"/>
          <w:lang w:bidi="he-IL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It is therefore proper that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אדם</w:t>
      </w:r>
      <w:r>
        <w:rPr>
          <w:rFonts w:asciiTheme="majorBidi" w:hAnsiTheme="majorBidi" w:cstheme="majorBidi"/>
          <w:sz w:val="24"/>
          <w:szCs w:val="24"/>
          <w:lang w:bidi="he-IL"/>
        </w:rPr>
        <w:t xml:space="preserve"> precede </w:t>
      </w:r>
      <w:r>
        <w:rPr>
          <w:rFonts w:asciiTheme="majorBidi" w:hAnsiTheme="majorBidi" w:cstheme="majorBidi" w:hint="cs"/>
          <w:sz w:val="24"/>
          <w:szCs w:val="24"/>
          <w:rtl/>
          <w:lang w:bidi="he-IL"/>
        </w:rPr>
        <w:t>הבער</w:t>
      </w:r>
      <w:r>
        <w:rPr>
          <w:rFonts w:asciiTheme="majorBidi" w:hAnsiTheme="majorBidi" w:cstheme="majorBidi"/>
          <w:sz w:val="24"/>
          <w:szCs w:val="24"/>
          <w:lang w:bidi="he-IL"/>
        </w:rPr>
        <w:t>.</w:t>
      </w:r>
    </w:p>
    <w:p w:rsidR="008D21AE" w:rsidRPr="00946EA5" w:rsidRDefault="008D21AE" w:rsidP="008D21AE">
      <w:pPr>
        <w:widowControl w:val="0"/>
        <w:bidi/>
        <w:rPr>
          <w:sz w:val="24"/>
          <w:szCs w:val="24"/>
        </w:rPr>
      </w:pPr>
    </w:p>
    <w:p w:rsidR="008D21AE" w:rsidRPr="008D21AE" w:rsidRDefault="008D21AE" w:rsidP="008D21AE">
      <w:pPr>
        <w:widowControl w:val="0"/>
        <w:rPr>
          <w:rFonts w:ascii="Copperplate Gothic Bold" w:hAnsi="Copperplate Gothic Bold"/>
          <w:sz w:val="28"/>
          <w:szCs w:val="28"/>
          <w:u w:val="double"/>
        </w:rPr>
      </w:pPr>
      <w:r w:rsidRPr="008D21AE">
        <w:rPr>
          <w:rFonts w:ascii="Copperplate Gothic Bold" w:hAnsi="Copperplate Gothic Bold"/>
          <w:sz w:val="28"/>
          <w:szCs w:val="28"/>
          <w:u w:val="double"/>
        </w:rPr>
        <w:t>Summary</w:t>
      </w:r>
    </w:p>
    <w:p w:rsidR="00946EA5" w:rsidRDefault="00946EA5" w:rsidP="00004781">
      <w:pPr>
        <w:widowControl w:val="0"/>
        <w:rPr>
          <w:sz w:val="28"/>
          <w:szCs w:val="28"/>
          <w:lang w:bidi="he-IL"/>
        </w:rPr>
      </w:pP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 (which is </w:t>
      </w:r>
      <w:r>
        <w:rPr>
          <w:rFonts w:hint="cs"/>
          <w:sz w:val="28"/>
          <w:szCs w:val="28"/>
          <w:rtl/>
          <w:lang w:bidi="he-IL"/>
        </w:rPr>
        <w:t>רגל</w:t>
      </w:r>
      <w:r>
        <w:rPr>
          <w:sz w:val="28"/>
          <w:szCs w:val="28"/>
          <w:lang w:bidi="he-IL"/>
        </w:rPr>
        <w:t xml:space="preserve">) precedes </w:t>
      </w:r>
      <w:r>
        <w:rPr>
          <w:rFonts w:hint="cs"/>
          <w:sz w:val="28"/>
          <w:szCs w:val="28"/>
          <w:rtl/>
          <w:lang w:bidi="he-IL"/>
        </w:rPr>
        <w:t>ב</w:t>
      </w:r>
      <w:r w:rsidR="00004781">
        <w:rPr>
          <w:rFonts w:hint="cs"/>
          <w:sz w:val="28"/>
          <w:szCs w:val="28"/>
          <w:rtl/>
          <w:lang w:bidi="he-IL"/>
        </w:rPr>
        <w:t>ו</w:t>
      </w:r>
      <w:r>
        <w:rPr>
          <w:rFonts w:hint="cs"/>
          <w:sz w:val="28"/>
          <w:szCs w:val="28"/>
          <w:rtl/>
          <w:lang w:bidi="he-IL"/>
        </w:rPr>
        <w:t>ר</w:t>
      </w:r>
      <w:r>
        <w:rPr>
          <w:sz w:val="28"/>
          <w:szCs w:val="28"/>
          <w:lang w:bidi="he-IL"/>
        </w:rPr>
        <w:t xml:space="preserve">, since the term </w:t>
      </w:r>
      <w:r>
        <w:rPr>
          <w:rFonts w:hint="cs"/>
          <w:sz w:val="28"/>
          <w:szCs w:val="28"/>
          <w:rtl/>
          <w:lang w:bidi="he-IL"/>
        </w:rPr>
        <w:t>שור</w:t>
      </w:r>
      <w:r>
        <w:rPr>
          <w:sz w:val="28"/>
          <w:szCs w:val="28"/>
          <w:lang w:bidi="he-IL"/>
        </w:rPr>
        <w:t xml:space="preserve"> precedes </w:t>
      </w:r>
      <w:r>
        <w:rPr>
          <w:rFonts w:hint="cs"/>
          <w:sz w:val="28"/>
          <w:szCs w:val="28"/>
          <w:rtl/>
          <w:lang w:bidi="he-IL"/>
        </w:rPr>
        <w:t>בור</w:t>
      </w:r>
      <w:r>
        <w:rPr>
          <w:sz w:val="28"/>
          <w:szCs w:val="28"/>
          <w:lang w:bidi="he-IL"/>
        </w:rPr>
        <w:t xml:space="preserve">. Similarly </w:t>
      </w:r>
      <w:r>
        <w:rPr>
          <w:rFonts w:hint="cs"/>
          <w:sz w:val="28"/>
          <w:szCs w:val="28"/>
          <w:rtl/>
          <w:lang w:bidi="he-IL"/>
        </w:rPr>
        <w:t>מבעה</w:t>
      </w:r>
      <w:r>
        <w:rPr>
          <w:sz w:val="28"/>
          <w:szCs w:val="28"/>
          <w:lang w:bidi="he-IL"/>
        </w:rPr>
        <w:t xml:space="preserve"> (which is </w:t>
      </w:r>
      <w:r>
        <w:rPr>
          <w:rFonts w:hint="cs"/>
          <w:sz w:val="28"/>
          <w:szCs w:val="28"/>
          <w:rtl/>
          <w:lang w:bidi="he-IL"/>
        </w:rPr>
        <w:t>אדם</w:t>
      </w:r>
      <w:r>
        <w:rPr>
          <w:sz w:val="28"/>
          <w:szCs w:val="28"/>
          <w:lang w:bidi="he-IL"/>
        </w:rPr>
        <w:t xml:space="preserve">) precedes </w:t>
      </w:r>
      <w:r>
        <w:rPr>
          <w:rFonts w:hint="cs"/>
          <w:sz w:val="28"/>
          <w:szCs w:val="28"/>
          <w:rtl/>
          <w:lang w:bidi="he-IL"/>
        </w:rPr>
        <w:t>הבער</w:t>
      </w:r>
      <w:r>
        <w:rPr>
          <w:sz w:val="28"/>
          <w:szCs w:val="28"/>
          <w:lang w:bidi="he-IL"/>
        </w:rPr>
        <w:t xml:space="preserve"> since it precedes it in the </w:t>
      </w:r>
      <w:r>
        <w:rPr>
          <w:rFonts w:hint="cs"/>
          <w:sz w:val="28"/>
          <w:szCs w:val="28"/>
          <w:rtl/>
          <w:lang w:bidi="he-IL"/>
        </w:rPr>
        <w:t>לא הרי</w:t>
      </w:r>
      <w:r>
        <w:rPr>
          <w:sz w:val="28"/>
          <w:szCs w:val="28"/>
          <w:lang w:bidi="he-IL"/>
        </w:rPr>
        <w:t xml:space="preserve">; or since the term </w:t>
      </w:r>
      <w:r>
        <w:rPr>
          <w:rFonts w:hint="cs"/>
          <w:sz w:val="28"/>
          <w:szCs w:val="28"/>
          <w:rtl/>
          <w:lang w:bidi="he-IL"/>
        </w:rPr>
        <w:t>אדם</w:t>
      </w:r>
      <w:r>
        <w:rPr>
          <w:sz w:val="28"/>
          <w:szCs w:val="28"/>
          <w:lang w:bidi="he-IL"/>
        </w:rPr>
        <w:t xml:space="preserve"> as a </w:t>
      </w:r>
      <w:r>
        <w:rPr>
          <w:rFonts w:hint="cs"/>
          <w:sz w:val="28"/>
          <w:szCs w:val="28"/>
          <w:rtl/>
          <w:lang w:bidi="he-IL"/>
        </w:rPr>
        <w:t>גנב</w:t>
      </w:r>
      <w:r>
        <w:rPr>
          <w:sz w:val="28"/>
          <w:szCs w:val="28"/>
          <w:lang w:bidi="he-IL"/>
        </w:rPr>
        <w:t xml:space="preserve"> precedes </w:t>
      </w:r>
      <w:r>
        <w:rPr>
          <w:rFonts w:hint="cs"/>
          <w:sz w:val="28"/>
          <w:szCs w:val="28"/>
          <w:rtl/>
          <w:lang w:bidi="he-IL"/>
        </w:rPr>
        <w:t>הבער</w:t>
      </w:r>
      <w:r>
        <w:rPr>
          <w:sz w:val="28"/>
          <w:szCs w:val="28"/>
          <w:lang w:bidi="he-IL"/>
        </w:rPr>
        <w:t>.</w:t>
      </w:r>
    </w:p>
    <w:p w:rsidR="008D21AE" w:rsidRPr="00946EA5" w:rsidRDefault="008D21AE" w:rsidP="008D21AE">
      <w:pPr>
        <w:widowControl w:val="0"/>
        <w:rPr>
          <w:sz w:val="24"/>
          <w:szCs w:val="24"/>
        </w:rPr>
      </w:pPr>
    </w:p>
    <w:p w:rsidR="008D21AE" w:rsidRDefault="008D21AE" w:rsidP="008D21AE">
      <w:pPr>
        <w:widowControl w:val="0"/>
        <w:rPr>
          <w:rFonts w:asciiTheme="majorBidi" w:hAnsiTheme="majorBidi" w:cstheme="majorBidi"/>
          <w:sz w:val="28"/>
          <w:szCs w:val="28"/>
          <w:u w:val="double"/>
        </w:rPr>
      </w:pPr>
      <w:r w:rsidRPr="008D21AE">
        <w:rPr>
          <w:rFonts w:ascii="Copperplate Gothic Bold" w:hAnsi="Copperplate Gothic Bold"/>
          <w:sz w:val="28"/>
          <w:szCs w:val="28"/>
          <w:u w:val="double"/>
        </w:rPr>
        <w:t>Thinking it over</w:t>
      </w:r>
    </w:p>
    <w:p w:rsidR="00946EA5" w:rsidRDefault="00946EA5" w:rsidP="00004781">
      <w:pPr>
        <w:widowControl w:val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</w:rPr>
        <w:t xml:space="preserve">1.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תוספות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asks (if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 זה האדם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) why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precedes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הבער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since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is written in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פרשת אמור</w:t>
      </w:r>
      <w:r>
        <w:rPr>
          <w:rFonts w:asciiTheme="majorBidi" w:hAnsiTheme="majorBidi" w:cstheme="majorBidi"/>
          <w:sz w:val="28"/>
          <w:szCs w:val="28"/>
          <w:lang w:bidi="he-IL"/>
        </w:rPr>
        <w:t>.</w:t>
      </w:r>
      <w:r w:rsidR="008B3F1D"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6"/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Why does not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תוספות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ask that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should be written first in our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משנה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, since we find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אדם דאזיק אדם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is mentioned</w:t>
      </w:r>
      <w:r w:rsidR="008B3F1D"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7"/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in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פרשת משפטים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 xml:space="preserve"> before all the </w:t>
      </w:r>
      <w:r w:rsidR="008B3F1D">
        <w:rPr>
          <w:rFonts w:asciiTheme="majorBidi" w:hAnsiTheme="majorBidi" w:cstheme="majorBidi" w:hint="cs"/>
          <w:sz w:val="28"/>
          <w:szCs w:val="28"/>
          <w:rtl/>
          <w:lang w:bidi="he-IL"/>
        </w:rPr>
        <w:t>ד' אבות נזיקין</w:t>
      </w:r>
      <w:r w:rsidR="008B3F1D">
        <w:rPr>
          <w:rFonts w:asciiTheme="majorBidi" w:hAnsiTheme="majorBidi" w:cstheme="majorBidi"/>
          <w:sz w:val="28"/>
          <w:szCs w:val="28"/>
          <w:lang w:bidi="he-IL"/>
        </w:rPr>
        <w:t>?</w:t>
      </w:r>
      <w:r w:rsidR="008B3F1D"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8"/>
      </w:r>
    </w:p>
    <w:p w:rsidR="008B3F1D" w:rsidRDefault="008B3F1D" w:rsidP="008D21AE">
      <w:pPr>
        <w:widowControl w:val="0"/>
        <w:rPr>
          <w:rFonts w:asciiTheme="majorBidi" w:hAnsiTheme="majorBidi" w:cstheme="majorBidi"/>
          <w:sz w:val="28"/>
          <w:szCs w:val="28"/>
          <w:lang w:bidi="he-IL"/>
        </w:rPr>
      </w:pPr>
    </w:p>
    <w:p w:rsidR="008B3F1D" w:rsidRPr="00946EA5" w:rsidRDefault="008B3F1D" w:rsidP="008D21AE">
      <w:pPr>
        <w:widowControl w:val="0"/>
        <w:rPr>
          <w:rFonts w:asciiTheme="majorBidi" w:hAnsiTheme="majorBidi" w:cstheme="majorBidi"/>
          <w:sz w:val="28"/>
          <w:szCs w:val="28"/>
          <w:lang w:bidi="he-IL"/>
        </w:rPr>
      </w:pPr>
      <w:r>
        <w:rPr>
          <w:rFonts w:asciiTheme="majorBidi" w:hAnsiTheme="majorBidi" w:cstheme="majorBidi"/>
          <w:sz w:val="28"/>
          <w:szCs w:val="28"/>
          <w:lang w:bidi="he-IL"/>
        </w:rPr>
        <w:t xml:space="preserve">2.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תוספות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explains that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 (זה האדם)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precedes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הבער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because we are following the order of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>.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19"/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Why then does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not precede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בור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as well, since in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לא הרי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,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מבעה</w:t>
      </w:r>
      <w:r>
        <w:rPr>
          <w:rFonts w:asciiTheme="majorBidi" w:hAnsiTheme="majorBidi" w:cstheme="majorBidi"/>
          <w:sz w:val="28"/>
          <w:szCs w:val="28"/>
          <w:lang w:bidi="he-IL"/>
        </w:rPr>
        <w:t xml:space="preserve"> precedes the </w:t>
      </w:r>
      <w:r>
        <w:rPr>
          <w:rFonts w:asciiTheme="majorBidi" w:hAnsiTheme="majorBidi" w:cstheme="majorBidi" w:hint="cs"/>
          <w:sz w:val="28"/>
          <w:szCs w:val="28"/>
          <w:rtl/>
          <w:lang w:bidi="he-IL"/>
        </w:rPr>
        <w:t>בור</w:t>
      </w:r>
      <w:r>
        <w:rPr>
          <w:rFonts w:asciiTheme="majorBidi" w:hAnsiTheme="majorBidi" w:cstheme="majorBidi"/>
          <w:sz w:val="28"/>
          <w:szCs w:val="28"/>
          <w:lang w:bidi="he-IL"/>
        </w:rPr>
        <w:t>?</w:t>
      </w:r>
      <w:r>
        <w:rPr>
          <w:rStyle w:val="FootnoteReference"/>
          <w:rFonts w:asciiTheme="majorBidi" w:hAnsiTheme="majorBidi" w:cstheme="majorBidi"/>
          <w:sz w:val="28"/>
          <w:szCs w:val="28"/>
          <w:lang w:bidi="he-IL"/>
        </w:rPr>
        <w:footnoteReference w:id="20"/>
      </w:r>
    </w:p>
    <w:p w:rsidR="00B96E53" w:rsidRPr="00946EA5" w:rsidRDefault="00B96E53">
      <w:pPr>
        <w:widowControl w:val="0"/>
        <w:rPr>
          <w:rFonts w:asciiTheme="majorBidi" w:hAnsiTheme="majorBidi" w:cstheme="majorBidi"/>
          <w:sz w:val="28"/>
          <w:szCs w:val="28"/>
          <w:lang w:bidi="he-IL"/>
        </w:rPr>
      </w:pPr>
    </w:p>
    <w:sectPr w:rsidR="00B96E53" w:rsidRPr="00946EA5" w:rsidSect="00642F83">
      <w:headerReference w:type="default" r:id="rId7"/>
      <w:pgSz w:w="12240" w:h="15840"/>
      <w:pgMar w:top="1440" w:right="1440" w:bottom="1440" w:left="1440" w:header="720" w:footer="720" w:gutter="0"/>
      <w:cols w:space="720"/>
      <w:docGrid w:linePitch="437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545D" w:rsidRDefault="001F545D" w:rsidP="008D21AE">
      <w:pPr>
        <w:spacing w:line="240" w:lineRule="auto"/>
      </w:pPr>
      <w:r>
        <w:separator/>
      </w:r>
    </w:p>
  </w:endnote>
  <w:endnote w:type="continuationSeparator" w:id="0">
    <w:p w:rsidR="001F545D" w:rsidRDefault="001F545D" w:rsidP="008D21A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545D" w:rsidRDefault="001F545D" w:rsidP="008D21AE">
      <w:pPr>
        <w:spacing w:line="240" w:lineRule="auto"/>
      </w:pPr>
      <w:r>
        <w:separator/>
      </w:r>
    </w:p>
  </w:footnote>
  <w:footnote w:type="continuationSeparator" w:id="0">
    <w:p w:rsidR="001F545D" w:rsidRDefault="001F545D" w:rsidP="008D21AE">
      <w:pPr>
        <w:spacing w:line="240" w:lineRule="auto"/>
      </w:pPr>
      <w:r>
        <w:continuationSeparator/>
      </w:r>
    </w:p>
  </w:footnote>
  <w:footnote w:id="1">
    <w:p w:rsidR="008D21AE" w:rsidRDefault="008D21AE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The </w:t>
      </w:r>
      <w:r>
        <w:rPr>
          <w:rFonts w:hint="cs"/>
          <w:rtl/>
          <w:lang w:bidi="he-IL"/>
        </w:rPr>
        <w:t>פסוקים</w:t>
      </w:r>
      <w:r>
        <w:rPr>
          <w:lang w:bidi="he-IL"/>
        </w:rPr>
        <w:t xml:space="preserve"> preceding this, deal with </w:t>
      </w:r>
      <w:r>
        <w:rPr>
          <w:rFonts w:hint="cs"/>
          <w:rtl/>
          <w:lang w:bidi="he-IL"/>
        </w:rPr>
        <w:t>אדם דאזיק אדם</w:t>
      </w:r>
      <w:r>
        <w:rPr>
          <w:lang w:bidi="he-IL"/>
        </w:rPr>
        <w:t>. See ‘Thinking it over’ # 1.</w:t>
      </w:r>
    </w:p>
  </w:footnote>
  <w:footnote w:id="2">
    <w:p w:rsidR="00417CD9" w:rsidRDefault="00417CD9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This refers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לקמן ד</w:t>
      </w:r>
      <w:proofErr w:type="gramStart"/>
      <w:r>
        <w:rPr>
          <w:rFonts w:hint="cs"/>
          <w:rtl/>
          <w:lang w:bidi="he-IL"/>
        </w:rPr>
        <w:t>,א</w:t>
      </w:r>
      <w:proofErr w:type="gramEnd"/>
      <w:r>
        <w:rPr>
          <w:lang w:bidi="he-IL"/>
        </w:rPr>
        <w:t>.</w:t>
      </w:r>
    </w:p>
  </w:footnote>
  <w:footnote w:id="3">
    <w:p w:rsidR="00417CD9" w:rsidRDefault="00417CD9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(משפטים) כב,ד</w:t>
      </w:r>
      <w:r>
        <w:rPr>
          <w:lang w:bidi="he-IL"/>
        </w:rPr>
        <w:t>.</w:t>
      </w:r>
    </w:p>
  </w:footnote>
  <w:footnote w:id="4">
    <w:p w:rsidR="00417CD9" w:rsidRDefault="00417CD9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שם כא, לג-לד</w:t>
      </w:r>
      <w:r>
        <w:rPr>
          <w:lang w:bidi="he-IL"/>
        </w:rPr>
        <w:t>.</w:t>
      </w:r>
    </w:p>
  </w:footnote>
  <w:footnote w:id="5">
    <w:p w:rsidR="00555A3E" w:rsidRDefault="00555A3E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If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is following the </w:t>
      </w:r>
      <w:r>
        <w:rPr>
          <w:rFonts w:hint="cs"/>
          <w:rtl/>
          <w:lang w:bidi="he-IL"/>
        </w:rPr>
        <w:t>סדר הפרשה</w:t>
      </w:r>
      <w:r>
        <w:rPr>
          <w:lang w:bidi="he-IL"/>
        </w:rPr>
        <w:t xml:space="preserve"> it should have </w:t>
      </w:r>
      <w:r w:rsidR="008B3F1D">
        <w:rPr>
          <w:lang w:bidi="he-IL"/>
        </w:rPr>
        <w:t>listed</w:t>
      </w:r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שור</w:t>
      </w:r>
      <w:r>
        <w:rPr>
          <w:lang w:bidi="he-IL"/>
        </w:rPr>
        <w:t xml:space="preserve"> (which is </w:t>
      </w:r>
      <w:r>
        <w:rPr>
          <w:rFonts w:hint="cs"/>
          <w:rtl/>
          <w:lang w:bidi="he-IL"/>
        </w:rPr>
        <w:t>רגל</w:t>
      </w:r>
      <w:r>
        <w:rPr>
          <w:lang w:bidi="he-IL"/>
        </w:rPr>
        <w:t xml:space="preserve"> [according to </w:t>
      </w:r>
      <w:r>
        <w:rPr>
          <w:rFonts w:hint="cs"/>
          <w:rtl/>
          <w:lang w:bidi="he-IL"/>
        </w:rPr>
        <w:t>שמואל</w:t>
      </w:r>
      <w:r>
        <w:rPr>
          <w:lang w:bidi="he-IL"/>
        </w:rPr>
        <w:t xml:space="preserve">]) after </w:t>
      </w:r>
      <w:r>
        <w:rPr>
          <w:rFonts w:hint="cs"/>
          <w:rtl/>
          <w:lang w:bidi="he-IL"/>
        </w:rPr>
        <w:t>בור</w:t>
      </w:r>
      <w:r>
        <w:rPr>
          <w:lang w:bidi="he-IL"/>
        </w:rPr>
        <w:t>.</w:t>
      </w:r>
    </w:p>
  </w:footnote>
  <w:footnote w:id="6">
    <w:p w:rsidR="00555A3E" w:rsidRDefault="00555A3E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שם כא,כח</w:t>
      </w:r>
      <w:r>
        <w:rPr>
          <w:lang w:bidi="he-IL"/>
        </w:rPr>
        <w:t>.</w:t>
      </w:r>
    </w:p>
  </w:footnote>
  <w:footnote w:id="7">
    <w:p w:rsidR="00555A3E" w:rsidRDefault="00555A3E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שם כא,לג</w:t>
      </w:r>
      <w:r>
        <w:rPr>
          <w:lang w:bidi="he-IL"/>
        </w:rPr>
        <w:t>.</w:t>
      </w:r>
    </w:p>
  </w:footnote>
  <w:footnote w:id="8">
    <w:p w:rsidR="00F708F5" w:rsidRDefault="00F708F5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This refers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לקמן ג</w:t>
      </w:r>
      <w:proofErr w:type="gramStart"/>
      <w:r>
        <w:rPr>
          <w:rFonts w:hint="cs"/>
          <w:rtl/>
          <w:lang w:bidi="he-IL"/>
        </w:rPr>
        <w:t>,ב</w:t>
      </w:r>
      <w:proofErr w:type="gramEnd"/>
      <w:r>
        <w:rPr>
          <w:lang w:bidi="he-IL"/>
        </w:rPr>
        <w:t>.</w:t>
      </w:r>
    </w:p>
  </w:footnote>
  <w:footnote w:id="9">
    <w:p w:rsidR="00F708F5" w:rsidRDefault="00F708F5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ויקרא כד,כא</w:t>
      </w:r>
      <w:r>
        <w:rPr>
          <w:lang w:bidi="he-IL"/>
        </w:rPr>
        <w:t>.</w:t>
      </w:r>
    </w:p>
  </w:footnote>
  <w:footnote w:id="10">
    <w:p w:rsidR="00F708F5" w:rsidRDefault="00F708F5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כב,ה</w:t>
      </w:r>
      <w:r>
        <w:rPr>
          <w:lang w:bidi="he-IL"/>
        </w:rPr>
        <w:t>.</w:t>
      </w:r>
    </w:p>
  </w:footnote>
  <w:footnote w:id="11">
    <w:p w:rsidR="008B3F1D" w:rsidRDefault="008B3F1D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>See ‘Thinking it over’ # 1.</w:t>
      </w:r>
    </w:p>
  </w:footnote>
  <w:footnote w:id="12">
    <w:p w:rsidR="001C5F85" w:rsidRDefault="001C5F85" w:rsidP="00B96E53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‘Thinking it over’ # 2.</w:t>
      </w:r>
    </w:p>
  </w:footnote>
  <w:footnote w:id="13">
    <w:p w:rsidR="001C5F85" w:rsidRPr="00946EA5" w:rsidRDefault="001C5F85" w:rsidP="00B96E53">
      <w:pPr>
        <w:pStyle w:val="FootnoteText"/>
        <w:spacing w:line="264" w:lineRule="auto"/>
        <w:rPr>
          <w:b/>
          <w:bCs/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כא,לז</w:t>
      </w:r>
      <w:r>
        <w:rPr>
          <w:lang w:bidi="he-IL"/>
        </w:rPr>
        <w:t>.</w:t>
      </w:r>
      <w:r w:rsidR="00946EA5">
        <w:rPr>
          <w:lang w:bidi="he-IL"/>
        </w:rPr>
        <w:t xml:space="preserve"> </w:t>
      </w:r>
    </w:p>
  </w:footnote>
  <w:footnote w:id="14">
    <w:p w:rsidR="00946EA5" w:rsidRDefault="00946EA5" w:rsidP="0000478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לקמן ד,</w:t>
      </w:r>
      <w:r w:rsidR="00004781">
        <w:rPr>
          <w:rFonts w:hint="cs"/>
          <w:rtl/>
          <w:lang w:bidi="he-IL"/>
        </w:rPr>
        <w:t>ב</w:t>
      </w:r>
      <w:r>
        <w:rPr>
          <w:lang w:bidi="he-IL"/>
        </w:rPr>
        <w:t xml:space="preserve">, in the </w:t>
      </w:r>
      <w:r>
        <w:rPr>
          <w:rFonts w:hint="cs"/>
          <w:rtl/>
          <w:lang w:bidi="he-IL"/>
        </w:rPr>
        <w:t>ברייתא</w:t>
      </w:r>
      <w:r>
        <w:rPr>
          <w:lang w:bidi="he-IL"/>
        </w:rPr>
        <w:t xml:space="preserve"> of </w:t>
      </w:r>
      <w:r>
        <w:rPr>
          <w:rFonts w:hint="cs"/>
          <w:rtl/>
          <w:lang w:bidi="he-IL"/>
        </w:rPr>
        <w:t>רבי חייא</w:t>
      </w:r>
      <w:r>
        <w:rPr>
          <w:lang w:bidi="he-IL"/>
        </w:rPr>
        <w:t>.</w:t>
      </w:r>
    </w:p>
  </w:footnote>
  <w:footnote w:id="15">
    <w:p w:rsidR="00004781" w:rsidRDefault="00004781" w:rsidP="00004781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there (previously) mentions that (according to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) the </w:t>
      </w:r>
      <w:r>
        <w:rPr>
          <w:rFonts w:hint="cs"/>
          <w:rtl/>
          <w:lang w:bidi="he-IL"/>
        </w:rPr>
        <w:t>משנה</w:t>
      </w:r>
      <w:r>
        <w:rPr>
          <w:lang w:bidi="he-IL"/>
        </w:rPr>
        <w:t xml:space="preserve"> teaches us </w:t>
      </w:r>
      <w:r>
        <w:rPr>
          <w:rFonts w:hint="cs"/>
          <w:rtl/>
          <w:lang w:bidi="he-IL"/>
        </w:rPr>
        <w:t>אדם</w:t>
      </w:r>
      <w:r>
        <w:rPr>
          <w:lang w:bidi="he-IL"/>
        </w:rPr>
        <w:t xml:space="preserve"> and it is meant to include all types of damages ascribed to </w:t>
      </w:r>
      <w:proofErr w:type="gramStart"/>
      <w:r>
        <w:rPr>
          <w:lang w:bidi="he-IL"/>
        </w:rPr>
        <w:t>an</w:t>
      </w:r>
      <w:proofErr w:type="gramEnd"/>
      <w:r>
        <w:rPr>
          <w:lang w:bidi="he-IL"/>
        </w:rPr>
        <w:t xml:space="preserve"> </w:t>
      </w:r>
      <w:r>
        <w:rPr>
          <w:rFonts w:hint="cs"/>
          <w:rtl/>
          <w:lang w:bidi="he-IL"/>
        </w:rPr>
        <w:t>אדם</w:t>
      </w:r>
      <w:r>
        <w:rPr>
          <w:lang w:bidi="he-IL"/>
        </w:rPr>
        <w:t xml:space="preserve"> (including </w:t>
      </w:r>
      <w:r>
        <w:rPr>
          <w:rFonts w:hint="cs"/>
          <w:rtl/>
          <w:lang w:bidi="he-IL"/>
        </w:rPr>
        <w:t>גניבה</w:t>
      </w:r>
      <w:r>
        <w:rPr>
          <w:lang w:bidi="he-IL"/>
        </w:rPr>
        <w:t xml:space="preserve">). Therefore </w:t>
      </w:r>
      <w:r>
        <w:rPr>
          <w:rFonts w:hint="cs"/>
          <w:rtl/>
          <w:lang w:bidi="he-IL"/>
        </w:rPr>
        <w:t>אדם הגונב</w:t>
      </w:r>
      <w:r>
        <w:rPr>
          <w:lang w:bidi="he-IL"/>
        </w:rPr>
        <w:t xml:space="preserve"> is included in </w:t>
      </w:r>
      <w:r>
        <w:rPr>
          <w:rFonts w:hint="cs"/>
          <w:rtl/>
          <w:lang w:bidi="he-IL"/>
        </w:rPr>
        <w:t>מבעה</w:t>
      </w:r>
      <w:r>
        <w:rPr>
          <w:lang w:bidi="he-IL"/>
        </w:rPr>
        <w:t>.</w:t>
      </w:r>
    </w:p>
  </w:footnote>
  <w:footnote w:id="16">
    <w:p w:rsidR="008B3F1D" w:rsidRDefault="008B3F1D" w:rsidP="00B96E53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11.</w:t>
      </w:r>
    </w:p>
  </w:footnote>
  <w:footnote w:id="17">
    <w:p w:rsidR="008B3F1D" w:rsidRDefault="008B3F1D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he-IL"/>
        </w:rPr>
        <w:t>שמות כא,יח</w:t>
      </w:r>
      <w:r>
        <w:rPr>
          <w:lang w:bidi="he-IL"/>
        </w:rPr>
        <w:t xml:space="preserve"> See footnote # 1.</w:t>
      </w:r>
    </w:p>
  </w:footnote>
  <w:footnote w:id="18">
    <w:p w:rsidR="008B3F1D" w:rsidRDefault="008B3F1D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חדושי הרש</w:t>
      </w:r>
      <w:r w:rsidR="00343345">
        <w:rPr>
          <w:rFonts w:hint="cs"/>
          <w:rtl/>
          <w:lang w:bidi="he-IL"/>
        </w:rPr>
        <w:t>ב</w:t>
      </w:r>
      <w:r>
        <w:rPr>
          <w:rFonts w:hint="cs"/>
          <w:rtl/>
          <w:lang w:bidi="he-IL"/>
        </w:rPr>
        <w:t>"א</w:t>
      </w:r>
      <w:r>
        <w:rPr>
          <w:lang w:bidi="he-IL"/>
        </w:rPr>
        <w:t>.</w:t>
      </w:r>
    </w:p>
  </w:footnote>
  <w:footnote w:id="19">
    <w:p w:rsidR="008B3F1D" w:rsidRDefault="008B3F1D" w:rsidP="00B96E53">
      <w:pPr>
        <w:pStyle w:val="FootnoteText"/>
        <w:spacing w:line="264" w:lineRule="auto"/>
      </w:pPr>
      <w:r>
        <w:rPr>
          <w:rStyle w:val="FootnoteReference"/>
        </w:rPr>
        <w:footnoteRef/>
      </w:r>
      <w:r>
        <w:t xml:space="preserve"> See footnote # 12.</w:t>
      </w:r>
    </w:p>
  </w:footnote>
  <w:footnote w:id="20">
    <w:p w:rsidR="008B3F1D" w:rsidRDefault="008B3F1D" w:rsidP="00B96E53">
      <w:pPr>
        <w:pStyle w:val="FootnoteText"/>
        <w:spacing w:line="264" w:lineRule="auto"/>
        <w:rPr>
          <w:lang w:bidi="he-IL"/>
        </w:rPr>
      </w:pPr>
      <w:r>
        <w:rPr>
          <w:rStyle w:val="FootnoteReference"/>
        </w:rPr>
        <w:footnoteRef/>
      </w:r>
      <w:r>
        <w:t xml:space="preserve"> See </w:t>
      </w:r>
      <w:r>
        <w:rPr>
          <w:rFonts w:hint="cs"/>
          <w:rtl/>
          <w:lang w:bidi="he-IL"/>
        </w:rPr>
        <w:t>מהר"ם</w:t>
      </w:r>
      <w:r>
        <w:rPr>
          <w:lang w:bidi="he-IL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D21AE" w:rsidRPr="008D21AE" w:rsidRDefault="008D21AE" w:rsidP="008D21AE">
    <w:pPr>
      <w:pStyle w:val="Header"/>
      <w:bidi/>
      <w:rPr>
        <w:sz w:val="24"/>
        <w:szCs w:val="24"/>
        <w:lang w:bidi="he-IL"/>
      </w:rPr>
    </w:pPr>
    <w:r>
      <w:rPr>
        <w:rFonts w:hint="cs"/>
        <w:sz w:val="24"/>
        <w:szCs w:val="24"/>
        <w:rtl/>
        <w:lang w:bidi="he-IL"/>
      </w:rPr>
      <w:t>בס"ד. ב"ק ב,א תוס' ד"ה השור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321"/>
  <w:drawingGridVerticalSpacing w:val="43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6887"/>
    <w:rsid w:val="00004781"/>
    <w:rsid w:val="0014631D"/>
    <w:rsid w:val="001C5F85"/>
    <w:rsid w:val="001F545D"/>
    <w:rsid w:val="00343345"/>
    <w:rsid w:val="00417CD9"/>
    <w:rsid w:val="005139AD"/>
    <w:rsid w:val="00555A3E"/>
    <w:rsid w:val="00642F83"/>
    <w:rsid w:val="00676887"/>
    <w:rsid w:val="00774CD4"/>
    <w:rsid w:val="008B3F1D"/>
    <w:rsid w:val="008D21AE"/>
    <w:rsid w:val="00946EA5"/>
    <w:rsid w:val="00B96E53"/>
    <w:rsid w:val="00EA4826"/>
    <w:rsid w:val="00F7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AE"/>
  </w:style>
  <w:style w:type="paragraph" w:styleId="Footer">
    <w:name w:val="footer"/>
    <w:basedOn w:val="Normal"/>
    <w:link w:val="FooterChar"/>
    <w:uiPriority w:val="99"/>
    <w:unhideWhenUsed/>
    <w:rsid w:val="008D2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AE"/>
  </w:style>
  <w:style w:type="paragraph" w:styleId="FootnoteText">
    <w:name w:val="footnote text"/>
    <w:basedOn w:val="Normal"/>
    <w:link w:val="FootnoteTextChar"/>
    <w:uiPriority w:val="99"/>
    <w:semiHidden/>
    <w:unhideWhenUsed/>
    <w:rsid w:val="008D21AE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1AE"/>
  </w:style>
  <w:style w:type="character" w:styleId="FootnoteReference">
    <w:name w:val="footnote reference"/>
    <w:basedOn w:val="DefaultParagraphFont"/>
    <w:uiPriority w:val="99"/>
    <w:semiHidden/>
    <w:unhideWhenUsed/>
    <w:rsid w:val="008D21AE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1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21AE"/>
  </w:style>
  <w:style w:type="paragraph" w:styleId="Footer">
    <w:name w:val="footer"/>
    <w:basedOn w:val="Normal"/>
    <w:link w:val="FooterChar"/>
    <w:uiPriority w:val="99"/>
    <w:unhideWhenUsed/>
    <w:rsid w:val="008D21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21AE"/>
  </w:style>
  <w:style w:type="paragraph" w:styleId="FootnoteText">
    <w:name w:val="footnote text"/>
    <w:basedOn w:val="Normal"/>
    <w:link w:val="FootnoteTextChar"/>
    <w:uiPriority w:val="99"/>
    <w:semiHidden/>
    <w:unhideWhenUsed/>
    <w:rsid w:val="008D21AE"/>
    <w:pPr>
      <w:spacing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D21AE"/>
  </w:style>
  <w:style w:type="character" w:styleId="FootnoteReference">
    <w:name w:val="footnote reference"/>
    <w:basedOn w:val="DefaultParagraphFont"/>
    <w:uiPriority w:val="99"/>
    <w:semiHidden/>
    <w:unhideWhenUsed/>
    <w:rsid w:val="008D21A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3</Pages>
  <Words>688</Words>
  <Characters>3925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</dc:creator>
  <cp:lastModifiedBy>Ephraim</cp:lastModifiedBy>
  <cp:revision>7</cp:revision>
  <cp:lastPrinted>2016-09-06T19:29:00Z</cp:lastPrinted>
  <dcterms:created xsi:type="dcterms:W3CDTF">2016-07-03T21:15:00Z</dcterms:created>
  <dcterms:modified xsi:type="dcterms:W3CDTF">2016-09-06T19:32:00Z</dcterms:modified>
</cp:coreProperties>
</file>