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6D1" w:rsidRPr="008046D1" w:rsidRDefault="00E95E5A" w:rsidP="008046D1">
      <w:pPr>
        <w:bidi/>
        <w:rPr>
          <w:rFonts w:asciiTheme="majorBidi" w:hAnsiTheme="majorBidi" w:cstheme="majorBidi"/>
          <w:sz w:val="24"/>
          <w:szCs w:val="24"/>
          <w:lang w:bidi="he-IL"/>
        </w:rPr>
      </w:pPr>
      <w:bookmarkStart w:id="0" w:name="_GoBack"/>
      <w:bookmarkEnd w:id="0"/>
      <w:r w:rsidRPr="008046D1">
        <w:rPr>
          <w:rFonts w:asciiTheme="majorBidi" w:hAnsiTheme="majorBidi" w:cstheme="majorBidi"/>
          <w:b/>
          <w:bCs/>
          <w:sz w:val="36"/>
          <w:szCs w:val="36"/>
          <w:rtl/>
          <w:lang w:bidi="he-IL"/>
        </w:rPr>
        <w:t>לא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 xml:space="preserve"> </w:t>
      </w:r>
      <w:r w:rsidRPr="008046D1">
        <w:rPr>
          <w:rFonts w:asciiTheme="majorBidi" w:hAnsiTheme="majorBidi" w:cstheme="majorBidi"/>
          <w:b/>
          <w:bCs/>
          <w:sz w:val="32"/>
          <w:szCs w:val="32"/>
          <w:rtl/>
          <w:lang w:bidi="he-IL"/>
        </w:rPr>
        <w:t>הרי השור כהרי המבעה</w:t>
      </w:r>
      <w:r w:rsidR="008046D1">
        <w:rPr>
          <w:rFonts w:asciiTheme="majorBidi" w:hAnsiTheme="majorBidi" w:cstheme="majorBidi" w:hint="cs"/>
          <w:b/>
          <w:bCs/>
          <w:sz w:val="32"/>
          <w:szCs w:val="32"/>
          <w:rtl/>
          <w:lang w:bidi="he-IL"/>
        </w:rPr>
        <w:t xml:space="preserve"> </w:t>
      </w:r>
      <w:r w:rsidR="008046D1">
        <w:rPr>
          <w:rFonts w:asciiTheme="majorBidi" w:hAnsiTheme="majorBidi" w:cstheme="majorBidi"/>
          <w:b/>
          <w:bCs/>
          <w:sz w:val="32"/>
          <w:szCs w:val="32"/>
          <w:rtl/>
          <w:lang w:bidi="he-IL"/>
        </w:rPr>
        <w:t>–</w:t>
      </w:r>
      <w:r w:rsidR="008046D1">
        <w:rPr>
          <w:rFonts w:asciiTheme="majorBidi" w:hAnsiTheme="majorBidi" w:cstheme="majorBidi" w:hint="cs"/>
          <w:b/>
          <w:bCs/>
          <w:sz w:val="32"/>
          <w:szCs w:val="32"/>
          <w:rtl/>
          <w:lang w:bidi="he-IL"/>
        </w:rPr>
        <w:t xml:space="preserve">         </w:t>
      </w:r>
      <w:r w:rsidR="008046D1">
        <w:rPr>
          <w:rFonts w:asciiTheme="majorBidi" w:hAnsiTheme="majorBidi" w:cstheme="majorBidi"/>
          <w:b/>
          <w:bCs/>
          <w:sz w:val="32"/>
          <w:szCs w:val="32"/>
          <w:lang w:bidi="he-IL"/>
        </w:rPr>
        <w:t xml:space="preserve">  </w:t>
      </w:r>
      <w:r w:rsidR="008046D1">
        <w:rPr>
          <w:rFonts w:asciiTheme="majorBidi" w:hAnsiTheme="majorBidi" w:cstheme="majorBidi"/>
          <w:b/>
          <w:bCs/>
          <w:sz w:val="16"/>
          <w:szCs w:val="16"/>
          <w:lang w:bidi="he-IL"/>
        </w:rPr>
        <w:t xml:space="preserve"> </w:t>
      </w:r>
      <w:r w:rsidR="008046D1">
        <w:rPr>
          <w:rFonts w:asciiTheme="majorBidi" w:hAnsiTheme="majorBidi" w:cstheme="majorBidi" w:hint="cs"/>
          <w:b/>
          <w:bCs/>
          <w:sz w:val="32"/>
          <w:szCs w:val="32"/>
          <w:rtl/>
          <w:lang w:bidi="he-IL"/>
        </w:rPr>
        <w:t xml:space="preserve"> </w:t>
      </w:r>
      <w:r w:rsidR="008046D1">
        <w:rPr>
          <w:rFonts w:asciiTheme="majorBidi" w:hAnsiTheme="majorBidi" w:cstheme="majorBidi"/>
          <w:b/>
          <w:bCs/>
          <w:sz w:val="32"/>
          <w:szCs w:val="32"/>
          <w:lang w:bidi="he-IL"/>
        </w:rPr>
        <w:t xml:space="preserve">The </w:t>
      </w:r>
      <w:r w:rsidR="008046D1" w:rsidRPr="008046D1">
        <w:rPr>
          <w:rFonts w:asciiTheme="majorBidi" w:hAnsiTheme="majorBidi" w:cstheme="majorBidi"/>
          <w:b/>
          <w:bCs/>
          <w:i/>
          <w:iCs/>
          <w:sz w:val="32"/>
          <w:szCs w:val="32"/>
          <w:lang w:bidi="he-IL"/>
        </w:rPr>
        <w:t>Shor</w:t>
      </w:r>
      <w:r w:rsidR="008046D1">
        <w:rPr>
          <w:rFonts w:asciiTheme="majorBidi" w:hAnsiTheme="majorBidi" w:cstheme="majorBidi"/>
          <w:b/>
          <w:bCs/>
          <w:sz w:val="32"/>
          <w:szCs w:val="32"/>
          <w:lang w:bidi="he-IL"/>
        </w:rPr>
        <w:t xml:space="preserve"> is not similar to the </w:t>
      </w:r>
      <w:proofErr w:type="spellStart"/>
      <w:r w:rsidR="008046D1">
        <w:rPr>
          <w:rFonts w:asciiTheme="majorBidi" w:hAnsiTheme="majorBidi" w:cstheme="majorBidi"/>
          <w:b/>
          <w:bCs/>
          <w:i/>
          <w:iCs/>
          <w:sz w:val="32"/>
          <w:szCs w:val="32"/>
          <w:lang w:bidi="he-IL"/>
        </w:rPr>
        <w:t>Mav’eh</w:t>
      </w:r>
      <w:proofErr w:type="spellEnd"/>
    </w:p>
    <w:p w:rsidR="008046D1" w:rsidRDefault="008046D1" w:rsidP="008046D1">
      <w:pPr>
        <w:rPr>
          <w:rFonts w:asciiTheme="majorBidi" w:hAnsiTheme="majorBidi" w:cstheme="majorBidi"/>
          <w:sz w:val="28"/>
          <w:szCs w:val="28"/>
          <w:rtl/>
          <w:lang w:bidi="he-IL"/>
        </w:rPr>
      </w:pPr>
    </w:p>
    <w:p w:rsidR="008046D1" w:rsidRPr="008046D1" w:rsidRDefault="008046D1" w:rsidP="008046D1">
      <w:pPr>
        <w:rPr>
          <w:rFonts w:ascii="Copperplate Gothic Bold" w:hAnsi="Copperplate Gothic Bold" w:cstheme="majorBidi"/>
          <w:sz w:val="28"/>
          <w:szCs w:val="28"/>
          <w:u w:val="double"/>
          <w:rtl/>
          <w:lang w:bidi="he-IL"/>
        </w:rPr>
      </w:pPr>
      <w:r w:rsidRPr="008046D1">
        <w:rPr>
          <w:rFonts w:ascii="Copperplate Gothic Bold" w:hAnsi="Copperplate Gothic Bold" w:cstheme="majorBidi"/>
          <w:sz w:val="28"/>
          <w:szCs w:val="28"/>
          <w:u w:val="double"/>
          <w:lang w:bidi="he-IL"/>
        </w:rPr>
        <w:t>Overview</w:t>
      </w:r>
    </w:p>
    <w:p w:rsidR="008046D1" w:rsidRDefault="008046D1" w:rsidP="008046D1">
      <w:pPr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 xml:space="preserve">When the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משנה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states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לא הרי השור כהרי המבעה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[or the similar expression of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לא ראי זה כראי זה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] it can be understood to mean that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שור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[or the first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'זה'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] is not similar to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מבעה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[or the second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'זה'</w:t>
      </w:r>
      <w:r>
        <w:rPr>
          <w:rFonts w:asciiTheme="majorBidi" w:hAnsiTheme="majorBidi" w:cstheme="majorBidi"/>
          <w:sz w:val="28"/>
          <w:szCs w:val="28"/>
          <w:lang w:bidi="he-IL"/>
        </w:rPr>
        <w:t>]; in the sense that the first case (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שור</w:t>
      </w:r>
      <w:r>
        <w:rPr>
          <w:rFonts w:asciiTheme="majorBidi" w:hAnsiTheme="majorBidi" w:cstheme="majorBidi"/>
          <w:sz w:val="28"/>
          <w:szCs w:val="28"/>
          <w:lang w:bidi="he-IL"/>
        </w:rPr>
        <w:t>) is lacking something which the second case (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מבעה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) possesses. </w:t>
      </w:r>
    </w:p>
    <w:p w:rsidR="008046D1" w:rsidRDefault="008046D1" w:rsidP="00504DE1">
      <w:pPr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 xml:space="preserve">We derive certain laws by a process which is known as a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צד השוה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– a common factor. A certain law, ‘X’, applies to ‘A’ and ‘B’. We want to apply this law, ‘X’, to ‘C’ as well. However we cannot derive C from A, because A possesses a certain factor, ‘</w:t>
      </w:r>
      <w:r w:rsidRPr="008046D1">
        <w:rPr>
          <w:rFonts w:asciiTheme="majorBidi" w:hAnsiTheme="majorBidi" w:cstheme="majorBidi"/>
          <w:i/>
          <w:iCs/>
          <w:sz w:val="28"/>
          <w:szCs w:val="28"/>
          <w:lang w:bidi="he-IL"/>
        </w:rPr>
        <w:t>a</w:t>
      </w:r>
      <w:r>
        <w:rPr>
          <w:rFonts w:asciiTheme="majorBidi" w:hAnsiTheme="majorBidi" w:cstheme="majorBidi"/>
          <w:sz w:val="28"/>
          <w:szCs w:val="28"/>
          <w:lang w:bidi="he-IL"/>
        </w:rPr>
        <w:t>’, which may explain why this rule (X) should apply only to A and not to C, which lacks this factor ‘</w:t>
      </w:r>
      <w:r>
        <w:rPr>
          <w:rFonts w:asciiTheme="majorBidi" w:hAnsiTheme="majorBidi" w:cstheme="majorBidi"/>
          <w:i/>
          <w:iCs/>
          <w:sz w:val="28"/>
          <w:szCs w:val="28"/>
          <w:lang w:bidi="he-IL"/>
        </w:rPr>
        <w:t>a</w:t>
      </w:r>
      <w:r>
        <w:rPr>
          <w:rFonts w:asciiTheme="majorBidi" w:hAnsiTheme="majorBidi" w:cstheme="majorBidi"/>
          <w:sz w:val="28"/>
          <w:szCs w:val="28"/>
          <w:lang w:bidi="he-IL"/>
        </w:rPr>
        <w:t>’. Similarly we cannot derive C from B, because B possesses a different factor, ‘</w:t>
      </w:r>
      <w:r>
        <w:rPr>
          <w:rFonts w:asciiTheme="majorBidi" w:hAnsiTheme="majorBidi" w:cstheme="majorBidi"/>
          <w:i/>
          <w:iCs/>
          <w:sz w:val="28"/>
          <w:szCs w:val="28"/>
          <w:lang w:bidi="he-IL"/>
        </w:rPr>
        <w:t>b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’, which C lacks. However A does not possess factor </w:t>
      </w:r>
      <w:r>
        <w:rPr>
          <w:rFonts w:asciiTheme="majorBidi" w:hAnsiTheme="majorBidi" w:cstheme="majorBidi"/>
          <w:i/>
          <w:iCs/>
          <w:sz w:val="28"/>
          <w:szCs w:val="28"/>
          <w:lang w:bidi="he-IL"/>
        </w:rPr>
        <w:t>b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, and B lacks factor </w:t>
      </w:r>
      <w:r>
        <w:rPr>
          <w:rFonts w:asciiTheme="majorBidi" w:hAnsiTheme="majorBidi" w:cstheme="majorBidi"/>
          <w:i/>
          <w:iCs/>
          <w:sz w:val="28"/>
          <w:szCs w:val="28"/>
          <w:lang w:bidi="he-IL"/>
        </w:rPr>
        <w:t>a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. [In the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גמרא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language this is stated as </w:t>
      </w:r>
      <w:r w:rsidR="00504DE1">
        <w:rPr>
          <w:rFonts w:asciiTheme="majorBidi" w:hAnsiTheme="majorBidi" w:cstheme="majorBidi" w:hint="cs"/>
          <w:sz w:val="28"/>
          <w:szCs w:val="28"/>
          <w:rtl/>
          <w:lang w:bidi="he-IL"/>
        </w:rPr>
        <w:t>לא ראי זה כראי זה ו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ל</w:t>
      </w:r>
      <w:r w:rsidR="00504DE1">
        <w:rPr>
          <w:rFonts w:asciiTheme="majorBidi" w:hAnsiTheme="majorBidi" w:cstheme="majorBidi" w:hint="cs"/>
          <w:sz w:val="28"/>
          <w:szCs w:val="28"/>
          <w:rtl/>
          <w:lang w:bidi="he-IL"/>
        </w:rPr>
        <w:t>א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ראי זה כראי זה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. A is not similar to B, and B is not similar to A.] Therefore we reason, that it cannot be factors </w:t>
      </w:r>
      <w:proofErr w:type="gramStart"/>
      <w:r>
        <w:rPr>
          <w:rFonts w:asciiTheme="majorBidi" w:hAnsiTheme="majorBidi" w:cstheme="majorBidi"/>
          <w:i/>
          <w:iCs/>
          <w:sz w:val="28"/>
          <w:szCs w:val="28"/>
          <w:lang w:bidi="he-IL"/>
        </w:rPr>
        <w:t>a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="00504DE1">
        <w:rPr>
          <w:rFonts w:asciiTheme="majorBidi" w:hAnsiTheme="majorBidi" w:cstheme="majorBidi"/>
          <w:sz w:val="28"/>
          <w:szCs w:val="28"/>
          <w:lang w:bidi="he-IL"/>
        </w:rPr>
        <w:t>or</w:t>
      </w:r>
      <w:proofErr w:type="gramEnd"/>
      <w:r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  <w:lang w:bidi="he-IL"/>
        </w:rPr>
        <w:t>b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which cause A and B to possess rule X, for A lacks factor </w:t>
      </w:r>
      <w:r>
        <w:rPr>
          <w:rFonts w:asciiTheme="majorBidi" w:hAnsiTheme="majorBidi" w:cstheme="majorBidi"/>
          <w:i/>
          <w:iCs/>
          <w:sz w:val="28"/>
          <w:szCs w:val="28"/>
          <w:lang w:bidi="he-IL"/>
        </w:rPr>
        <w:t>b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[the first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לא ראי זה</w:t>
      </w:r>
      <w:r>
        <w:rPr>
          <w:rFonts w:asciiTheme="majorBidi" w:hAnsiTheme="majorBidi" w:cstheme="majorBidi"/>
          <w:sz w:val="28"/>
          <w:szCs w:val="28"/>
          <w:lang w:bidi="he-IL"/>
        </w:rPr>
        <w:t>]</w:t>
      </w:r>
      <w:r w:rsidR="00016E9A">
        <w:rPr>
          <w:rFonts w:asciiTheme="majorBidi" w:hAnsiTheme="majorBidi" w:cstheme="majorBidi"/>
          <w:sz w:val="28"/>
          <w:szCs w:val="28"/>
          <w:lang w:bidi="he-IL"/>
        </w:rPr>
        <w:t>,</w:t>
      </w:r>
      <w:r>
        <w:rPr>
          <w:rStyle w:val="FootnoteReference"/>
          <w:rFonts w:asciiTheme="majorBidi" w:hAnsiTheme="majorBidi" w:cstheme="majorBidi"/>
          <w:sz w:val="28"/>
          <w:szCs w:val="28"/>
          <w:lang w:bidi="he-IL"/>
        </w:rPr>
        <w:footnoteReference w:id="1"/>
      </w:r>
      <w:r w:rsidR="00016E9A">
        <w:rPr>
          <w:rFonts w:asciiTheme="majorBidi" w:hAnsiTheme="majorBidi" w:cstheme="majorBidi"/>
          <w:sz w:val="28"/>
          <w:szCs w:val="28"/>
          <w:lang w:bidi="he-IL"/>
        </w:rPr>
        <w:t xml:space="preserve"> and B lacks factor </w:t>
      </w:r>
      <w:r w:rsidR="00016E9A">
        <w:rPr>
          <w:rFonts w:asciiTheme="majorBidi" w:hAnsiTheme="majorBidi" w:cstheme="majorBidi"/>
          <w:i/>
          <w:iCs/>
          <w:sz w:val="28"/>
          <w:szCs w:val="28"/>
          <w:lang w:bidi="he-IL"/>
        </w:rPr>
        <w:t>a</w:t>
      </w:r>
      <w:r w:rsidR="00016E9A">
        <w:rPr>
          <w:rFonts w:asciiTheme="majorBidi" w:hAnsiTheme="majorBidi" w:cstheme="majorBidi"/>
          <w:sz w:val="28"/>
          <w:szCs w:val="28"/>
          <w:lang w:bidi="he-IL"/>
        </w:rPr>
        <w:t xml:space="preserve"> [the second</w:t>
      </w:r>
      <w:r w:rsidR="00016E9A">
        <w:rPr>
          <w:rStyle w:val="FootnoteReference"/>
          <w:rFonts w:asciiTheme="majorBidi" w:hAnsiTheme="majorBidi" w:cstheme="majorBidi"/>
          <w:sz w:val="28"/>
          <w:szCs w:val="28"/>
          <w:lang w:bidi="he-IL"/>
        </w:rPr>
        <w:footnoteReference w:id="2"/>
      </w:r>
      <w:r w:rsidR="00016E9A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="00016E9A">
        <w:rPr>
          <w:rFonts w:asciiTheme="majorBidi" w:hAnsiTheme="majorBidi" w:cstheme="majorBidi" w:hint="cs"/>
          <w:sz w:val="28"/>
          <w:szCs w:val="28"/>
          <w:rtl/>
          <w:lang w:bidi="he-IL"/>
        </w:rPr>
        <w:t>ולא ראי זה</w:t>
      </w:r>
      <w:r w:rsidR="00016E9A">
        <w:rPr>
          <w:rFonts w:asciiTheme="majorBidi" w:hAnsiTheme="majorBidi" w:cstheme="majorBidi"/>
          <w:sz w:val="28"/>
          <w:szCs w:val="28"/>
          <w:lang w:bidi="he-IL"/>
        </w:rPr>
        <w:t xml:space="preserve">]. </w:t>
      </w:r>
      <w:proofErr w:type="gramStart"/>
      <w:r w:rsidR="00016E9A">
        <w:rPr>
          <w:rFonts w:asciiTheme="majorBidi" w:hAnsiTheme="majorBidi" w:cstheme="majorBidi"/>
          <w:sz w:val="28"/>
          <w:szCs w:val="28"/>
          <w:lang w:bidi="he-IL"/>
        </w:rPr>
        <w:t>However, A, B, and C all share a common factor ‘</w:t>
      </w:r>
      <w:r w:rsidR="00016E9A">
        <w:rPr>
          <w:rFonts w:asciiTheme="majorBidi" w:hAnsiTheme="majorBidi" w:cstheme="majorBidi"/>
          <w:i/>
          <w:iCs/>
          <w:sz w:val="28"/>
          <w:szCs w:val="28"/>
          <w:lang w:bidi="he-IL"/>
        </w:rPr>
        <w:t>c</w:t>
      </w:r>
      <w:r w:rsidR="00016E9A">
        <w:rPr>
          <w:rFonts w:asciiTheme="majorBidi" w:hAnsiTheme="majorBidi" w:cstheme="majorBidi"/>
          <w:sz w:val="28"/>
          <w:szCs w:val="28"/>
          <w:lang w:bidi="he-IL"/>
        </w:rPr>
        <w:t>’.</w:t>
      </w:r>
      <w:proofErr w:type="gramEnd"/>
      <w:r w:rsidR="00016E9A">
        <w:rPr>
          <w:rFonts w:asciiTheme="majorBidi" w:hAnsiTheme="majorBidi" w:cstheme="majorBidi"/>
          <w:sz w:val="28"/>
          <w:szCs w:val="28"/>
          <w:lang w:bidi="he-IL"/>
        </w:rPr>
        <w:t xml:space="preserve"> We assume that since A, B, and C share factor </w:t>
      </w:r>
      <w:r w:rsidR="00016E9A">
        <w:rPr>
          <w:rFonts w:asciiTheme="majorBidi" w:hAnsiTheme="majorBidi" w:cstheme="majorBidi"/>
          <w:i/>
          <w:iCs/>
          <w:sz w:val="28"/>
          <w:szCs w:val="28"/>
          <w:lang w:bidi="he-IL"/>
        </w:rPr>
        <w:t>c</w:t>
      </w:r>
      <w:r w:rsidR="00016E9A">
        <w:rPr>
          <w:rFonts w:asciiTheme="majorBidi" w:hAnsiTheme="majorBidi" w:cstheme="majorBidi"/>
          <w:sz w:val="28"/>
          <w:szCs w:val="28"/>
          <w:lang w:bidi="he-IL"/>
        </w:rPr>
        <w:t>, so just as A and B have rule X; similarly C too should have rule X.</w:t>
      </w:r>
    </w:p>
    <w:p w:rsidR="00016E9A" w:rsidRDefault="00016E9A" w:rsidP="00016E9A">
      <w:pPr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 xml:space="preserve">In conclusion: the term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לא ראי זה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refers to the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חומרא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[the seemingly contributing factor of the second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זה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], which the first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זה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is lacking.</w:t>
      </w:r>
    </w:p>
    <w:p w:rsidR="00016E9A" w:rsidRPr="00016E9A" w:rsidRDefault="00016E9A" w:rsidP="00016E9A">
      <w:pPr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 xml:space="preserve">If we were to follow this approach concerning the phrase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לא הרי השור כהרי המבעה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in our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משנה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; it would mean that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שור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is lacking the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חומרא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of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מבעה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="00213FBA">
        <w:rPr>
          <w:rFonts w:asciiTheme="majorBidi" w:hAnsiTheme="majorBidi" w:cstheme="majorBidi"/>
          <w:sz w:val="28"/>
          <w:szCs w:val="28"/>
          <w:lang w:bidi="he-IL"/>
        </w:rPr>
        <w:t xml:space="preserve">(just as by a </w:t>
      </w:r>
      <w:r w:rsidR="00213FBA">
        <w:rPr>
          <w:rFonts w:asciiTheme="majorBidi" w:hAnsiTheme="majorBidi" w:cstheme="majorBidi" w:hint="cs"/>
          <w:sz w:val="28"/>
          <w:szCs w:val="28"/>
          <w:rtl/>
          <w:lang w:bidi="he-IL"/>
        </w:rPr>
        <w:t>צד השוה</w:t>
      </w:r>
      <w:r w:rsidR="00213FBA">
        <w:rPr>
          <w:rFonts w:asciiTheme="majorBidi" w:hAnsiTheme="majorBidi" w:cstheme="majorBidi"/>
          <w:sz w:val="28"/>
          <w:szCs w:val="28"/>
          <w:lang w:bidi="he-IL"/>
        </w:rPr>
        <w:t xml:space="preserve">, where the phrase </w:t>
      </w:r>
      <w:r w:rsidR="00213FBA">
        <w:rPr>
          <w:rFonts w:asciiTheme="majorBidi" w:hAnsiTheme="majorBidi" w:cstheme="majorBidi" w:hint="cs"/>
          <w:sz w:val="28"/>
          <w:szCs w:val="28"/>
          <w:rtl/>
          <w:lang w:bidi="he-IL"/>
        </w:rPr>
        <w:t>לא ראי</w:t>
      </w:r>
      <w:r w:rsidR="00213FBA">
        <w:rPr>
          <w:rFonts w:asciiTheme="majorBidi" w:hAnsiTheme="majorBidi" w:cstheme="majorBidi"/>
          <w:sz w:val="28"/>
          <w:szCs w:val="28"/>
          <w:lang w:bidi="he-IL"/>
        </w:rPr>
        <w:t xml:space="preserve"> is discussing the </w:t>
      </w:r>
      <w:r w:rsidR="00213FBA">
        <w:rPr>
          <w:rFonts w:asciiTheme="majorBidi" w:hAnsiTheme="majorBidi" w:cstheme="majorBidi" w:hint="cs"/>
          <w:sz w:val="28"/>
          <w:szCs w:val="28"/>
          <w:rtl/>
          <w:lang w:bidi="he-IL"/>
        </w:rPr>
        <w:t>חומרא</w:t>
      </w:r>
      <w:r w:rsidR="00213FBA">
        <w:rPr>
          <w:rFonts w:asciiTheme="majorBidi" w:hAnsiTheme="majorBidi" w:cstheme="majorBidi"/>
          <w:sz w:val="28"/>
          <w:szCs w:val="28"/>
          <w:lang w:bidi="he-IL"/>
        </w:rPr>
        <w:t>).</w:t>
      </w:r>
      <w:r w:rsidR="00213FBA">
        <w:rPr>
          <w:rStyle w:val="FootnoteReference"/>
          <w:rFonts w:asciiTheme="majorBidi" w:hAnsiTheme="majorBidi" w:cstheme="majorBidi"/>
          <w:sz w:val="28"/>
          <w:szCs w:val="28"/>
          <w:lang w:bidi="he-IL"/>
        </w:rPr>
        <w:footnoteReference w:id="3"/>
      </w:r>
      <w:r w:rsidR="00213FBA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="00213FBA">
        <w:rPr>
          <w:rFonts w:asciiTheme="majorBidi" w:hAnsiTheme="majorBidi" w:cstheme="majorBidi" w:hint="cs"/>
          <w:sz w:val="28"/>
          <w:szCs w:val="28"/>
          <w:rtl/>
          <w:lang w:bidi="he-IL"/>
        </w:rPr>
        <w:t>תוספות</w:t>
      </w:r>
      <w:r w:rsidR="00213FBA">
        <w:rPr>
          <w:rFonts w:asciiTheme="majorBidi" w:hAnsiTheme="majorBidi" w:cstheme="majorBidi"/>
          <w:sz w:val="28"/>
          <w:szCs w:val="28"/>
          <w:lang w:bidi="he-IL"/>
        </w:rPr>
        <w:t>, however negates this interpretation.</w:t>
      </w:r>
    </w:p>
    <w:p w:rsidR="00016E9A" w:rsidRDefault="00213FBA" w:rsidP="00213FBA">
      <w:pPr>
        <w:jc w:val="center"/>
        <w:rPr>
          <w:rFonts w:asciiTheme="majorBidi" w:hAnsiTheme="majorBidi" w:cstheme="majorBidi"/>
          <w:sz w:val="24"/>
          <w:szCs w:val="24"/>
          <w:rtl/>
          <w:lang w:bidi="he-IL"/>
        </w:rPr>
      </w:pPr>
      <w:r>
        <w:rPr>
          <w:rFonts w:asciiTheme="majorBidi" w:hAnsiTheme="majorBidi" w:cstheme="majorBidi"/>
          <w:sz w:val="24"/>
          <w:szCs w:val="24"/>
          <w:lang w:bidi="he-IL"/>
        </w:rPr>
        <w:t>-----------------------------</w:t>
      </w:r>
    </w:p>
    <w:p w:rsidR="00213FBA" w:rsidRDefault="00E95E5A" w:rsidP="00482A13">
      <w:pPr>
        <w:widowControl w:val="0"/>
        <w:bidi/>
        <w:rPr>
          <w:rFonts w:ascii="David" w:hAnsi="David" w:cs="David"/>
          <w:b/>
          <w:bCs/>
          <w:sz w:val="28"/>
          <w:szCs w:val="28"/>
          <w:rtl/>
          <w:lang w:bidi="he-IL"/>
        </w:rPr>
      </w:pPr>
      <w:r w:rsidRPr="00213FBA">
        <w:rPr>
          <w:rFonts w:ascii="David" w:hAnsi="David" w:cs="David"/>
          <w:b/>
          <w:bCs/>
          <w:sz w:val="28"/>
          <w:szCs w:val="28"/>
          <w:rtl/>
          <w:lang w:bidi="he-IL"/>
        </w:rPr>
        <w:t>פירוש</w:t>
      </w:r>
      <w:r w:rsidR="00624CDF">
        <w:rPr>
          <w:rStyle w:val="FootnoteReference"/>
          <w:rFonts w:ascii="David" w:hAnsi="David" w:cs="David"/>
          <w:b/>
          <w:bCs/>
          <w:sz w:val="28"/>
          <w:szCs w:val="28"/>
          <w:rtl/>
          <w:lang w:bidi="he-IL"/>
        </w:rPr>
        <w:footnoteReference w:id="4"/>
      </w:r>
      <w:r w:rsidRPr="00213FBA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אין קולתו של שור כקולתו של מבעה</w:t>
      </w:r>
      <w:r w:rsidR="00482A13">
        <w:rPr>
          <w:rStyle w:val="FootnoteReference"/>
          <w:rFonts w:ascii="David" w:hAnsi="David" w:cs="David"/>
          <w:b/>
          <w:bCs/>
          <w:sz w:val="28"/>
          <w:szCs w:val="28"/>
          <w:rtl/>
          <w:lang w:bidi="he-IL"/>
        </w:rPr>
        <w:footnoteReference w:id="5"/>
      </w:r>
      <w:r w:rsidR="00624CDF">
        <w:rPr>
          <w:rFonts w:ascii="David" w:hAnsi="David" w:cs="David" w:hint="cs"/>
          <w:b/>
          <w:bCs/>
          <w:sz w:val="28"/>
          <w:szCs w:val="28"/>
          <w:rtl/>
          <w:lang w:bidi="he-IL"/>
        </w:rPr>
        <w:t xml:space="preserve"> </w:t>
      </w:r>
      <w:r w:rsidR="00CE080B">
        <w:rPr>
          <w:rFonts w:ascii="David" w:hAnsi="David" w:cs="David" w:hint="cs"/>
          <w:b/>
          <w:bCs/>
          <w:sz w:val="28"/>
          <w:szCs w:val="28"/>
          <w:rtl/>
          <w:lang w:bidi="he-IL"/>
        </w:rPr>
        <w:t>-</w:t>
      </w:r>
      <w:r w:rsidRPr="00213FBA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</w:t>
      </w:r>
    </w:p>
    <w:p w:rsidR="00624CDF" w:rsidRPr="00E2643D" w:rsidRDefault="00624CDF" w:rsidP="004B0880">
      <w:pPr>
        <w:widowControl w:val="0"/>
        <w:rPr>
          <w:rFonts w:asciiTheme="majorBidi" w:hAnsiTheme="majorBidi" w:cstheme="majorBidi"/>
          <w:b/>
          <w:bCs/>
          <w:sz w:val="28"/>
          <w:szCs w:val="28"/>
          <w:lang w:bidi="he-IL"/>
        </w:rPr>
      </w:pPr>
      <w:r w:rsidRPr="00624CDF">
        <w:rPr>
          <w:rFonts w:asciiTheme="majorBidi" w:hAnsiTheme="majorBidi" w:cstheme="majorBidi"/>
          <w:b/>
          <w:bCs/>
          <w:sz w:val="28"/>
          <w:szCs w:val="28"/>
          <w:lang w:bidi="he-IL"/>
        </w:rPr>
        <w:lastRenderedPageBreak/>
        <w:t>The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explanation 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of the phrase </w:t>
      </w:r>
      <w:r w:rsidR="00E2643D">
        <w:rPr>
          <w:rFonts w:asciiTheme="majorBidi" w:hAnsiTheme="majorBidi" w:cstheme="majorBidi" w:hint="cs"/>
          <w:sz w:val="28"/>
          <w:szCs w:val="28"/>
          <w:rtl/>
          <w:lang w:bidi="he-IL"/>
        </w:rPr>
        <w:t>'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לא הרי השור כהרי המבעה</w:t>
      </w:r>
      <w:r w:rsidR="00E2643D">
        <w:rPr>
          <w:rFonts w:asciiTheme="majorBidi" w:hAnsiTheme="majorBidi" w:cstheme="majorBidi" w:hint="cs"/>
          <w:sz w:val="28"/>
          <w:szCs w:val="28"/>
          <w:rtl/>
          <w:lang w:bidi="he-IL"/>
        </w:rPr>
        <w:t>'</w:t>
      </w:r>
      <w:r w:rsidR="00E2643D">
        <w:rPr>
          <w:rFonts w:asciiTheme="majorBidi" w:hAnsiTheme="majorBidi" w:cstheme="majorBidi"/>
          <w:sz w:val="28"/>
          <w:szCs w:val="28"/>
          <w:lang w:bidi="he-IL"/>
        </w:rPr>
        <w:t xml:space="preserve"> is that </w:t>
      </w:r>
      <w:r w:rsidR="00E2643D"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the mildness of </w:t>
      </w:r>
      <w:r w:rsidR="00E2643D"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שור</w:t>
      </w:r>
      <w:r w:rsidR="00E2643D"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is not similar to the mildness of </w:t>
      </w:r>
      <w:r w:rsidR="00E2643D"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מבעה</w:t>
      </w:r>
      <w:r w:rsidR="00E2643D"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-</w:t>
      </w:r>
    </w:p>
    <w:p w:rsidR="00213FBA" w:rsidRDefault="00624CDF" w:rsidP="00CE080B">
      <w:pPr>
        <w:widowControl w:val="0"/>
        <w:bidi/>
        <w:rPr>
          <w:rFonts w:ascii="David" w:hAnsi="David" w:cs="David"/>
          <w:b/>
          <w:bCs/>
          <w:sz w:val="28"/>
          <w:szCs w:val="28"/>
          <w:lang w:bidi="he-IL"/>
        </w:rPr>
      </w:pPr>
      <w:r w:rsidRPr="00213FBA">
        <w:rPr>
          <w:rFonts w:ascii="David" w:hAnsi="David" w:cs="David"/>
          <w:b/>
          <w:bCs/>
          <w:sz w:val="28"/>
          <w:szCs w:val="28"/>
          <w:rtl/>
          <w:lang w:bidi="he-IL"/>
        </w:rPr>
        <w:t>כדמפרש לקמן</w:t>
      </w:r>
      <w:r w:rsidR="00504DE1" w:rsidRPr="00504DE1">
        <w:rPr>
          <w:rStyle w:val="FootnoteReference"/>
          <w:rFonts w:ascii="David" w:hAnsi="David" w:cs="David"/>
          <w:b/>
          <w:bCs/>
          <w:sz w:val="28"/>
          <w:szCs w:val="28"/>
          <w:lang w:bidi="he-IL"/>
        </w:rPr>
        <w:footnoteReference w:id="6"/>
      </w:r>
      <w:r w:rsidRPr="00213FBA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בגמ</w:t>
      </w:r>
      <w:r>
        <w:rPr>
          <w:rFonts w:ascii="David" w:hAnsi="David" w:cs="David" w:hint="cs"/>
          <w:b/>
          <w:bCs/>
          <w:sz w:val="28"/>
          <w:szCs w:val="28"/>
          <w:rtl/>
          <w:lang w:bidi="he-IL"/>
        </w:rPr>
        <w:t xml:space="preserve">רא </w:t>
      </w:r>
      <w:r w:rsidR="00E95E5A" w:rsidRPr="00213FBA">
        <w:rPr>
          <w:rFonts w:ascii="David" w:hAnsi="David" w:cs="David"/>
          <w:b/>
          <w:bCs/>
          <w:sz w:val="28"/>
          <w:szCs w:val="28"/>
          <w:rtl/>
          <w:lang w:bidi="he-IL"/>
        </w:rPr>
        <w:t>למ</w:t>
      </w:r>
      <w:r w:rsidR="00213FBA">
        <w:rPr>
          <w:rFonts w:ascii="David" w:hAnsi="David" w:cs="David" w:hint="cs"/>
          <w:b/>
          <w:bCs/>
          <w:sz w:val="28"/>
          <w:szCs w:val="28"/>
          <w:rtl/>
          <w:lang w:bidi="he-IL"/>
        </w:rPr>
        <w:t xml:space="preserve">אן </w:t>
      </w:r>
      <w:r w:rsidR="00E95E5A" w:rsidRPr="00213FBA">
        <w:rPr>
          <w:rFonts w:ascii="David" w:hAnsi="David" w:cs="David"/>
          <w:b/>
          <w:bCs/>
          <w:sz w:val="28"/>
          <w:szCs w:val="28"/>
          <w:rtl/>
          <w:lang w:bidi="he-IL"/>
        </w:rPr>
        <w:t>ד</w:t>
      </w:r>
      <w:r w:rsidR="00213FBA">
        <w:rPr>
          <w:rFonts w:ascii="David" w:hAnsi="David" w:cs="David" w:hint="cs"/>
          <w:b/>
          <w:bCs/>
          <w:sz w:val="28"/>
          <w:szCs w:val="28"/>
          <w:rtl/>
          <w:lang w:bidi="he-IL"/>
        </w:rPr>
        <w:t>אמר</w:t>
      </w:r>
      <w:r w:rsidR="00504DE1" w:rsidRPr="00504DE1">
        <w:rPr>
          <w:rStyle w:val="FootnoteReference"/>
          <w:rFonts w:ascii="David" w:hAnsi="David" w:cs="David"/>
          <w:b/>
          <w:bCs/>
          <w:sz w:val="28"/>
          <w:szCs w:val="28"/>
          <w:lang w:bidi="he-IL"/>
        </w:rPr>
        <w:footnoteReference w:id="7"/>
      </w:r>
      <w:r w:rsidR="00E95E5A" w:rsidRPr="00213FBA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תנא שור לקרנו ומבעה לשינו</w:t>
      </w:r>
      <w:r w:rsidR="00504DE1" w:rsidRPr="00504DE1">
        <w:rPr>
          <w:rStyle w:val="FootnoteReference"/>
          <w:rFonts w:ascii="David" w:hAnsi="David" w:cs="David"/>
          <w:b/>
          <w:bCs/>
          <w:sz w:val="28"/>
          <w:szCs w:val="28"/>
          <w:lang w:bidi="he-IL"/>
        </w:rPr>
        <w:footnoteReference w:id="8"/>
      </w:r>
      <w:r w:rsidR="00E95E5A" w:rsidRPr="00213FBA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</w:t>
      </w:r>
      <w:r w:rsidR="00CE080B">
        <w:rPr>
          <w:rFonts w:ascii="David" w:hAnsi="David" w:cs="David" w:hint="cs"/>
          <w:b/>
          <w:bCs/>
          <w:sz w:val="28"/>
          <w:szCs w:val="28"/>
          <w:rtl/>
          <w:lang w:bidi="he-IL"/>
        </w:rPr>
        <w:t>-</w:t>
      </w:r>
    </w:p>
    <w:p w:rsidR="00E2643D" w:rsidRPr="00E2643D" w:rsidRDefault="00E2643D" w:rsidP="00504DE1">
      <w:pPr>
        <w:widowControl w:val="0"/>
        <w:rPr>
          <w:rFonts w:asciiTheme="majorBidi" w:hAnsiTheme="majorBidi" w:cstheme="majorBidi"/>
          <w:sz w:val="24"/>
          <w:szCs w:val="24"/>
          <w:lang w:bidi="he-IL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As the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גמרא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explains later according to the one who maintains that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שור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refers to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קרן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and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מבעה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refers to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שן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>;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they do not have the same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קולא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-</w:t>
      </w:r>
      <w:r w:rsidR="00504DE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</w:p>
    <w:p w:rsidR="00213FBA" w:rsidRDefault="00E95E5A" w:rsidP="00213FBA">
      <w:pPr>
        <w:bidi/>
        <w:rPr>
          <w:rFonts w:ascii="David" w:hAnsi="David" w:cs="David"/>
          <w:b/>
          <w:bCs/>
          <w:sz w:val="28"/>
          <w:szCs w:val="28"/>
          <w:lang w:bidi="he-IL"/>
        </w:rPr>
      </w:pPr>
      <w:r w:rsidRPr="00213FBA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משום דשור כוונתו להזיק ומבעה אין כוונתו להזיק </w:t>
      </w:r>
      <w:r w:rsidR="00CE080B">
        <w:rPr>
          <w:rFonts w:ascii="David" w:hAnsi="David" w:cs="David" w:hint="cs"/>
          <w:b/>
          <w:bCs/>
          <w:sz w:val="28"/>
          <w:szCs w:val="28"/>
          <w:rtl/>
          <w:lang w:bidi="he-IL"/>
        </w:rPr>
        <w:t>-</w:t>
      </w:r>
    </w:p>
    <w:p w:rsidR="00482A13" w:rsidRPr="00482A13" w:rsidRDefault="00482A13" w:rsidP="00482A13">
      <w:pPr>
        <w:rPr>
          <w:rFonts w:asciiTheme="majorBidi" w:hAnsiTheme="majorBidi" w:cstheme="majorBidi"/>
          <w:sz w:val="24"/>
          <w:szCs w:val="24"/>
          <w:lang w:bidi="he-IL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Because by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שור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(which refers to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קרן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) 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his intent is to do damage 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(maliciously); </w:t>
      </w:r>
      <w:r w:rsidRPr="00482A13"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however by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מבעה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(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which refers to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שן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) the animal 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has no intent of doing damage 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(he is eating to satisfy his hunger; there is no malicious intent).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מבעה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has this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קולא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of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אין כוונתו להזיק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, that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שור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is lacking -</w:t>
      </w:r>
    </w:p>
    <w:p w:rsidR="00213FBA" w:rsidRDefault="00E95E5A" w:rsidP="00CE080B">
      <w:pPr>
        <w:bidi/>
        <w:rPr>
          <w:rFonts w:ascii="David" w:hAnsi="David" w:cs="David"/>
          <w:b/>
          <w:bCs/>
          <w:sz w:val="28"/>
          <w:szCs w:val="28"/>
          <w:lang w:bidi="he-IL"/>
        </w:rPr>
      </w:pPr>
      <w:r w:rsidRPr="00213FBA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ולפיכך אי כתב רחמנא שור לא אתי מבעה מיניה שהוא קל מיניה </w:t>
      </w:r>
      <w:r w:rsidR="00CE080B">
        <w:rPr>
          <w:rFonts w:ascii="David" w:hAnsi="David" w:cs="David" w:hint="cs"/>
          <w:b/>
          <w:bCs/>
          <w:sz w:val="28"/>
          <w:szCs w:val="28"/>
          <w:rtl/>
          <w:lang w:bidi="he-IL"/>
        </w:rPr>
        <w:t>-</w:t>
      </w:r>
    </w:p>
    <w:p w:rsidR="00482A13" w:rsidRDefault="00482A13" w:rsidP="00482A13">
      <w:pPr>
        <w:rPr>
          <w:rFonts w:asciiTheme="majorBidi" w:hAnsiTheme="majorBidi" w:cstheme="majorBidi"/>
          <w:sz w:val="24"/>
          <w:szCs w:val="24"/>
          <w:lang w:bidi="he-IL"/>
        </w:rPr>
      </w:pPr>
      <w:r w:rsidRPr="00482A13">
        <w:rPr>
          <w:rFonts w:asciiTheme="majorBidi" w:hAnsiTheme="majorBidi" w:cstheme="majorBidi"/>
          <w:b/>
          <w:bCs/>
          <w:sz w:val="28"/>
          <w:szCs w:val="28"/>
          <w:lang w:bidi="he-IL"/>
        </w:rPr>
        <w:t>So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therefore if the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תורה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would have 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(only) 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written </w:t>
      </w:r>
      <w:r w:rsidRPr="00482A13">
        <w:rPr>
          <w:rFonts w:asciiTheme="majorBidi" w:hAnsiTheme="majorBidi" w:cstheme="majorBidi"/>
          <w:sz w:val="28"/>
          <w:szCs w:val="28"/>
          <w:lang w:bidi="he-IL"/>
        </w:rPr>
        <w:t>that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שור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is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חייב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, 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we could not derive from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שור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that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מבעה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is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חייב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, 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since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מבעה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is milder </w:t>
      </w:r>
      <w:r w:rsidR="004B0880"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than </w:t>
      </w:r>
      <w:r w:rsidR="004B0880" w:rsidRPr="004B0880">
        <w:rPr>
          <w:rFonts w:asciiTheme="majorBidi" w:hAnsiTheme="majorBidi" w:cstheme="majorBidi" w:hint="cs"/>
          <w:sz w:val="24"/>
          <w:szCs w:val="24"/>
          <w:rtl/>
          <w:lang w:bidi="he-IL"/>
        </w:rPr>
        <w:t>שור</w:t>
      </w:r>
      <w:r w:rsidR="004B0880" w:rsidRPr="004B0880">
        <w:rPr>
          <w:rFonts w:asciiTheme="majorBidi" w:hAnsiTheme="majorBidi" w:cstheme="majorBidi"/>
          <w:sz w:val="24"/>
          <w:szCs w:val="24"/>
          <w:lang w:bidi="he-IL"/>
        </w:rPr>
        <w:t>;</w:t>
      </w:r>
      <w:r w:rsidR="004B0880">
        <w:rPr>
          <w:rFonts w:asciiTheme="majorBidi" w:hAnsiTheme="majorBidi" w:cstheme="majorBidi"/>
          <w:sz w:val="24"/>
          <w:szCs w:val="24"/>
          <w:lang w:bidi="he-IL"/>
        </w:rPr>
        <w:t xml:space="preserve"> for </w:t>
      </w:r>
      <w:r w:rsidR="004B0880">
        <w:rPr>
          <w:rFonts w:asciiTheme="majorBidi" w:hAnsiTheme="majorBidi" w:cstheme="majorBidi" w:hint="cs"/>
          <w:sz w:val="24"/>
          <w:szCs w:val="24"/>
          <w:rtl/>
          <w:lang w:bidi="he-IL"/>
        </w:rPr>
        <w:t>מבעה</w:t>
      </w:r>
      <w:r w:rsidR="004B0880">
        <w:rPr>
          <w:rFonts w:asciiTheme="majorBidi" w:hAnsiTheme="majorBidi" w:cstheme="majorBidi"/>
          <w:sz w:val="24"/>
          <w:szCs w:val="24"/>
          <w:lang w:bidi="he-IL"/>
        </w:rPr>
        <w:t xml:space="preserve"> is </w:t>
      </w:r>
      <w:r w:rsidR="004B0880">
        <w:rPr>
          <w:rFonts w:asciiTheme="majorBidi" w:hAnsiTheme="majorBidi" w:cstheme="majorBidi" w:hint="cs"/>
          <w:sz w:val="24"/>
          <w:szCs w:val="24"/>
          <w:rtl/>
          <w:lang w:bidi="he-IL"/>
        </w:rPr>
        <w:t>אין כוונתו להזיק</w:t>
      </w:r>
      <w:r w:rsidR="004B0880">
        <w:rPr>
          <w:rFonts w:asciiTheme="majorBidi" w:hAnsiTheme="majorBidi" w:cstheme="majorBidi"/>
          <w:sz w:val="24"/>
          <w:szCs w:val="24"/>
          <w:lang w:bidi="he-IL"/>
        </w:rPr>
        <w:t xml:space="preserve"> as opposed to </w:t>
      </w:r>
      <w:r w:rsidR="004B0880">
        <w:rPr>
          <w:rFonts w:asciiTheme="majorBidi" w:hAnsiTheme="majorBidi" w:cstheme="majorBidi" w:hint="cs"/>
          <w:sz w:val="24"/>
          <w:szCs w:val="24"/>
          <w:rtl/>
          <w:lang w:bidi="he-IL"/>
        </w:rPr>
        <w:t>שור</w:t>
      </w:r>
      <w:r w:rsidR="004B0880">
        <w:rPr>
          <w:rFonts w:asciiTheme="majorBidi" w:hAnsiTheme="majorBidi" w:cstheme="majorBidi"/>
          <w:sz w:val="24"/>
          <w:szCs w:val="24"/>
          <w:lang w:bidi="he-IL"/>
        </w:rPr>
        <w:t xml:space="preserve"> where it is </w:t>
      </w:r>
      <w:r w:rsidR="004B0880">
        <w:rPr>
          <w:rFonts w:asciiTheme="majorBidi" w:hAnsiTheme="majorBidi" w:cstheme="majorBidi" w:hint="cs"/>
          <w:sz w:val="24"/>
          <w:szCs w:val="24"/>
          <w:rtl/>
          <w:lang w:bidi="he-IL"/>
        </w:rPr>
        <w:t>כוונתו להזיק</w:t>
      </w:r>
      <w:r w:rsidR="004B0880">
        <w:rPr>
          <w:rFonts w:asciiTheme="majorBidi" w:hAnsiTheme="majorBidi" w:cstheme="majorBidi"/>
          <w:sz w:val="24"/>
          <w:szCs w:val="24"/>
          <w:lang w:bidi="he-IL"/>
        </w:rPr>
        <w:t xml:space="preserve">. We would have maintained that </w:t>
      </w:r>
      <w:r w:rsidR="004B0880">
        <w:rPr>
          <w:rFonts w:asciiTheme="majorBidi" w:hAnsiTheme="majorBidi" w:cstheme="majorBidi" w:hint="cs"/>
          <w:sz w:val="24"/>
          <w:szCs w:val="24"/>
          <w:rtl/>
          <w:lang w:bidi="he-IL"/>
        </w:rPr>
        <w:t>מבעה</w:t>
      </w:r>
      <w:r w:rsidR="004B0880">
        <w:rPr>
          <w:rFonts w:asciiTheme="majorBidi" w:hAnsiTheme="majorBidi" w:cstheme="majorBidi"/>
          <w:sz w:val="24"/>
          <w:szCs w:val="24"/>
          <w:lang w:bidi="he-IL"/>
        </w:rPr>
        <w:t xml:space="preserve"> is </w:t>
      </w:r>
      <w:r w:rsidR="004B0880">
        <w:rPr>
          <w:rFonts w:asciiTheme="majorBidi" w:hAnsiTheme="majorBidi" w:cstheme="majorBidi" w:hint="cs"/>
          <w:sz w:val="24"/>
          <w:szCs w:val="24"/>
          <w:rtl/>
          <w:lang w:bidi="he-IL"/>
        </w:rPr>
        <w:t>פטור</w:t>
      </w:r>
      <w:r w:rsidR="004B0880">
        <w:rPr>
          <w:rFonts w:asciiTheme="majorBidi" w:hAnsiTheme="majorBidi" w:cstheme="majorBidi"/>
          <w:sz w:val="24"/>
          <w:szCs w:val="24"/>
          <w:lang w:bidi="he-IL"/>
        </w:rPr>
        <w:t xml:space="preserve"> even if </w:t>
      </w:r>
      <w:r w:rsidR="004B0880">
        <w:rPr>
          <w:rFonts w:asciiTheme="majorBidi" w:hAnsiTheme="majorBidi" w:cstheme="majorBidi" w:hint="cs"/>
          <w:sz w:val="24"/>
          <w:szCs w:val="24"/>
          <w:rtl/>
          <w:lang w:bidi="he-IL"/>
        </w:rPr>
        <w:t>שור</w:t>
      </w:r>
      <w:r w:rsidR="004B0880">
        <w:rPr>
          <w:rFonts w:asciiTheme="majorBidi" w:hAnsiTheme="majorBidi" w:cstheme="majorBidi"/>
          <w:sz w:val="24"/>
          <w:szCs w:val="24"/>
          <w:lang w:bidi="he-IL"/>
        </w:rPr>
        <w:t xml:space="preserve"> is </w:t>
      </w:r>
      <w:r w:rsidR="004B0880">
        <w:rPr>
          <w:rFonts w:asciiTheme="majorBidi" w:hAnsiTheme="majorBidi" w:cstheme="majorBidi" w:hint="cs"/>
          <w:sz w:val="24"/>
          <w:szCs w:val="24"/>
          <w:rtl/>
          <w:lang w:bidi="he-IL"/>
        </w:rPr>
        <w:t>חייב</w:t>
      </w:r>
      <w:r w:rsidR="004B0880">
        <w:rPr>
          <w:rFonts w:asciiTheme="majorBidi" w:hAnsiTheme="majorBidi" w:cstheme="majorBidi"/>
          <w:sz w:val="24"/>
          <w:szCs w:val="24"/>
          <w:lang w:bidi="he-IL"/>
        </w:rPr>
        <w:t xml:space="preserve">. This is the meaning of </w:t>
      </w:r>
      <w:r w:rsidR="004B0880">
        <w:rPr>
          <w:rFonts w:asciiTheme="majorBidi" w:hAnsiTheme="majorBidi" w:cstheme="majorBidi" w:hint="cs"/>
          <w:sz w:val="24"/>
          <w:szCs w:val="24"/>
          <w:rtl/>
          <w:lang w:bidi="he-IL"/>
        </w:rPr>
        <w:t>לא הרי השור כהרי המבעה</w:t>
      </w:r>
      <w:r w:rsidR="004B0880">
        <w:rPr>
          <w:rFonts w:asciiTheme="majorBidi" w:hAnsiTheme="majorBidi" w:cstheme="majorBidi"/>
          <w:sz w:val="24"/>
          <w:szCs w:val="24"/>
          <w:lang w:bidi="he-IL"/>
        </w:rPr>
        <w:t>.</w:t>
      </w:r>
    </w:p>
    <w:p w:rsidR="004B0880" w:rsidRDefault="004B0880" w:rsidP="00482A13">
      <w:pPr>
        <w:rPr>
          <w:rFonts w:asciiTheme="majorBidi" w:hAnsiTheme="majorBidi" w:cstheme="majorBidi"/>
          <w:sz w:val="24"/>
          <w:szCs w:val="24"/>
          <w:lang w:bidi="he-IL"/>
        </w:rPr>
      </w:pPr>
    </w:p>
    <w:p w:rsidR="004B0880" w:rsidRPr="004B0880" w:rsidRDefault="004B0880" w:rsidP="00482A13">
      <w:pPr>
        <w:rPr>
          <w:rFonts w:asciiTheme="majorBidi" w:hAnsiTheme="majorBidi" w:cstheme="majorBidi"/>
          <w:sz w:val="24"/>
          <w:szCs w:val="24"/>
          <w:lang w:bidi="he-IL"/>
        </w:rPr>
      </w:pP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תוספות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tells us the interpretation which he is negating:</w:t>
      </w:r>
    </w:p>
    <w:p w:rsidR="00213FBA" w:rsidRDefault="00E95E5A" w:rsidP="00213FBA">
      <w:pPr>
        <w:bidi/>
        <w:rPr>
          <w:rFonts w:ascii="David" w:hAnsi="David" w:cs="David"/>
          <w:b/>
          <w:bCs/>
          <w:sz w:val="28"/>
          <w:szCs w:val="28"/>
          <w:lang w:bidi="he-IL"/>
        </w:rPr>
      </w:pPr>
      <w:r w:rsidRPr="00213FBA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ואין פירושו כשאר מקומות שבתלמוד לא ראי זה </w:t>
      </w:r>
      <w:r w:rsidR="00CE080B">
        <w:rPr>
          <w:rFonts w:ascii="David" w:hAnsi="David" w:cs="David" w:hint="cs"/>
          <w:b/>
          <w:bCs/>
          <w:sz w:val="28"/>
          <w:szCs w:val="28"/>
          <w:rtl/>
          <w:lang w:bidi="he-IL"/>
        </w:rPr>
        <w:t>-</w:t>
      </w:r>
    </w:p>
    <w:p w:rsidR="004B0880" w:rsidRPr="004B0880" w:rsidRDefault="004B0880" w:rsidP="004B0880">
      <w:pPr>
        <w:rPr>
          <w:rFonts w:asciiTheme="majorBidi" w:hAnsiTheme="majorBidi" w:cstheme="majorBidi"/>
          <w:sz w:val="24"/>
          <w:szCs w:val="24"/>
          <w:lang w:bidi="he-IL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And the explanation 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of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לא הרי וכו'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here 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is not like in the other places in the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תלמוד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where the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גמרא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uses the phrase ‘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>this is not comparable’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, </w:t>
      </w:r>
      <w:r>
        <w:rPr>
          <w:rFonts w:asciiTheme="majorBidi" w:hAnsiTheme="majorBidi" w:cstheme="majorBidi"/>
          <w:sz w:val="24"/>
          <w:szCs w:val="24"/>
          <w:lang w:bidi="he-IL"/>
        </w:rPr>
        <w:t>etc. -</w:t>
      </w:r>
    </w:p>
    <w:p w:rsidR="00213FBA" w:rsidRDefault="00E95E5A" w:rsidP="00CE080B">
      <w:pPr>
        <w:bidi/>
        <w:rPr>
          <w:rFonts w:ascii="David" w:hAnsi="David" w:cs="David"/>
          <w:b/>
          <w:bCs/>
          <w:sz w:val="28"/>
          <w:szCs w:val="28"/>
          <w:lang w:bidi="he-IL"/>
        </w:rPr>
      </w:pPr>
      <w:r w:rsidRPr="00213FBA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דהתם פירושו אין חומרא של זה כחומרא של זה ולכך אין החומרות גורמות זה הדין </w:t>
      </w:r>
      <w:r w:rsidR="00CE080B">
        <w:rPr>
          <w:rFonts w:ascii="David" w:hAnsi="David" w:cs="David" w:hint="cs"/>
          <w:b/>
          <w:bCs/>
          <w:sz w:val="28"/>
          <w:szCs w:val="28"/>
          <w:rtl/>
          <w:lang w:bidi="he-IL"/>
        </w:rPr>
        <w:t>-</w:t>
      </w:r>
    </w:p>
    <w:p w:rsidR="004B0880" w:rsidRPr="004B0880" w:rsidRDefault="004B0880" w:rsidP="004B0880">
      <w:pPr>
        <w:rPr>
          <w:rFonts w:asciiTheme="majorBidi" w:hAnsiTheme="majorBidi" w:cstheme="majorBidi"/>
          <w:sz w:val="24"/>
          <w:szCs w:val="24"/>
          <w:lang w:bidi="he-IL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For there 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(elsewhere) 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the interpretation 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of the phrase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'לא ראי זה'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means that the severity of this one 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(A) 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is not 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similar 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to the severity of the other </w:t>
      </w:r>
      <w:r>
        <w:rPr>
          <w:rFonts w:asciiTheme="majorBidi" w:hAnsiTheme="majorBidi" w:cstheme="majorBidi"/>
          <w:sz w:val="28"/>
          <w:szCs w:val="28"/>
          <w:lang w:bidi="he-IL"/>
        </w:rPr>
        <w:t>(B), and vice versa; A is lacking the severity factor that B possesses, and nevertheless the rule that applies to B, applies to A as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well (and the converse is also true). 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Therefore </w:t>
      </w:r>
      <w:r w:rsidRPr="004B0880">
        <w:rPr>
          <w:rFonts w:asciiTheme="majorBidi" w:hAnsiTheme="majorBidi" w:cstheme="majorBidi"/>
          <w:sz w:val="28"/>
          <w:szCs w:val="28"/>
          <w:lang w:bidi="he-IL"/>
        </w:rPr>
        <w:t xml:space="preserve">we can understand 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that it is not the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חומרות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(of A or B) 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that cause this law 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(since A is lacking the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חומרא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of B and vice versa)</w:t>
      </w:r>
      <w:r>
        <w:rPr>
          <w:rStyle w:val="FootnoteReference"/>
          <w:rFonts w:asciiTheme="majorBidi" w:hAnsiTheme="majorBidi" w:cstheme="majorBidi"/>
          <w:sz w:val="24"/>
          <w:szCs w:val="24"/>
          <w:lang w:bidi="he-IL"/>
        </w:rPr>
        <w:footnoteReference w:id="9"/>
      </w:r>
      <w:r w:rsidR="00084E36">
        <w:rPr>
          <w:rFonts w:asciiTheme="majorBidi" w:hAnsiTheme="majorBidi" w:cstheme="majorBidi"/>
          <w:sz w:val="24"/>
          <w:szCs w:val="24"/>
          <w:lang w:bidi="he-IL"/>
        </w:rPr>
        <w:t xml:space="preserve"> -</w:t>
      </w:r>
    </w:p>
    <w:p w:rsidR="00213FBA" w:rsidRDefault="00E95E5A" w:rsidP="00213FBA">
      <w:pPr>
        <w:bidi/>
        <w:rPr>
          <w:rFonts w:ascii="David" w:hAnsi="David" w:cs="David"/>
          <w:b/>
          <w:bCs/>
          <w:sz w:val="28"/>
          <w:szCs w:val="28"/>
          <w:lang w:bidi="he-IL"/>
        </w:rPr>
      </w:pPr>
      <w:r w:rsidRPr="00213FBA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אלא הצד השוה שבהן גורם הדין </w:t>
      </w:r>
      <w:r w:rsidR="00CE080B">
        <w:rPr>
          <w:rFonts w:ascii="David" w:hAnsi="David" w:cs="David" w:hint="cs"/>
          <w:b/>
          <w:bCs/>
          <w:sz w:val="28"/>
          <w:szCs w:val="28"/>
          <w:rtl/>
          <w:lang w:bidi="he-IL"/>
        </w:rPr>
        <w:t>-</w:t>
      </w:r>
    </w:p>
    <w:p w:rsidR="00084E36" w:rsidRDefault="00084E36" w:rsidP="00084E36">
      <w:pPr>
        <w:rPr>
          <w:rFonts w:asciiTheme="majorBidi" w:hAnsiTheme="majorBidi" w:cstheme="majorBidi"/>
          <w:sz w:val="24"/>
          <w:szCs w:val="24"/>
          <w:lang w:bidi="he-IL"/>
        </w:rPr>
      </w:pPr>
      <w:r w:rsidRPr="00084E36"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But 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>rather it is their common factor that causes this law.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In the phrase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 xml:space="preserve">לא ראי זה </w:t>
      </w:r>
      <w:r w:rsidR="00504DE1">
        <w:rPr>
          <w:rFonts w:asciiTheme="majorBidi" w:hAnsiTheme="majorBidi" w:cstheme="majorBidi" w:hint="cs"/>
          <w:sz w:val="24"/>
          <w:szCs w:val="24"/>
          <w:rtl/>
          <w:lang w:bidi="he-IL"/>
        </w:rPr>
        <w:t>כראי זה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 xml:space="preserve"> וכו'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, </w:t>
      </w:r>
      <w:r w:rsidR="00504DE1">
        <w:rPr>
          <w:rFonts w:asciiTheme="majorBidi" w:hAnsiTheme="majorBidi" w:cstheme="majorBidi"/>
          <w:sz w:val="24"/>
          <w:szCs w:val="24"/>
          <w:lang w:bidi="he-IL"/>
        </w:rPr>
        <w:t>w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e are discussing the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חומרות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of the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צד השוה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; however here we are discussing the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קולות</w:t>
      </w:r>
      <w:r>
        <w:rPr>
          <w:rFonts w:asciiTheme="majorBidi" w:hAnsiTheme="majorBidi" w:cstheme="majorBidi"/>
          <w:sz w:val="24"/>
          <w:szCs w:val="24"/>
          <w:lang w:bidi="he-IL"/>
        </w:rPr>
        <w:t>.</w:t>
      </w:r>
    </w:p>
    <w:p w:rsidR="00084E36" w:rsidRDefault="00084E36" w:rsidP="00084E36">
      <w:pPr>
        <w:rPr>
          <w:rFonts w:asciiTheme="majorBidi" w:hAnsiTheme="majorBidi" w:cstheme="majorBidi"/>
          <w:sz w:val="24"/>
          <w:szCs w:val="24"/>
          <w:lang w:bidi="he-IL"/>
        </w:rPr>
      </w:pPr>
    </w:p>
    <w:p w:rsidR="00084E36" w:rsidRPr="00084E36" w:rsidRDefault="00084E36" w:rsidP="00504DE1">
      <w:pPr>
        <w:widowControl w:val="0"/>
        <w:rPr>
          <w:rFonts w:asciiTheme="majorBidi" w:hAnsiTheme="majorBidi" w:cstheme="majorBidi"/>
          <w:sz w:val="24"/>
          <w:szCs w:val="24"/>
          <w:lang w:bidi="he-IL"/>
        </w:rPr>
      </w:pPr>
      <w:r>
        <w:rPr>
          <w:rFonts w:asciiTheme="majorBidi" w:hAnsiTheme="majorBidi" w:cstheme="majorBidi" w:hint="cs"/>
          <w:sz w:val="24"/>
          <w:szCs w:val="24"/>
          <w:rtl/>
          <w:lang w:bidi="he-IL"/>
        </w:rPr>
        <w:lastRenderedPageBreak/>
        <w:t>תוספות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anticipates a question and resolves it: </w:t>
      </w:r>
    </w:p>
    <w:p w:rsidR="00213FBA" w:rsidRDefault="00E95E5A" w:rsidP="00CE080B">
      <w:pPr>
        <w:widowControl w:val="0"/>
        <w:bidi/>
        <w:rPr>
          <w:rFonts w:ascii="David" w:hAnsi="David" w:cs="David"/>
          <w:b/>
          <w:bCs/>
          <w:sz w:val="28"/>
          <w:szCs w:val="28"/>
          <w:lang w:bidi="he-IL"/>
        </w:rPr>
      </w:pPr>
      <w:r w:rsidRPr="00213FBA">
        <w:rPr>
          <w:rFonts w:ascii="David" w:hAnsi="David" w:cs="David"/>
          <w:b/>
          <w:bCs/>
          <w:sz w:val="28"/>
          <w:szCs w:val="28"/>
          <w:rtl/>
          <w:lang w:bidi="he-IL"/>
        </w:rPr>
        <w:t>ושינה כאן התלמוד</w:t>
      </w:r>
      <w:r w:rsidR="00084E36">
        <w:rPr>
          <w:rStyle w:val="FootnoteReference"/>
          <w:rFonts w:ascii="David" w:hAnsi="David" w:cs="David"/>
          <w:b/>
          <w:bCs/>
          <w:sz w:val="28"/>
          <w:szCs w:val="28"/>
          <w:rtl/>
          <w:lang w:bidi="he-IL"/>
        </w:rPr>
        <w:footnoteReference w:id="10"/>
      </w:r>
      <w:r w:rsidRPr="00213FBA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פירושו מבשאר מקומות</w:t>
      </w:r>
      <w:r w:rsidR="00F06E89" w:rsidRPr="00F06E89">
        <w:rPr>
          <w:rStyle w:val="FootnoteReference"/>
          <w:rFonts w:ascii="David" w:hAnsi="David" w:cs="David"/>
          <w:b/>
          <w:bCs/>
          <w:sz w:val="28"/>
          <w:szCs w:val="28"/>
          <w:lang w:bidi="he-IL"/>
        </w:rPr>
        <w:footnoteReference w:id="11"/>
      </w:r>
      <w:r w:rsidRPr="00213FBA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</w:t>
      </w:r>
      <w:r w:rsidR="00CE080B">
        <w:rPr>
          <w:rFonts w:ascii="David" w:hAnsi="David" w:cs="David" w:hint="cs"/>
          <w:b/>
          <w:bCs/>
          <w:sz w:val="28"/>
          <w:szCs w:val="28"/>
          <w:rtl/>
          <w:lang w:bidi="he-IL"/>
        </w:rPr>
        <w:t>-</w:t>
      </w:r>
    </w:p>
    <w:p w:rsidR="00084E36" w:rsidRPr="00084E36" w:rsidRDefault="00084E36" w:rsidP="00F06E89">
      <w:pPr>
        <w:widowControl w:val="0"/>
        <w:rPr>
          <w:rFonts w:asciiTheme="majorBidi" w:hAnsiTheme="majorBidi" w:cstheme="majorBidi"/>
          <w:b/>
          <w:bCs/>
          <w:sz w:val="28"/>
          <w:szCs w:val="28"/>
          <w:lang w:bidi="he-IL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And 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the reason 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the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גמרא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here changes its usage 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of the phrase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לא הרי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>from all other places is -</w:t>
      </w:r>
    </w:p>
    <w:p w:rsidR="005139AD" w:rsidRDefault="00E95E5A" w:rsidP="00213FBA">
      <w:pPr>
        <w:bidi/>
        <w:rPr>
          <w:rFonts w:ascii="David" w:hAnsi="David" w:cs="David"/>
          <w:b/>
          <w:bCs/>
          <w:sz w:val="28"/>
          <w:szCs w:val="28"/>
        </w:rPr>
      </w:pPr>
      <w:r w:rsidRPr="00213FBA">
        <w:rPr>
          <w:rFonts w:ascii="David" w:hAnsi="David" w:cs="David"/>
          <w:b/>
          <w:bCs/>
          <w:sz w:val="28"/>
          <w:szCs w:val="28"/>
          <w:rtl/>
          <w:lang w:bidi="he-IL"/>
        </w:rPr>
        <w:t>משום דהזכיר החמור תחילה בלא זה וזה שיש בהן רוח חיים</w:t>
      </w:r>
      <w:r w:rsidRPr="00213FBA">
        <w:rPr>
          <w:rFonts w:ascii="David" w:hAnsi="David" w:cs="David"/>
          <w:b/>
          <w:bCs/>
          <w:sz w:val="28"/>
          <w:szCs w:val="28"/>
        </w:rPr>
        <w:t>:</w:t>
      </w:r>
    </w:p>
    <w:p w:rsidR="007037BB" w:rsidRPr="007037BB" w:rsidRDefault="007037BB" w:rsidP="008C4ACB">
      <w:pPr>
        <w:rPr>
          <w:rFonts w:asciiTheme="majorBidi" w:hAnsiTheme="majorBidi" w:cstheme="majorBidi"/>
          <w:sz w:val="24"/>
          <w:szCs w:val="24"/>
          <w:lang w:bidi="he-IL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Because </w:t>
      </w:r>
      <w:r>
        <w:rPr>
          <w:rFonts w:asciiTheme="majorBidi" w:hAnsiTheme="majorBidi" w:cstheme="majorBidi"/>
          <w:sz w:val="28"/>
          <w:szCs w:val="28"/>
        </w:rPr>
        <w:t xml:space="preserve">the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משנה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mentioned the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חמור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first 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in the case of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ולא זה וזה שיש בהם רוח חיים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as opposed to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אש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which has no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רוח חיים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; and therefore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אש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cannot be derived from the previous two (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שור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and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מבעה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). The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משנה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made it clear in this latter case</w:t>
      </w:r>
      <w:r w:rsidR="008C4ACB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he-IL"/>
        </w:rPr>
        <w:t>th</w:t>
      </w:r>
      <w:r w:rsidR="008C4ACB">
        <w:rPr>
          <w:rFonts w:asciiTheme="majorBidi" w:hAnsiTheme="majorBidi" w:cstheme="majorBidi"/>
          <w:sz w:val="24"/>
          <w:szCs w:val="24"/>
          <w:lang w:bidi="he-IL"/>
        </w:rPr>
        <w:t>at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we cannot derive the second (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אש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) from the first (two,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שור ומבעה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); the same pattern must also exist in the first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לא הרי השור כהרי המבעה</w:t>
      </w:r>
      <w:r w:rsidR="004E3CE9">
        <w:rPr>
          <w:rFonts w:asciiTheme="majorBidi" w:hAnsiTheme="majorBidi" w:cstheme="majorBidi"/>
          <w:sz w:val="24"/>
          <w:szCs w:val="24"/>
          <w:lang w:bidi="he-IL"/>
        </w:rPr>
        <w:t xml:space="preserve"> that we cannot derive the second (</w:t>
      </w:r>
      <w:r w:rsidR="004E3CE9">
        <w:rPr>
          <w:rFonts w:asciiTheme="majorBidi" w:hAnsiTheme="majorBidi" w:cstheme="majorBidi" w:hint="cs"/>
          <w:sz w:val="24"/>
          <w:szCs w:val="24"/>
          <w:rtl/>
          <w:lang w:bidi="he-IL"/>
        </w:rPr>
        <w:t>מבעה</w:t>
      </w:r>
      <w:r w:rsidR="004E3CE9">
        <w:rPr>
          <w:rFonts w:asciiTheme="majorBidi" w:hAnsiTheme="majorBidi" w:cstheme="majorBidi"/>
          <w:sz w:val="24"/>
          <w:szCs w:val="24"/>
          <w:lang w:bidi="he-IL"/>
        </w:rPr>
        <w:t>) from the first (</w:t>
      </w:r>
      <w:r w:rsidR="004E3CE9">
        <w:rPr>
          <w:rFonts w:asciiTheme="majorBidi" w:hAnsiTheme="majorBidi" w:cstheme="majorBidi" w:hint="cs"/>
          <w:sz w:val="24"/>
          <w:szCs w:val="24"/>
          <w:rtl/>
          <w:lang w:bidi="he-IL"/>
        </w:rPr>
        <w:t>שור</w:t>
      </w:r>
      <w:r w:rsidR="004E3CE9">
        <w:rPr>
          <w:rFonts w:asciiTheme="majorBidi" w:hAnsiTheme="majorBidi" w:cstheme="majorBidi"/>
          <w:sz w:val="24"/>
          <w:szCs w:val="24"/>
          <w:lang w:bidi="he-IL"/>
        </w:rPr>
        <w:t xml:space="preserve">), The reason must be that </w:t>
      </w:r>
      <w:r w:rsidR="004E3CE9">
        <w:rPr>
          <w:rFonts w:asciiTheme="majorBidi" w:hAnsiTheme="majorBidi" w:cstheme="majorBidi" w:hint="cs"/>
          <w:sz w:val="24"/>
          <w:szCs w:val="24"/>
          <w:rtl/>
          <w:lang w:bidi="he-IL"/>
        </w:rPr>
        <w:t>שור</w:t>
      </w:r>
      <w:r w:rsidR="004E3CE9">
        <w:rPr>
          <w:rFonts w:asciiTheme="majorBidi" w:hAnsiTheme="majorBidi" w:cstheme="majorBidi"/>
          <w:sz w:val="24"/>
          <w:szCs w:val="24"/>
          <w:lang w:bidi="he-IL"/>
        </w:rPr>
        <w:t xml:space="preserve"> is more </w:t>
      </w:r>
      <w:r w:rsidR="004E3CE9">
        <w:rPr>
          <w:rFonts w:asciiTheme="majorBidi" w:hAnsiTheme="majorBidi" w:cstheme="majorBidi" w:hint="cs"/>
          <w:sz w:val="24"/>
          <w:szCs w:val="24"/>
          <w:rtl/>
          <w:lang w:bidi="he-IL"/>
        </w:rPr>
        <w:t>חמור</w:t>
      </w:r>
      <w:r w:rsidR="004E3CE9">
        <w:rPr>
          <w:rFonts w:asciiTheme="majorBidi" w:hAnsiTheme="majorBidi" w:cstheme="majorBidi"/>
          <w:sz w:val="24"/>
          <w:szCs w:val="24"/>
          <w:lang w:bidi="he-IL"/>
        </w:rPr>
        <w:t xml:space="preserve"> than </w:t>
      </w:r>
      <w:r w:rsidR="004E3CE9">
        <w:rPr>
          <w:rFonts w:asciiTheme="majorBidi" w:hAnsiTheme="majorBidi" w:cstheme="majorBidi" w:hint="cs"/>
          <w:sz w:val="24"/>
          <w:szCs w:val="24"/>
          <w:rtl/>
          <w:lang w:bidi="he-IL"/>
        </w:rPr>
        <w:t>מבעה</w:t>
      </w:r>
      <w:r w:rsidR="004E3CE9">
        <w:rPr>
          <w:rFonts w:asciiTheme="majorBidi" w:hAnsiTheme="majorBidi" w:cstheme="majorBidi"/>
          <w:sz w:val="24"/>
          <w:szCs w:val="24"/>
          <w:lang w:bidi="he-IL"/>
        </w:rPr>
        <w:t xml:space="preserve">; meaning that </w:t>
      </w:r>
      <w:r w:rsidR="004E3CE9">
        <w:rPr>
          <w:rFonts w:asciiTheme="majorBidi" w:hAnsiTheme="majorBidi" w:cstheme="majorBidi" w:hint="cs"/>
          <w:sz w:val="24"/>
          <w:szCs w:val="24"/>
          <w:rtl/>
          <w:lang w:bidi="he-IL"/>
        </w:rPr>
        <w:t>מבעה</w:t>
      </w:r>
      <w:r w:rsidR="004E3CE9">
        <w:rPr>
          <w:rFonts w:asciiTheme="majorBidi" w:hAnsiTheme="majorBidi" w:cstheme="majorBidi"/>
          <w:sz w:val="24"/>
          <w:szCs w:val="24"/>
          <w:lang w:bidi="he-IL"/>
        </w:rPr>
        <w:t xml:space="preserve"> has a </w:t>
      </w:r>
      <w:r w:rsidR="004E3CE9">
        <w:rPr>
          <w:rFonts w:asciiTheme="majorBidi" w:hAnsiTheme="majorBidi" w:cstheme="majorBidi" w:hint="cs"/>
          <w:sz w:val="24"/>
          <w:szCs w:val="24"/>
          <w:rtl/>
          <w:lang w:bidi="he-IL"/>
        </w:rPr>
        <w:t>קולא</w:t>
      </w:r>
      <w:r w:rsidR="004E3CE9">
        <w:rPr>
          <w:rFonts w:asciiTheme="majorBidi" w:hAnsiTheme="majorBidi" w:cstheme="majorBidi"/>
          <w:sz w:val="24"/>
          <w:szCs w:val="24"/>
          <w:lang w:bidi="he-IL"/>
        </w:rPr>
        <w:t xml:space="preserve"> which </w:t>
      </w:r>
      <w:r w:rsidR="004E3CE9">
        <w:rPr>
          <w:rFonts w:asciiTheme="majorBidi" w:hAnsiTheme="majorBidi" w:cstheme="majorBidi" w:hint="cs"/>
          <w:sz w:val="24"/>
          <w:szCs w:val="24"/>
          <w:rtl/>
          <w:lang w:bidi="he-IL"/>
        </w:rPr>
        <w:t>שור</w:t>
      </w:r>
      <w:r w:rsidR="004E3CE9">
        <w:rPr>
          <w:rFonts w:asciiTheme="majorBidi" w:hAnsiTheme="majorBidi" w:cstheme="majorBidi"/>
          <w:sz w:val="24"/>
          <w:szCs w:val="24"/>
          <w:lang w:bidi="he-IL"/>
        </w:rPr>
        <w:t xml:space="preserve"> is lacking.</w:t>
      </w:r>
    </w:p>
    <w:p w:rsidR="008046D1" w:rsidRPr="008C4ACB" w:rsidRDefault="008046D1" w:rsidP="008046D1">
      <w:pPr>
        <w:bidi/>
        <w:rPr>
          <w:rFonts w:ascii="David" w:hAnsi="David" w:cs="David"/>
          <w:b/>
          <w:bCs/>
          <w:sz w:val="24"/>
          <w:szCs w:val="24"/>
        </w:rPr>
      </w:pPr>
    </w:p>
    <w:p w:rsidR="008046D1" w:rsidRPr="008046D1" w:rsidRDefault="008046D1" w:rsidP="008046D1">
      <w:pPr>
        <w:rPr>
          <w:rFonts w:ascii="Copperplate Gothic Bold" w:hAnsi="Copperplate Gothic Bold" w:cstheme="majorBidi"/>
          <w:sz w:val="28"/>
          <w:szCs w:val="28"/>
          <w:u w:val="double"/>
        </w:rPr>
      </w:pPr>
      <w:r w:rsidRPr="008046D1">
        <w:rPr>
          <w:rFonts w:ascii="Copperplate Gothic Bold" w:hAnsi="Copperplate Gothic Bold" w:cstheme="majorBidi"/>
          <w:sz w:val="28"/>
          <w:szCs w:val="28"/>
          <w:u w:val="double"/>
        </w:rPr>
        <w:t>Summary</w:t>
      </w:r>
    </w:p>
    <w:p w:rsidR="008046D1" w:rsidRDefault="008C4ACB" w:rsidP="008C4ACB">
      <w:pPr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</w:rPr>
        <w:t xml:space="preserve">In our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משנה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the term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לא הרי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means we cannot derive the second from the first because the second is more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קל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than the first. In a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צד השוה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the term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לא ראי זה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means that the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חומרא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of the second is not the cause for the rule since the first does not possess it.</w:t>
      </w:r>
    </w:p>
    <w:p w:rsidR="008046D1" w:rsidRPr="008C4ACB" w:rsidRDefault="008046D1" w:rsidP="008046D1">
      <w:pPr>
        <w:rPr>
          <w:rFonts w:asciiTheme="majorBidi" w:hAnsiTheme="majorBidi" w:cstheme="majorBidi"/>
          <w:sz w:val="24"/>
          <w:szCs w:val="24"/>
          <w:lang w:bidi="he-IL"/>
        </w:rPr>
      </w:pPr>
    </w:p>
    <w:p w:rsidR="008046D1" w:rsidRPr="008046D1" w:rsidRDefault="008046D1" w:rsidP="008046D1">
      <w:pPr>
        <w:rPr>
          <w:rFonts w:ascii="Copperplate Gothic Bold" w:hAnsi="Copperplate Gothic Bold" w:cstheme="majorBidi"/>
          <w:sz w:val="28"/>
          <w:szCs w:val="28"/>
          <w:u w:val="double"/>
        </w:rPr>
      </w:pPr>
      <w:r w:rsidRPr="008046D1">
        <w:rPr>
          <w:rFonts w:ascii="Copperplate Gothic Bold" w:hAnsi="Copperplate Gothic Bold" w:cstheme="majorBidi"/>
          <w:sz w:val="28"/>
          <w:szCs w:val="28"/>
          <w:u w:val="double"/>
        </w:rPr>
        <w:t>Thinking it over</w:t>
      </w:r>
    </w:p>
    <w:p w:rsidR="008046D1" w:rsidRPr="008046D1" w:rsidRDefault="008C4ACB" w:rsidP="008C4ACB">
      <w:pPr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</w:rPr>
        <w:t xml:space="preserve">Why did not the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משנה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state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ולא הרי האש שאין בו רוח חיים כהרי אלו שיש בהם רוח חיים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, and then we could interpret this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לא הרי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concerning the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חומרות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like all the other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לא ראי זה כראי זה</w:t>
      </w:r>
      <w:r>
        <w:rPr>
          <w:rFonts w:asciiTheme="majorBidi" w:hAnsiTheme="majorBidi" w:cstheme="majorBidi"/>
          <w:sz w:val="28"/>
          <w:szCs w:val="28"/>
          <w:lang w:bidi="he-IL"/>
        </w:rPr>
        <w:t>?</w:t>
      </w:r>
      <w:r>
        <w:rPr>
          <w:rStyle w:val="FootnoteReference"/>
          <w:rFonts w:asciiTheme="majorBidi" w:hAnsiTheme="majorBidi" w:cstheme="majorBidi"/>
          <w:sz w:val="28"/>
          <w:szCs w:val="28"/>
          <w:lang w:bidi="he-IL"/>
        </w:rPr>
        <w:footnoteReference w:id="12"/>
      </w:r>
    </w:p>
    <w:sectPr w:rsidR="008046D1" w:rsidRPr="008046D1" w:rsidSect="00642F8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4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84B" w:rsidRDefault="00D8684B" w:rsidP="008046D1">
      <w:pPr>
        <w:spacing w:line="240" w:lineRule="auto"/>
      </w:pPr>
      <w:r>
        <w:separator/>
      </w:r>
    </w:p>
  </w:endnote>
  <w:endnote w:type="continuationSeparator" w:id="0">
    <w:p w:rsidR="00D8684B" w:rsidRDefault="00D8684B" w:rsidP="008046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32944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37BB" w:rsidRDefault="007037BB">
        <w:pPr>
          <w:pStyle w:val="Footer"/>
          <w:jc w:val="center"/>
          <w:rPr>
            <w:noProof/>
            <w:sz w:val="16"/>
            <w:szCs w:val="16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080B">
          <w:rPr>
            <w:noProof/>
          </w:rPr>
          <w:t>3</w:t>
        </w:r>
        <w:r>
          <w:rPr>
            <w:noProof/>
          </w:rPr>
          <w:fldChar w:fldCharType="end"/>
        </w:r>
      </w:p>
      <w:p w:rsidR="007037BB" w:rsidRDefault="007037BB">
        <w:pPr>
          <w:pStyle w:val="Footer"/>
          <w:jc w:val="center"/>
        </w:pPr>
        <w:r>
          <w:rPr>
            <w:noProof/>
            <w:sz w:val="16"/>
            <w:szCs w:val="16"/>
          </w:rPr>
          <w:t>TosfosInEnglish.com</w:t>
        </w:r>
      </w:p>
    </w:sdtContent>
  </w:sdt>
  <w:p w:rsidR="007037BB" w:rsidRDefault="007037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84B" w:rsidRDefault="00D8684B" w:rsidP="008046D1">
      <w:pPr>
        <w:spacing w:line="240" w:lineRule="auto"/>
      </w:pPr>
      <w:r>
        <w:separator/>
      </w:r>
    </w:p>
  </w:footnote>
  <w:footnote w:type="continuationSeparator" w:id="0">
    <w:p w:rsidR="00D8684B" w:rsidRDefault="00D8684B" w:rsidP="008046D1">
      <w:pPr>
        <w:spacing w:line="240" w:lineRule="auto"/>
      </w:pPr>
      <w:r>
        <w:continuationSeparator/>
      </w:r>
    </w:p>
  </w:footnote>
  <w:footnote w:id="1">
    <w:p w:rsidR="007037BB" w:rsidRPr="00016E9A" w:rsidRDefault="007037BB" w:rsidP="00504DE1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A lacks factor </w:t>
      </w:r>
      <w:r>
        <w:rPr>
          <w:i/>
          <w:iCs/>
        </w:rPr>
        <w:t>b</w:t>
      </w:r>
      <w:r>
        <w:t xml:space="preserve">, the </w:t>
      </w:r>
      <w:r>
        <w:rPr>
          <w:rFonts w:hint="cs"/>
          <w:rtl/>
          <w:lang w:bidi="he-IL"/>
        </w:rPr>
        <w:t>חומרא</w:t>
      </w:r>
      <w:r>
        <w:rPr>
          <w:lang w:bidi="he-IL"/>
        </w:rPr>
        <w:t xml:space="preserve"> and seeming cause of rule X by B, and nevertheless rule X applies to A.</w:t>
      </w:r>
    </w:p>
  </w:footnote>
  <w:footnote w:id="2">
    <w:p w:rsidR="007037BB" w:rsidRPr="00016E9A" w:rsidRDefault="007037BB" w:rsidP="00504DE1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B lacks factor </w:t>
      </w:r>
      <w:r>
        <w:rPr>
          <w:i/>
          <w:iCs/>
        </w:rPr>
        <w:t>a</w:t>
      </w:r>
      <w:r w:rsidR="00504DE1">
        <w:rPr>
          <w:i/>
          <w:iCs/>
        </w:rPr>
        <w:t>,</w:t>
      </w:r>
      <w:r>
        <w:t xml:space="preserve"> the </w:t>
      </w:r>
      <w:r>
        <w:rPr>
          <w:rFonts w:hint="cs"/>
          <w:rtl/>
          <w:lang w:bidi="he-IL"/>
        </w:rPr>
        <w:t>חומרא</w:t>
      </w:r>
      <w:r>
        <w:rPr>
          <w:lang w:bidi="he-IL"/>
        </w:rPr>
        <w:t xml:space="preserve"> and seeming cause of rule X by A, and nevertheless rule X applies to B.</w:t>
      </w:r>
    </w:p>
  </w:footnote>
  <w:footnote w:id="3">
    <w:p w:rsidR="007037BB" w:rsidRDefault="007037BB" w:rsidP="00504DE1">
      <w:pPr>
        <w:pStyle w:val="FootnoteText"/>
        <w:spacing w:line="264" w:lineRule="auto"/>
        <w:rPr>
          <w:rtl/>
          <w:lang w:bidi="he-IL"/>
        </w:rPr>
      </w:pPr>
      <w:r>
        <w:rPr>
          <w:rStyle w:val="FootnoteReference"/>
        </w:rPr>
        <w:footnoteRef/>
      </w:r>
      <w:r>
        <w:t xml:space="preserve"> According to this understanding,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is teaching us that since </w:t>
      </w:r>
      <w:r>
        <w:rPr>
          <w:rFonts w:hint="cs"/>
          <w:rtl/>
          <w:lang w:bidi="he-IL"/>
        </w:rPr>
        <w:t>שור</w:t>
      </w:r>
      <w:r>
        <w:rPr>
          <w:lang w:bidi="he-IL"/>
        </w:rPr>
        <w:t xml:space="preserve"> is lacking the </w:t>
      </w:r>
      <w:r>
        <w:rPr>
          <w:rFonts w:hint="cs"/>
          <w:rtl/>
          <w:lang w:bidi="he-IL"/>
        </w:rPr>
        <w:t>חומרא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מבעה</w:t>
      </w:r>
      <w:r>
        <w:rPr>
          <w:lang w:bidi="he-IL"/>
        </w:rPr>
        <w:t xml:space="preserve"> (where </w:t>
      </w:r>
      <w:r>
        <w:rPr>
          <w:rFonts w:hint="cs"/>
          <w:rtl/>
          <w:lang w:bidi="he-IL"/>
        </w:rPr>
        <w:t>יש הנאה להיזקה</w:t>
      </w:r>
      <w:r>
        <w:rPr>
          <w:lang w:bidi="he-IL"/>
        </w:rPr>
        <w:t xml:space="preserve">), therefore if the </w:t>
      </w:r>
      <w:r>
        <w:rPr>
          <w:rFonts w:hint="cs"/>
          <w:rtl/>
          <w:lang w:bidi="he-IL"/>
        </w:rPr>
        <w:t>תורה</w:t>
      </w:r>
      <w:r>
        <w:rPr>
          <w:lang w:bidi="he-IL"/>
        </w:rPr>
        <w:t xml:space="preserve"> would have written only </w:t>
      </w:r>
      <w:r>
        <w:rPr>
          <w:rFonts w:hint="cs"/>
          <w:rtl/>
          <w:lang w:bidi="he-IL"/>
        </w:rPr>
        <w:t>מבעה</w:t>
      </w:r>
      <w:r>
        <w:rPr>
          <w:lang w:bidi="he-IL"/>
        </w:rPr>
        <w:t xml:space="preserve">, we would not be able to derive </w:t>
      </w:r>
      <w:r>
        <w:rPr>
          <w:rFonts w:hint="cs"/>
          <w:rtl/>
          <w:lang w:bidi="he-IL"/>
        </w:rPr>
        <w:t>שור</w:t>
      </w:r>
      <w:r>
        <w:rPr>
          <w:lang w:bidi="he-IL"/>
        </w:rPr>
        <w:t xml:space="preserve"> from </w:t>
      </w:r>
      <w:r>
        <w:rPr>
          <w:rFonts w:hint="cs"/>
          <w:rtl/>
          <w:lang w:bidi="he-IL"/>
        </w:rPr>
        <w:t>מבעה</w:t>
      </w:r>
      <w:r>
        <w:rPr>
          <w:lang w:bidi="he-IL"/>
        </w:rPr>
        <w:t xml:space="preserve">, since </w:t>
      </w:r>
      <w:r>
        <w:rPr>
          <w:rFonts w:hint="cs"/>
          <w:rtl/>
          <w:lang w:bidi="he-IL"/>
        </w:rPr>
        <w:t>מבעה</w:t>
      </w:r>
      <w:r>
        <w:rPr>
          <w:lang w:bidi="he-IL"/>
        </w:rPr>
        <w:t xml:space="preserve"> is more </w:t>
      </w:r>
      <w:r>
        <w:rPr>
          <w:rFonts w:hint="cs"/>
          <w:rtl/>
          <w:lang w:bidi="he-IL"/>
        </w:rPr>
        <w:t>חמור</w:t>
      </w:r>
      <w:r>
        <w:rPr>
          <w:lang w:bidi="he-IL"/>
        </w:rPr>
        <w:t xml:space="preserve"> than </w:t>
      </w:r>
      <w:r>
        <w:rPr>
          <w:rFonts w:hint="cs"/>
          <w:rtl/>
          <w:lang w:bidi="he-IL"/>
        </w:rPr>
        <w:t>שור</w:t>
      </w:r>
      <w:r>
        <w:rPr>
          <w:lang w:bidi="he-IL"/>
        </w:rPr>
        <w:t xml:space="preserve">. </w:t>
      </w:r>
    </w:p>
  </w:footnote>
  <w:footnote w:id="4">
    <w:p w:rsidR="007037BB" w:rsidRDefault="007037BB" w:rsidP="00504DE1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The term </w:t>
      </w:r>
      <w:r>
        <w:rPr>
          <w:rFonts w:hint="cs"/>
          <w:rtl/>
          <w:lang w:bidi="he-IL"/>
        </w:rPr>
        <w:t>פירוש</w:t>
      </w:r>
      <w:r>
        <w:rPr>
          <w:lang w:bidi="he-IL"/>
        </w:rPr>
        <w:t xml:space="preserve"> is used in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to indicate that the explanation is somewhat different from what we may have assumed. The explanation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negating will be stated shortly in this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>. See footnote # 3.</w:t>
      </w:r>
    </w:p>
  </w:footnote>
  <w:footnote w:id="5">
    <w:p w:rsidR="007037BB" w:rsidRDefault="007037BB" w:rsidP="00504DE1">
      <w:pPr>
        <w:pStyle w:val="FootnoteText"/>
        <w:spacing w:line="264" w:lineRule="auto"/>
        <w:rPr>
          <w:rtl/>
          <w:lang w:bidi="he-IL"/>
        </w:rPr>
      </w:pPr>
      <w:r>
        <w:rPr>
          <w:rStyle w:val="FootnoteReference"/>
        </w:rPr>
        <w:footnoteRef/>
      </w:r>
      <w:r w:rsidR="00504DE1">
        <w:t xml:space="preserve"> </w:t>
      </w:r>
      <w:r>
        <w:t xml:space="preserve">This means that </w:t>
      </w:r>
      <w:r>
        <w:rPr>
          <w:rFonts w:hint="cs"/>
          <w:rtl/>
          <w:lang w:bidi="he-IL"/>
        </w:rPr>
        <w:t>שור</w:t>
      </w:r>
      <w:r>
        <w:rPr>
          <w:lang w:bidi="he-IL"/>
        </w:rPr>
        <w:t xml:space="preserve"> is not a</w:t>
      </w:r>
      <w:r w:rsidR="00504DE1">
        <w:rPr>
          <w:lang w:bidi="he-IL"/>
        </w:rPr>
        <w:t>s</w:t>
      </w:r>
      <w:r>
        <w:rPr>
          <w:lang w:bidi="he-IL"/>
        </w:rPr>
        <w:t xml:space="preserve"> ‘mild’ as </w:t>
      </w:r>
      <w:r>
        <w:rPr>
          <w:rFonts w:hint="cs"/>
          <w:rtl/>
          <w:lang w:bidi="he-IL"/>
        </w:rPr>
        <w:t>מבעה</w:t>
      </w:r>
      <w:r>
        <w:rPr>
          <w:lang w:bidi="he-IL"/>
        </w:rPr>
        <w:t xml:space="preserve">; rather </w:t>
      </w:r>
      <w:r>
        <w:rPr>
          <w:rFonts w:hint="cs"/>
          <w:rtl/>
          <w:lang w:bidi="he-IL"/>
        </w:rPr>
        <w:t>מבעה</w:t>
      </w:r>
      <w:r>
        <w:rPr>
          <w:lang w:bidi="he-IL"/>
        </w:rPr>
        <w:t xml:space="preserve"> has a </w:t>
      </w:r>
      <w:r>
        <w:rPr>
          <w:rFonts w:hint="cs"/>
          <w:rtl/>
          <w:lang w:bidi="he-IL"/>
        </w:rPr>
        <w:t>קולא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שור</w:t>
      </w:r>
      <w:r>
        <w:rPr>
          <w:lang w:bidi="he-IL"/>
        </w:rPr>
        <w:t xml:space="preserve"> dos not possess. The phrase </w:t>
      </w:r>
      <w:r>
        <w:rPr>
          <w:rFonts w:hint="cs"/>
          <w:rtl/>
          <w:lang w:bidi="he-IL"/>
        </w:rPr>
        <w:t>לא הרי השור כהרי המבעה</w:t>
      </w:r>
      <w:r>
        <w:rPr>
          <w:lang w:bidi="he-IL"/>
        </w:rPr>
        <w:t xml:space="preserve"> is to be understood (see ‘Overview’) that </w:t>
      </w:r>
      <w:r>
        <w:rPr>
          <w:rFonts w:hint="cs"/>
          <w:rtl/>
          <w:lang w:bidi="he-IL"/>
        </w:rPr>
        <w:t>שור</w:t>
      </w:r>
      <w:r>
        <w:rPr>
          <w:lang w:bidi="he-IL"/>
        </w:rPr>
        <w:t xml:space="preserve"> is lacking something which </w:t>
      </w:r>
      <w:r>
        <w:rPr>
          <w:rFonts w:hint="cs"/>
          <w:rtl/>
          <w:lang w:bidi="he-IL"/>
        </w:rPr>
        <w:t>מבעה</w:t>
      </w:r>
      <w:r>
        <w:rPr>
          <w:lang w:bidi="he-IL"/>
        </w:rPr>
        <w:t xml:space="preserve"> has. It can be interpreted in regards to a </w:t>
      </w:r>
      <w:r>
        <w:rPr>
          <w:rFonts w:hint="cs"/>
          <w:rtl/>
          <w:lang w:bidi="he-IL"/>
        </w:rPr>
        <w:t>קולא</w:t>
      </w:r>
      <w:r>
        <w:rPr>
          <w:lang w:bidi="he-IL"/>
        </w:rPr>
        <w:t xml:space="preserve"> or a </w:t>
      </w:r>
      <w:r>
        <w:rPr>
          <w:rFonts w:hint="cs"/>
          <w:rtl/>
          <w:lang w:bidi="he-IL"/>
        </w:rPr>
        <w:t>חומרא</w:t>
      </w:r>
      <w:r>
        <w:rPr>
          <w:lang w:bidi="he-IL"/>
        </w:rPr>
        <w:t xml:space="preserve">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maintains that it is concerning a </w:t>
      </w:r>
      <w:r>
        <w:rPr>
          <w:rFonts w:hint="cs"/>
          <w:rtl/>
          <w:lang w:bidi="he-IL"/>
        </w:rPr>
        <w:t>קולא</w:t>
      </w:r>
      <w:r>
        <w:rPr>
          <w:lang w:bidi="he-IL"/>
        </w:rPr>
        <w:t>.</w:t>
      </w:r>
      <w:r>
        <w:t xml:space="preserve"> </w:t>
      </w:r>
    </w:p>
  </w:footnote>
  <w:footnote w:id="6">
    <w:p w:rsidR="00504DE1" w:rsidRDefault="00504DE1" w:rsidP="00504DE1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ג,ב (ד,א)</w:t>
      </w:r>
      <w:r>
        <w:rPr>
          <w:lang w:bidi="he-IL"/>
        </w:rPr>
        <w:t>.</w:t>
      </w:r>
    </w:p>
  </w:footnote>
  <w:footnote w:id="7">
    <w:p w:rsidR="00504DE1" w:rsidRDefault="00504DE1" w:rsidP="00504DE1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רב יהודה</w:t>
      </w:r>
      <w:r>
        <w:rPr>
          <w:lang w:bidi="he-IL"/>
        </w:rPr>
        <w:t xml:space="preserve"> interpreting </w:t>
      </w:r>
      <w:r>
        <w:rPr>
          <w:rFonts w:hint="cs"/>
          <w:rtl/>
          <w:lang w:bidi="he-IL"/>
        </w:rPr>
        <w:t>שמואל</w:t>
      </w:r>
      <w:r>
        <w:rPr>
          <w:lang w:bidi="he-IL"/>
        </w:rPr>
        <w:t>.</w:t>
      </w:r>
    </w:p>
  </w:footnote>
  <w:footnote w:id="8">
    <w:p w:rsidR="00504DE1" w:rsidRDefault="00504DE1" w:rsidP="00504DE1">
      <w:pPr>
        <w:pStyle w:val="FootnoteText"/>
        <w:widowControl w:val="0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chose this interpretation of </w:t>
      </w:r>
      <w:r>
        <w:rPr>
          <w:rFonts w:hint="cs"/>
          <w:rtl/>
          <w:lang w:bidi="he-IL"/>
        </w:rPr>
        <w:t>שור</w:t>
      </w:r>
      <w:r>
        <w:rPr>
          <w:lang w:bidi="he-IL"/>
        </w:rPr>
        <w:t xml:space="preserve"> (instead of the conclusive opinion that it refers to </w:t>
      </w:r>
      <w:r>
        <w:rPr>
          <w:rFonts w:hint="cs"/>
          <w:rtl/>
          <w:lang w:bidi="he-IL"/>
        </w:rPr>
        <w:t>רגל</w:t>
      </w:r>
      <w:r>
        <w:rPr>
          <w:lang w:bidi="he-IL"/>
        </w:rPr>
        <w:t xml:space="preserve">), perhaps because it is the first opinion mentioned in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. See </w:t>
      </w:r>
      <w:r>
        <w:rPr>
          <w:rFonts w:hint="cs"/>
          <w:rtl/>
          <w:lang w:bidi="he-IL"/>
        </w:rPr>
        <w:t>פנ"י</w:t>
      </w:r>
      <w:r>
        <w:rPr>
          <w:lang w:bidi="he-IL"/>
        </w:rPr>
        <w:t>.</w:t>
      </w:r>
    </w:p>
  </w:footnote>
  <w:footnote w:id="9">
    <w:p w:rsidR="007037BB" w:rsidRDefault="007037BB" w:rsidP="00F06E89">
      <w:pPr>
        <w:pStyle w:val="FootnoteText"/>
        <w:widowControl w:val="0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‘Overview’.</w:t>
      </w:r>
      <w:r w:rsidR="00F06E89">
        <w:t xml:space="preserve"> [Elsewhere, the intent of the </w:t>
      </w:r>
      <w:r w:rsidR="00F06E89">
        <w:rPr>
          <w:rFonts w:hint="cs"/>
          <w:rtl/>
          <w:lang w:bidi="he-IL"/>
        </w:rPr>
        <w:t>לא ראי זה</w:t>
      </w:r>
      <w:r w:rsidR="00F06E89">
        <w:rPr>
          <w:lang w:bidi="he-IL"/>
        </w:rPr>
        <w:t xml:space="preserve"> is to explain why this particular factor (</w:t>
      </w:r>
      <w:r w:rsidR="00F06E89">
        <w:rPr>
          <w:rFonts w:hint="cs"/>
          <w:rtl/>
          <w:lang w:bidi="he-IL"/>
        </w:rPr>
        <w:t>חומרא</w:t>
      </w:r>
      <w:r w:rsidR="00F06E89">
        <w:rPr>
          <w:lang w:bidi="he-IL"/>
        </w:rPr>
        <w:t xml:space="preserve">) cannot be the cause of this rule (and therefore we can derive from the </w:t>
      </w:r>
      <w:r w:rsidR="00F06E89">
        <w:rPr>
          <w:rFonts w:hint="cs"/>
          <w:rtl/>
          <w:lang w:bidi="he-IL"/>
        </w:rPr>
        <w:t>צד השוה</w:t>
      </w:r>
      <w:r w:rsidR="00F06E89">
        <w:rPr>
          <w:lang w:bidi="he-IL"/>
        </w:rPr>
        <w:t xml:space="preserve"> a new law); however here the (</w:t>
      </w:r>
      <w:r w:rsidR="00F06E89" w:rsidRPr="00F06E89">
        <w:rPr>
          <w:u w:val="single"/>
          <w:lang w:bidi="he-IL"/>
        </w:rPr>
        <w:t>initial</w:t>
      </w:r>
      <w:r w:rsidR="00F06E89">
        <w:rPr>
          <w:lang w:bidi="he-IL"/>
        </w:rPr>
        <w:t xml:space="preserve">) thrust of </w:t>
      </w:r>
      <w:r w:rsidR="00F06E89">
        <w:rPr>
          <w:rFonts w:hint="cs"/>
          <w:rtl/>
          <w:lang w:bidi="he-IL"/>
        </w:rPr>
        <w:t>לא הרי וכו'</w:t>
      </w:r>
      <w:r w:rsidR="00F06E89">
        <w:rPr>
          <w:lang w:bidi="he-IL"/>
        </w:rPr>
        <w:t xml:space="preserve"> is to explain why the </w:t>
      </w:r>
      <w:r w:rsidR="00F06E89">
        <w:rPr>
          <w:rFonts w:hint="cs"/>
          <w:rtl/>
          <w:lang w:bidi="he-IL"/>
        </w:rPr>
        <w:t>תורה</w:t>
      </w:r>
      <w:r w:rsidR="00F06E89">
        <w:rPr>
          <w:lang w:bidi="he-IL"/>
        </w:rPr>
        <w:t xml:space="preserve"> wrote all the </w:t>
      </w:r>
      <w:r w:rsidR="00F06E89">
        <w:rPr>
          <w:rFonts w:hint="cs"/>
          <w:rtl/>
          <w:lang w:bidi="he-IL"/>
        </w:rPr>
        <w:t>ד' אבות</w:t>
      </w:r>
      <w:r w:rsidR="00F06E89">
        <w:rPr>
          <w:lang w:bidi="he-IL"/>
        </w:rPr>
        <w:t xml:space="preserve">, since we cannot derive one </w:t>
      </w:r>
      <w:r w:rsidR="00F06E89">
        <w:rPr>
          <w:rFonts w:hint="cs"/>
          <w:rtl/>
          <w:lang w:bidi="he-IL"/>
        </w:rPr>
        <w:t>אב</w:t>
      </w:r>
      <w:r w:rsidR="00F06E89">
        <w:rPr>
          <w:lang w:bidi="he-IL"/>
        </w:rPr>
        <w:t xml:space="preserve"> from the other (but not that we can derive a new law from the </w:t>
      </w:r>
      <w:r w:rsidR="00F06E89">
        <w:rPr>
          <w:rFonts w:hint="cs"/>
          <w:rtl/>
          <w:lang w:bidi="he-IL"/>
        </w:rPr>
        <w:t>ד' אבות</w:t>
      </w:r>
      <w:r w:rsidR="00F06E89">
        <w:rPr>
          <w:lang w:bidi="he-IL"/>
        </w:rPr>
        <w:t>; that comes later).]</w:t>
      </w:r>
    </w:p>
  </w:footnote>
  <w:footnote w:id="10">
    <w:p w:rsidR="007037BB" w:rsidRDefault="007037BB" w:rsidP="00504DE1">
      <w:pPr>
        <w:pStyle w:val="FootnoteText"/>
        <w:widowControl w:val="0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In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itself it does not (seemingly) state clearly by </w:t>
      </w:r>
      <w:r>
        <w:rPr>
          <w:rFonts w:hint="cs"/>
          <w:rtl/>
          <w:lang w:bidi="he-IL"/>
        </w:rPr>
        <w:t>לא הרי השור כהרי המבעה</w:t>
      </w:r>
      <w:r>
        <w:rPr>
          <w:lang w:bidi="he-IL"/>
        </w:rPr>
        <w:t xml:space="preserve">, whether we are discussing the </w:t>
      </w:r>
      <w:r>
        <w:rPr>
          <w:rFonts w:hint="cs"/>
          <w:rtl/>
          <w:lang w:bidi="he-IL"/>
        </w:rPr>
        <w:t>קולות</w:t>
      </w:r>
      <w:r>
        <w:rPr>
          <w:lang w:bidi="he-IL"/>
        </w:rPr>
        <w:t xml:space="preserve"> or the </w:t>
      </w:r>
      <w:r>
        <w:rPr>
          <w:rFonts w:hint="cs"/>
          <w:rtl/>
          <w:lang w:bidi="he-IL"/>
        </w:rPr>
        <w:t>חומרות</w:t>
      </w:r>
      <w:r>
        <w:rPr>
          <w:lang w:bidi="he-IL"/>
        </w:rPr>
        <w:t xml:space="preserve">. It is not clear from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if </w:t>
      </w:r>
      <w:r>
        <w:rPr>
          <w:rFonts w:hint="cs"/>
          <w:rtl/>
          <w:lang w:bidi="he-IL"/>
        </w:rPr>
        <w:t>לא הרי השור כהרי המבעה</w:t>
      </w:r>
      <w:r>
        <w:rPr>
          <w:lang w:bidi="he-IL"/>
        </w:rPr>
        <w:t xml:space="preserve"> means that if </w:t>
      </w:r>
      <w:r>
        <w:rPr>
          <w:rFonts w:hint="cs"/>
          <w:rtl/>
          <w:lang w:bidi="he-IL"/>
        </w:rPr>
        <w:t>שור</w:t>
      </w:r>
      <w:r>
        <w:rPr>
          <w:lang w:bidi="he-IL"/>
        </w:rPr>
        <w:t xml:space="preserve"> would be written we could not derive </w:t>
      </w:r>
      <w:r>
        <w:rPr>
          <w:rFonts w:hint="cs"/>
          <w:rtl/>
          <w:lang w:bidi="he-IL"/>
        </w:rPr>
        <w:t>מבעה</w:t>
      </w:r>
      <w:r>
        <w:rPr>
          <w:lang w:bidi="he-IL"/>
        </w:rPr>
        <w:t xml:space="preserve">, or it means the converse; if </w:t>
      </w:r>
      <w:r>
        <w:rPr>
          <w:rFonts w:hint="cs"/>
          <w:rtl/>
          <w:lang w:bidi="he-IL"/>
        </w:rPr>
        <w:t>מבעה</w:t>
      </w:r>
      <w:r>
        <w:rPr>
          <w:lang w:bidi="he-IL"/>
        </w:rPr>
        <w:t xml:space="preserve"> would be written we could not derive </w:t>
      </w:r>
      <w:r>
        <w:rPr>
          <w:rFonts w:hint="cs"/>
          <w:rtl/>
          <w:lang w:bidi="he-IL"/>
        </w:rPr>
        <w:t>שור</w:t>
      </w:r>
      <w:r>
        <w:rPr>
          <w:lang w:bidi="he-IL"/>
        </w:rPr>
        <w:t xml:space="preserve">. However,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clearly states that it is the former and not the latter.</w:t>
      </w:r>
    </w:p>
  </w:footnote>
  <w:footnote w:id="11">
    <w:p w:rsidR="00F06E89" w:rsidRDefault="00F06E89" w:rsidP="00F06E89">
      <w:pPr>
        <w:pStyle w:val="FootnoteText"/>
        <w:widowControl w:val="0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asking, why does not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say that by </w:t>
      </w:r>
      <w:r>
        <w:rPr>
          <w:rFonts w:hint="cs"/>
          <w:rtl/>
          <w:lang w:bidi="he-IL"/>
        </w:rPr>
        <w:t>לא הרי השור כהרי המבעה</w:t>
      </w:r>
      <w:r>
        <w:rPr>
          <w:lang w:bidi="he-IL"/>
        </w:rPr>
        <w:t xml:space="preserve">, we mean that </w:t>
      </w:r>
      <w:r>
        <w:rPr>
          <w:rFonts w:hint="cs"/>
          <w:rtl/>
          <w:lang w:bidi="he-IL"/>
        </w:rPr>
        <w:t>שור</w:t>
      </w:r>
      <w:r>
        <w:rPr>
          <w:lang w:bidi="he-IL"/>
        </w:rPr>
        <w:t xml:space="preserve"> is lacking the </w:t>
      </w:r>
      <w:r>
        <w:rPr>
          <w:rFonts w:hint="cs"/>
          <w:rtl/>
          <w:lang w:bidi="he-IL"/>
        </w:rPr>
        <w:t>חומרא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מבעה</w:t>
      </w:r>
      <w:r>
        <w:rPr>
          <w:lang w:bidi="he-IL"/>
        </w:rPr>
        <w:t xml:space="preserve"> (for </w:t>
      </w:r>
      <w:r>
        <w:rPr>
          <w:rFonts w:hint="cs"/>
          <w:rtl/>
          <w:lang w:bidi="he-IL"/>
        </w:rPr>
        <w:t>מבעה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יש הנאה להזיקו</w:t>
      </w:r>
      <w:r>
        <w:rPr>
          <w:lang w:bidi="he-IL"/>
        </w:rPr>
        <w:t xml:space="preserve"> but not </w:t>
      </w:r>
      <w:r>
        <w:rPr>
          <w:rFonts w:hint="cs"/>
          <w:rtl/>
          <w:lang w:bidi="he-IL"/>
        </w:rPr>
        <w:t>שור</w:t>
      </w:r>
      <w:r>
        <w:rPr>
          <w:lang w:bidi="he-IL"/>
        </w:rPr>
        <w:t xml:space="preserve">) and therefore if the </w:t>
      </w:r>
      <w:r>
        <w:rPr>
          <w:rFonts w:hint="cs"/>
          <w:rtl/>
          <w:lang w:bidi="he-IL"/>
        </w:rPr>
        <w:t>תורה</w:t>
      </w:r>
      <w:r>
        <w:rPr>
          <w:lang w:bidi="he-IL"/>
        </w:rPr>
        <w:t xml:space="preserve"> would have written </w:t>
      </w:r>
      <w:r>
        <w:rPr>
          <w:rFonts w:hint="cs"/>
          <w:rtl/>
          <w:lang w:bidi="he-IL"/>
        </w:rPr>
        <w:t>מבעה</w:t>
      </w:r>
      <w:r>
        <w:rPr>
          <w:lang w:bidi="he-IL"/>
        </w:rPr>
        <w:t xml:space="preserve"> we could not derive </w:t>
      </w:r>
      <w:r>
        <w:rPr>
          <w:rFonts w:hint="cs"/>
          <w:rtl/>
          <w:lang w:bidi="he-IL"/>
        </w:rPr>
        <w:t>שור</w:t>
      </w:r>
      <w:r>
        <w:rPr>
          <w:lang w:bidi="he-IL"/>
        </w:rPr>
        <w:t xml:space="preserve"> from it (and vice versa by </w:t>
      </w:r>
      <w:r>
        <w:rPr>
          <w:rFonts w:hint="cs"/>
          <w:rtl/>
          <w:lang w:bidi="he-IL"/>
        </w:rPr>
        <w:t>לא הרי המבעה כהרי השור</w:t>
      </w:r>
      <w:r>
        <w:rPr>
          <w:lang w:bidi="he-IL"/>
        </w:rPr>
        <w:t xml:space="preserve">). This interpretation would make this </w:t>
      </w:r>
      <w:r>
        <w:rPr>
          <w:rFonts w:hint="cs"/>
          <w:rtl/>
          <w:lang w:bidi="he-IL"/>
        </w:rPr>
        <w:t>לא הרי</w:t>
      </w:r>
      <w:r>
        <w:rPr>
          <w:lang w:bidi="he-IL"/>
        </w:rPr>
        <w:t xml:space="preserve"> similar to all the other </w:t>
      </w:r>
      <w:r>
        <w:rPr>
          <w:rFonts w:hint="cs"/>
          <w:rtl/>
          <w:lang w:bidi="he-IL"/>
        </w:rPr>
        <w:t>לא הרי</w:t>
      </w:r>
      <w:r>
        <w:rPr>
          <w:lang w:bidi="he-IL"/>
        </w:rPr>
        <w:t xml:space="preserve">, in the sense that we are discussing the </w:t>
      </w:r>
      <w:r>
        <w:rPr>
          <w:rFonts w:hint="cs"/>
          <w:rtl/>
          <w:lang w:bidi="he-IL"/>
        </w:rPr>
        <w:t>חומרות</w:t>
      </w:r>
      <w:r>
        <w:rPr>
          <w:lang w:bidi="he-IL"/>
        </w:rPr>
        <w:t>.</w:t>
      </w:r>
    </w:p>
  </w:footnote>
  <w:footnote w:id="12">
    <w:p w:rsidR="008C4ACB" w:rsidRDefault="008C4ACB" w:rsidP="00504DE1">
      <w:pPr>
        <w:pStyle w:val="FootnoteText"/>
        <w:spacing w:line="264" w:lineRule="auto"/>
        <w:rPr>
          <w:rtl/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מהר"ם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נחלת משה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7BB" w:rsidRPr="008046D1" w:rsidRDefault="007037BB" w:rsidP="008046D1">
    <w:pPr>
      <w:pStyle w:val="Header"/>
      <w:bidi/>
      <w:rPr>
        <w:sz w:val="24"/>
        <w:szCs w:val="24"/>
        <w:lang w:bidi="he-IL"/>
      </w:rPr>
    </w:pPr>
    <w:r>
      <w:rPr>
        <w:rFonts w:hint="cs"/>
        <w:sz w:val="24"/>
        <w:szCs w:val="24"/>
        <w:rtl/>
        <w:lang w:bidi="he-IL"/>
      </w:rPr>
      <w:t>בס"ד. ב"ק ב,א תוס' ד"ה לא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321"/>
  <w:drawingGridVerticalSpacing w:val="43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E5A"/>
    <w:rsid w:val="00016E9A"/>
    <w:rsid w:val="00084E36"/>
    <w:rsid w:val="00213FBA"/>
    <w:rsid w:val="00482A13"/>
    <w:rsid w:val="004B0880"/>
    <w:rsid w:val="004E3CE9"/>
    <w:rsid w:val="00504DE1"/>
    <w:rsid w:val="005139AD"/>
    <w:rsid w:val="00624CDF"/>
    <w:rsid w:val="00642F83"/>
    <w:rsid w:val="007037BB"/>
    <w:rsid w:val="008046D1"/>
    <w:rsid w:val="008C4ACB"/>
    <w:rsid w:val="00993313"/>
    <w:rsid w:val="00CE080B"/>
    <w:rsid w:val="00D8684B"/>
    <w:rsid w:val="00E2643D"/>
    <w:rsid w:val="00E95E5A"/>
    <w:rsid w:val="00F0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6D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6D1"/>
  </w:style>
  <w:style w:type="paragraph" w:styleId="Footer">
    <w:name w:val="footer"/>
    <w:basedOn w:val="Normal"/>
    <w:link w:val="FooterChar"/>
    <w:uiPriority w:val="99"/>
    <w:unhideWhenUsed/>
    <w:rsid w:val="008046D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6D1"/>
  </w:style>
  <w:style w:type="paragraph" w:styleId="FootnoteText">
    <w:name w:val="footnote text"/>
    <w:basedOn w:val="Normal"/>
    <w:link w:val="FootnoteTextChar"/>
    <w:uiPriority w:val="99"/>
    <w:semiHidden/>
    <w:unhideWhenUsed/>
    <w:rsid w:val="008046D1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46D1"/>
  </w:style>
  <w:style w:type="character" w:styleId="FootnoteReference">
    <w:name w:val="footnote reference"/>
    <w:basedOn w:val="DefaultParagraphFont"/>
    <w:uiPriority w:val="99"/>
    <w:semiHidden/>
    <w:unhideWhenUsed/>
    <w:rsid w:val="008046D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6D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6D1"/>
  </w:style>
  <w:style w:type="paragraph" w:styleId="Footer">
    <w:name w:val="footer"/>
    <w:basedOn w:val="Normal"/>
    <w:link w:val="FooterChar"/>
    <w:uiPriority w:val="99"/>
    <w:unhideWhenUsed/>
    <w:rsid w:val="008046D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6D1"/>
  </w:style>
  <w:style w:type="paragraph" w:styleId="FootnoteText">
    <w:name w:val="footnote text"/>
    <w:basedOn w:val="Normal"/>
    <w:link w:val="FootnoteTextChar"/>
    <w:uiPriority w:val="99"/>
    <w:semiHidden/>
    <w:unhideWhenUsed/>
    <w:rsid w:val="008046D1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46D1"/>
  </w:style>
  <w:style w:type="character" w:styleId="FootnoteReference">
    <w:name w:val="footnote reference"/>
    <w:basedOn w:val="DefaultParagraphFont"/>
    <w:uiPriority w:val="99"/>
    <w:semiHidden/>
    <w:unhideWhenUsed/>
    <w:rsid w:val="008046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</dc:creator>
  <cp:lastModifiedBy>Ephraim</cp:lastModifiedBy>
  <cp:revision>3</cp:revision>
  <dcterms:created xsi:type="dcterms:W3CDTF">2016-07-04T17:42:00Z</dcterms:created>
  <dcterms:modified xsi:type="dcterms:W3CDTF">2016-09-06T19:45:00Z</dcterms:modified>
</cp:coreProperties>
</file>