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29" w:rsidRPr="00B3449A" w:rsidRDefault="004762CA" w:rsidP="009F7729">
      <w:pPr>
        <w:bidi/>
        <w:rPr>
          <w:b/>
          <w:bCs/>
          <w:sz w:val="32"/>
          <w:szCs w:val="32"/>
          <w:rtl/>
        </w:rPr>
      </w:pPr>
      <w:r w:rsidRPr="00B3449A">
        <w:rPr>
          <w:b/>
          <w:bCs/>
          <w:sz w:val="36"/>
          <w:szCs w:val="36"/>
          <w:rtl/>
        </w:rPr>
        <w:t>אמר</w:t>
      </w:r>
      <w:r w:rsidR="009F7729" w:rsidRPr="00B3449A">
        <w:rPr>
          <w:rFonts w:hint="cs"/>
          <w:b/>
          <w:bCs/>
          <w:rtl/>
        </w:rPr>
        <w:t xml:space="preserve"> </w:t>
      </w:r>
      <w:r w:rsidRPr="00B3449A">
        <w:rPr>
          <w:b/>
          <w:bCs/>
          <w:sz w:val="32"/>
          <w:szCs w:val="32"/>
          <w:rtl/>
        </w:rPr>
        <w:t>רב נחמן אמר שמואל חכמים תיקנו כו</w:t>
      </w:r>
      <w:r w:rsidR="009F7729" w:rsidRPr="00B3449A">
        <w:rPr>
          <w:rFonts w:hint="cs"/>
          <w:b/>
          <w:bCs/>
          <w:sz w:val="32"/>
          <w:szCs w:val="32"/>
          <w:rtl/>
        </w:rPr>
        <w:t xml:space="preserve">לי </w:t>
      </w:r>
      <w:r w:rsidR="009F7729" w:rsidRPr="00B3449A">
        <w:rPr>
          <w:b/>
          <w:bCs/>
          <w:sz w:val="32"/>
          <w:szCs w:val="32"/>
          <w:rtl/>
        </w:rPr>
        <w:t>–</w:t>
      </w:r>
      <w:r w:rsidR="009F7729" w:rsidRPr="00B3449A">
        <w:rPr>
          <w:rFonts w:hint="cs"/>
          <w:b/>
          <w:bCs/>
          <w:sz w:val="32"/>
          <w:szCs w:val="32"/>
          <w:rtl/>
        </w:rPr>
        <w:t xml:space="preserve"> </w:t>
      </w:r>
    </w:p>
    <w:p w:rsidR="009F7729" w:rsidRPr="00B3449A" w:rsidRDefault="009F7729" w:rsidP="009F7729">
      <w:pPr>
        <w:rPr>
          <w:b/>
          <w:bCs/>
        </w:rPr>
      </w:pPr>
      <w:r w:rsidRPr="00B3449A">
        <w:rPr>
          <w:rFonts w:hint="cs"/>
          <w:b/>
          <w:bCs/>
          <w:sz w:val="32"/>
          <w:szCs w:val="32"/>
          <w:rtl/>
        </w:rPr>
        <w:t>רב נחמן</w:t>
      </w:r>
      <w:r w:rsidRPr="00B3449A">
        <w:rPr>
          <w:b/>
          <w:bCs/>
          <w:sz w:val="32"/>
          <w:szCs w:val="32"/>
        </w:rPr>
        <w:t xml:space="preserve"> said in the name of </w:t>
      </w:r>
      <w:r w:rsidRPr="00B3449A">
        <w:rPr>
          <w:rFonts w:hint="cs"/>
          <w:b/>
          <w:bCs/>
          <w:sz w:val="32"/>
          <w:szCs w:val="32"/>
          <w:rtl/>
        </w:rPr>
        <w:t>שמואל</w:t>
      </w:r>
      <w:r w:rsidR="00CE1D2C">
        <w:rPr>
          <w:b/>
          <w:bCs/>
          <w:sz w:val="32"/>
          <w:szCs w:val="32"/>
        </w:rPr>
        <w:t>;</w:t>
      </w:r>
      <w:r w:rsidRPr="00B3449A">
        <w:rPr>
          <w:b/>
          <w:bCs/>
          <w:sz w:val="32"/>
          <w:szCs w:val="32"/>
        </w:rPr>
        <w:t xml:space="preserve"> the sages instituted, etc.</w:t>
      </w:r>
    </w:p>
    <w:p w:rsidR="009F7729" w:rsidRPr="00B3449A" w:rsidRDefault="009F7729" w:rsidP="009F7729">
      <w:pPr>
        <w:bidi/>
        <w:rPr>
          <w:b/>
          <w:bCs/>
          <w:sz w:val="24"/>
          <w:szCs w:val="24"/>
          <w:rtl/>
        </w:rPr>
      </w:pPr>
    </w:p>
    <w:p w:rsidR="009F7729" w:rsidRPr="00B3449A" w:rsidRDefault="009F7729" w:rsidP="009F7729">
      <w:pPr>
        <w:rPr>
          <w:rFonts w:ascii="Copperplate Gothic Bold" w:hAnsi="Copperplate Gothic Bold"/>
          <w:u w:val="double"/>
          <w:rtl/>
        </w:rPr>
      </w:pPr>
      <w:r w:rsidRPr="00B3449A">
        <w:rPr>
          <w:rFonts w:ascii="Copperplate Gothic Bold" w:hAnsi="Copperplate Gothic Bold"/>
          <w:u w:val="double"/>
        </w:rPr>
        <w:t>Overview</w:t>
      </w:r>
    </w:p>
    <w:p w:rsidR="009F7729" w:rsidRPr="00472BC8" w:rsidRDefault="00FD5506" w:rsidP="009F7729">
      <w:r w:rsidRPr="00B3449A">
        <w:rPr>
          <w:rFonts w:hint="cs"/>
          <w:rtl/>
        </w:rPr>
        <w:t>ר"נ</w:t>
      </w:r>
      <w:r w:rsidRPr="00B3449A">
        <w:t xml:space="preserve"> said in the name of </w:t>
      </w:r>
      <w:r w:rsidRPr="00B3449A">
        <w:rPr>
          <w:rFonts w:hint="cs"/>
          <w:rtl/>
        </w:rPr>
        <w:t>שמואל</w:t>
      </w:r>
      <w:r w:rsidRPr="00B3449A">
        <w:t xml:space="preserve"> that the </w:t>
      </w:r>
      <w:r w:rsidRPr="00B3449A">
        <w:rPr>
          <w:rFonts w:hint="cs"/>
          <w:rtl/>
        </w:rPr>
        <w:t>חכמים</w:t>
      </w:r>
      <w:r w:rsidRPr="00B3449A">
        <w:t xml:space="preserve"> instituted a </w:t>
      </w:r>
      <w:r w:rsidRPr="00B3449A">
        <w:rPr>
          <w:rFonts w:hint="cs"/>
          <w:rtl/>
        </w:rPr>
        <w:t>כתובה</w:t>
      </w:r>
      <w:r w:rsidRPr="00B3449A">
        <w:t xml:space="preserve"> of </w:t>
      </w:r>
      <w:r w:rsidRPr="00B3449A">
        <w:rPr>
          <w:rFonts w:hint="cs"/>
          <w:rtl/>
        </w:rPr>
        <w:t>מאתיים</w:t>
      </w:r>
      <w:r w:rsidRPr="00B3449A">
        <w:t xml:space="preserve"> for a </w:t>
      </w:r>
      <w:r w:rsidRPr="00B3449A">
        <w:rPr>
          <w:rFonts w:hint="cs"/>
          <w:rtl/>
        </w:rPr>
        <w:t>בתולה</w:t>
      </w:r>
      <w:r w:rsidRPr="00B3449A">
        <w:t xml:space="preserve"> and a </w:t>
      </w:r>
      <w:r w:rsidRPr="00B3449A">
        <w:rPr>
          <w:rFonts w:hint="cs"/>
          <w:rtl/>
        </w:rPr>
        <w:t>כתובה</w:t>
      </w:r>
      <w:r w:rsidRPr="00B3449A">
        <w:t xml:space="preserve"> of </w:t>
      </w:r>
      <w:r w:rsidRPr="00B3449A">
        <w:rPr>
          <w:rFonts w:hint="cs"/>
          <w:rtl/>
        </w:rPr>
        <w:t>מנה</w:t>
      </w:r>
      <w:r w:rsidRPr="00B3449A">
        <w:t xml:space="preserve"> for an </w:t>
      </w:r>
      <w:r w:rsidRPr="00B3449A">
        <w:rPr>
          <w:rFonts w:hint="cs"/>
          <w:rtl/>
        </w:rPr>
        <w:t>אלמנה</w:t>
      </w:r>
      <w:r w:rsidRPr="00B3449A">
        <w:t xml:space="preserve">, etc. </w:t>
      </w:r>
      <w:r w:rsidRPr="00B3449A">
        <w:rPr>
          <w:rFonts w:hint="cs"/>
          <w:rtl/>
        </w:rPr>
        <w:t>תוספות</w:t>
      </w:r>
      <w:r w:rsidRPr="00B3449A">
        <w:t xml:space="preserve"> discusses the inference from this statement which seemingly indicates that the obligation to give </w:t>
      </w:r>
      <w:r w:rsidRPr="00B3449A">
        <w:rPr>
          <w:rFonts w:hint="cs"/>
          <w:rtl/>
        </w:rPr>
        <w:t>כתובה</w:t>
      </w:r>
      <w:r w:rsidRPr="00B3449A">
        <w:t xml:space="preserve"> payments is only </w:t>
      </w:r>
      <w:r w:rsidRPr="00B3449A">
        <w:rPr>
          <w:rFonts w:hint="cs"/>
          <w:rtl/>
        </w:rPr>
        <w:t>מדרבנן</w:t>
      </w:r>
      <w:r w:rsidRPr="00B3449A">
        <w:t xml:space="preserve"> and not </w:t>
      </w:r>
      <w:r w:rsidRPr="00B3449A">
        <w:rPr>
          <w:rFonts w:hint="cs"/>
          <w:rtl/>
        </w:rPr>
        <w:t>מן התורה</w:t>
      </w:r>
      <w:r w:rsidRPr="00B3449A">
        <w:t xml:space="preserve">, where there are indications elsewhere that </w:t>
      </w:r>
      <w:r w:rsidRPr="00B3449A">
        <w:rPr>
          <w:rFonts w:hint="cs"/>
          <w:rtl/>
        </w:rPr>
        <w:t>כתובה</w:t>
      </w:r>
      <w:r w:rsidRPr="00B3449A">
        <w:t xml:space="preserve"> is </w:t>
      </w:r>
      <w:r w:rsidRPr="00B3449A">
        <w:rPr>
          <w:rFonts w:hint="cs"/>
          <w:rtl/>
        </w:rPr>
        <w:t>מדאורייתא</w:t>
      </w:r>
      <w:r w:rsidRPr="00B3449A">
        <w:t xml:space="preserve">. </w:t>
      </w:r>
    </w:p>
    <w:p w:rsidR="009F7729" w:rsidRPr="00472BC8" w:rsidRDefault="00472BC8" w:rsidP="00472BC8">
      <w:pPr>
        <w:bidi/>
        <w:jc w:val="center"/>
        <w:rPr>
          <w:sz w:val="24"/>
          <w:szCs w:val="24"/>
          <w:rtl/>
        </w:rPr>
      </w:pPr>
      <w:r w:rsidRPr="00472BC8">
        <w:rPr>
          <w:sz w:val="24"/>
          <w:szCs w:val="24"/>
        </w:rPr>
        <w:t>----------------------</w:t>
      </w:r>
    </w:p>
    <w:p w:rsidR="009F7729" w:rsidRPr="00472BC8" w:rsidRDefault="004762CA" w:rsidP="00266B90">
      <w:pPr>
        <w:bidi/>
        <w:rPr>
          <w:rFonts w:cs="David"/>
          <w:b/>
          <w:bCs/>
        </w:rPr>
      </w:pPr>
      <w:r w:rsidRPr="00472BC8">
        <w:rPr>
          <w:rFonts w:cs="David"/>
          <w:b/>
          <w:bCs/>
          <w:rtl/>
        </w:rPr>
        <w:t>משמע</w:t>
      </w:r>
      <w:r w:rsidR="00266B90">
        <w:rPr>
          <w:rStyle w:val="FootnoteReference"/>
          <w:rFonts w:cs="David"/>
          <w:b/>
          <w:bCs/>
          <w:rtl/>
        </w:rPr>
        <w:footnoteReference w:id="1"/>
      </w:r>
      <w:r w:rsidRPr="00472BC8">
        <w:rPr>
          <w:rFonts w:cs="David"/>
          <w:b/>
          <w:bCs/>
          <w:rtl/>
        </w:rPr>
        <w:t xml:space="preserve"> דכתובה דרבנן וכן בהאשה רבה </w:t>
      </w:r>
      <w:r w:rsidRPr="00472BC8">
        <w:rPr>
          <w:rFonts w:cs="David"/>
          <w:b/>
          <w:bCs/>
          <w:sz w:val="20"/>
          <w:szCs w:val="20"/>
          <w:rtl/>
        </w:rPr>
        <w:t>(יבמות פט</w:t>
      </w:r>
      <w:r w:rsidR="009F7729" w:rsidRPr="00472BC8">
        <w:rPr>
          <w:rFonts w:cs="David" w:hint="cs"/>
          <w:b/>
          <w:bCs/>
          <w:sz w:val="20"/>
          <w:szCs w:val="20"/>
          <w:rtl/>
        </w:rPr>
        <w:t>,א</w:t>
      </w:r>
      <w:r w:rsidRPr="00472BC8">
        <w:rPr>
          <w:rFonts w:cs="David"/>
          <w:b/>
          <w:bCs/>
          <w:sz w:val="20"/>
          <w:szCs w:val="20"/>
          <w:rtl/>
        </w:rPr>
        <w:t xml:space="preserve"> ושם) </w:t>
      </w:r>
      <w:r w:rsidRPr="00472BC8">
        <w:rPr>
          <w:rFonts w:cs="David"/>
          <w:b/>
          <w:bCs/>
          <w:rtl/>
        </w:rPr>
        <w:t>גבי אין לה כתובה קאמר</w:t>
      </w:r>
      <w:r w:rsidR="00B3449A" w:rsidRPr="00472BC8">
        <w:rPr>
          <w:rStyle w:val="FootnoteReference"/>
          <w:rFonts w:cs="David"/>
          <w:b/>
          <w:bCs/>
          <w:rtl/>
        </w:rPr>
        <w:footnoteReference w:id="2"/>
      </w:r>
      <w:r w:rsidRPr="00472BC8">
        <w:rPr>
          <w:rFonts w:cs="David"/>
          <w:b/>
          <w:bCs/>
          <w:rtl/>
        </w:rPr>
        <w:t xml:space="preserve"> </w:t>
      </w:r>
      <w:r w:rsidR="00472BC8">
        <w:rPr>
          <w:rFonts w:cs="David" w:hint="cs"/>
          <w:b/>
          <w:bCs/>
          <w:rtl/>
        </w:rPr>
        <w:t>-</w:t>
      </w:r>
    </w:p>
    <w:p w:rsidR="00B3449A" w:rsidRPr="00B3449A" w:rsidRDefault="00B3449A" w:rsidP="00266B90">
      <w:pPr>
        <w:rPr>
          <w:b/>
          <w:bCs/>
        </w:rPr>
      </w:pPr>
      <w:r w:rsidRPr="00B3449A">
        <w:rPr>
          <w:b/>
          <w:bCs/>
        </w:rPr>
        <w:t xml:space="preserve">It seems </w:t>
      </w:r>
      <w:r w:rsidR="00530176">
        <w:rPr>
          <w:b/>
          <w:bCs/>
        </w:rPr>
        <w:t>(</w:t>
      </w:r>
      <w:r w:rsidRPr="00B3449A">
        <w:t xml:space="preserve">from the statement of </w:t>
      </w:r>
      <w:r w:rsidRPr="00B3449A">
        <w:rPr>
          <w:rFonts w:hint="cs"/>
          <w:rtl/>
        </w:rPr>
        <w:t>ר"נ אמר שמואל</w:t>
      </w:r>
      <w:r w:rsidR="00530176">
        <w:t xml:space="preserve"> </w:t>
      </w:r>
      <w:r w:rsidRPr="00B3449A">
        <w:t xml:space="preserve">that </w:t>
      </w:r>
      <w:r w:rsidRPr="00B3449A">
        <w:rPr>
          <w:rFonts w:hint="cs"/>
          <w:u w:val="single"/>
          <w:rtl/>
        </w:rPr>
        <w:t>חכמים</w:t>
      </w:r>
      <w:r w:rsidRPr="00B3449A">
        <w:rPr>
          <w:rFonts w:hint="cs"/>
          <w:rtl/>
        </w:rPr>
        <w:t xml:space="preserve"> תקנו וכו' לבתולה מאתיים כו'</w:t>
      </w:r>
      <w:r w:rsidRPr="00B3449A">
        <w:t>)</w:t>
      </w:r>
      <w:r w:rsidRPr="00B3449A">
        <w:rPr>
          <w:b/>
          <w:bCs/>
        </w:rPr>
        <w:t xml:space="preserve"> that </w:t>
      </w:r>
      <w:r w:rsidRPr="00B3449A">
        <w:t>the obligation for a husband to give</w:t>
      </w:r>
      <w:r w:rsidRPr="00B3449A">
        <w:rPr>
          <w:b/>
          <w:bCs/>
        </w:rPr>
        <w:t xml:space="preserve"> a </w:t>
      </w:r>
      <w:r w:rsidRPr="00B3449A">
        <w:rPr>
          <w:rFonts w:hint="cs"/>
          <w:b/>
          <w:bCs/>
          <w:rtl/>
        </w:rPr>
        <w:t>כתובה</w:t>
      </w:r>
      <w:r w:rsidRPr="00B3449A">
        <w:rPr>
          <w:b/>
          <w:bCs/>
        </w:rPr>
        <w:t xml:space="preserve"> is </w:t>
      </w:r>
      <w:r w:rsidRPr="00B3449A">
        <w:rPr>
          <w:rFonts w:hint="cs"/>
          <w:b/>
          <w:bCs/>
          <w:rtl/>
        </w:rPr>
        <w:t>מדרבנן</w:t>
      </w:r>
      <w:r w:rsidRPr="00B3449A">
        <w:rPr>
          <w:b/>
          <w:bCs/>
        </w:rPr>
        <w:t xml:space="preserve">, and similarly in </w:t>
      </w:r>
      <w:r w:rsidRPr="00B3449A">
        <w:rPr>
          <w:rFonts w:hint="cs"/>
          <w:rtl/>
        </w:rPr>
        <w:t>פרק</w:t>
      </w:r>
      <w:r w:rsidRPr="00B3449A">
        <w:rPr>
          <w:rFonts w:hint="cs"/>
          <w:b/>
          <w:bCs/>
          <w:rtl/>
        </w:rPr>
        <w:t xml:space="preserve"> האשה רבה</w:t>
      </w:r>
      <w:r w:rsidRPr="00B3449A">
        <w:rPr>
          <w:b/>
          <w:bCs/>
        </w:rPr>
        <w:t xml:space="preserve"> </w:t>
      </w:r>
      <w:r>
        <w:rPr>
          <w:b/>
          <w:bCs/>
        </w:rPr>
        <w:t xml:space="preserve">regarding </w:t>
      </w:r>
      <w:r>
        <w:t xml:space="preserve">the ruling of the </w:t>
      </w:r>
      <w:r>
        <w:rPr>
          <w:rFonts w:hint="cs"/>
          <w:rtl/>
        </w:rPr>
        <w:t>משנה</w:t>
      </w:r>
      <w:r>
        <w:t xml:space="preserve"> </w:t>
      </w:r>
      <w:r>
        <w:rPr>
          <w:b/>
          <w:bCs/>
        </w:rPr>
        <w:t xml:space="preserve">that she does not receive </w:t>
      </w:r>
      <w:r>
        <w:t xml:space="preserve">her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>,</w:t>
      </w:r>
      <w:r>
        <w:t xml:space="preserve"> the </w:t>
      </w:r>
      <w:r>
        <w:rPr>
          <w:rFonts w:hint="cs"/>
          <w:rtl/>
        </w:rPr>
        <w:t>גמרא</w:t>
      </w:r>
      <w:r>
        <w:t xml:space="preserve"> there </w:t>
      </w:r>
      <w:r>
        <w:rPr>
          <w:b/>
          <w:bCs/>
        </w:rPr>
        <w:t>comments -</w:t>
      </w:r>
    </w:p>
    <w:p w:rsidR="009F7729" w:rsidRPr="00472BC8" w:rsidRDefault="004762CA" w:rsidP="00472BC8">
      <w:pPr>
        <w:bidi/>
        <w:rPr>
          <w:rFonts w:cs="David"/>
          <w:b/>
          <w:bCs/>
        </w:rPr>
      </w:pPr>
      <w:r w:rsidRPr="00472BC8">
        <w:rPr>
          <w:rFonts w:cs="David"/>
          <w:b/>
          <w:bCs/>
          <w:rtl/>
        </w:rPr>
        <w:t>מאי טעמא תקינו לה רבנן כתובה שלא תהא קלה בעיניו להוציאה</w:t>
      </w:r>
      <w:r w:rsidR="00E5512E" w:rsidRPr="00472BC8">
        <w:rPr>
          <w:rStyle w:val="FootnoteReference"/>
          <w:rFonts w:cs="David"/>
          <w:b/>
          <w:bCs/>
          <w:rtl/>
        </w:rPr>
        <w:footnoteReference w:id="3"/>
      </w:r>
      <w:r w:rsidRPr="00472BC8">
        <w:rPr>
          <w:rFonts w:cs="David"/>
          <w:b/>
          <w:bCs/>
          <w:rtl/>
        </w:rPr>
        <w:t xml:space="preserve"> כו</w:t>
      </w:r>
      <w:r w:rsidR="009F7729" w:rsidRPr="00472BC8">
        <w:rPr>
          <w:rFonts w:cs="David" w:hint="cs"/>
          <w:b/>
          <w:bCs/>
          <w:rtl/>
        </w:rPr>
        <w:t>לי</w:t>
      </w:r>
      <w:r w:rsidR="00E5512E" w:rsidRPr="00472BC8">
        <w:rPr>
          <w:rStyle w:val="FootnoteReference"/>
          <w:rFonts w:cs="David"/>
          <w:b/>
          <w:bCs/>
          <w:rtl/>
        </w:rPr>
        <w:footnoteReference w:id="4"/>
      </w:r>
      <w:r w:rsidRPr="00472BC8">
        <w:rPr>
          <w:rFonts w:cs="David"/>
          <w:b/>
          <w:bCs/>
          <w:rtl/>
        </w:rPr>
        <w:t xml:space="preserve"> </w:t>
      </w:r>
      <w:r w:rsidR="00472BC8">
        <w:rPr>
          <w:rFonts w:cs="David" w:hint="cs"/>
          <w:b/>
          <w:bCs/>
          <w:rtl/>
        </w:rPr>
        <w:t>-</w:t>
      </w:r>
    </w:p>
    <w:p w:rsidR="00B3449A" w:rsidRPr="00472BC8" w:rsidRDefault="00B3449A" w:rsidP="00B3449A">
      <w:pPr>
        <w:rPr>
          <w:sz w:val="24"/>
          <w:szCs w:val="24"/>
        </w:rPr>
      </w:pPr>
      <w:r>
        <w:rPr>
          <w:b/>
          <w:bCs/>
        </w:rPr>
        <w:t xml:space="preserve">‘What is the reason the </w:t>
      </w:r>
      <w:r>
        <w:rPr>
          <w:rFonts w:hint="cs"/>
          <w:b/>
          <w:bCs/>
          <w:rtl/>
        </w:rPr>
        <w:t>רבנן</w:t>
      </w:r>
      <w:r>
        <w:rPr>
          <w:b/>
          <w:bCs/>
        </w:rPr>
        <w:t xml:space="preserve"> instituted a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 xml:space="preserve"> </w:t>
      </w:r>
      <w:r>
        <w:t xml:space="preserve">payment </w:t>
      </w:r>
      <w:r>
        <w:rPr>
          <w:b/>
          <w:bCs/>
        </w:rPr>
        <w:t xml:space="preserve">for </w:t>
      </w:r>
      <w:r>
        <w:t xml:space="preserve">a woman, </w:t>
      </w:r>
      <w:r>
        <w:rPr>
          <w:b/>
          <w:bCs/>
        </w:rPr>
        <w:t xml:space="preserve">in order that it should not be easy in the eyes </w:t>
      </w:r>
      <w:r>
        <w:t xml:space="preserve">of the husband </w:t>
      </w:r>
      <w:r>
        <w:rPr>
          <w:b/>
          <w:bCs/>
        </w:rPr>
        <w:t>to divorce her, etc.’</w:t>
      </w:r>
      <w:r w:rsidRPr="00472BC8">
        <w:rPr>
          <w:b/>
          <w:bCs/>
          <w:sz w:val="24"/>
          <w:szCs w:val="24"/>
        </w:rPr>
        <w:t xml:space="preserve">; </w:t>
      </w:r>
      <w:r w:rsidRPr="00472BC8">
        <w:rPr>
          <w:sz w:val="24"/>
          <w:szCs w:val="24"/>
        </w:rPr>
        <w:t xml:space="preserve">it is again apparent from the statement </w:t>
      </w:r>
      <w:r w:rsidRPr="00472BC8">
        <w:rPr>
          <w:rFonts w:hint="cs"/>
          <w:sz w:val="24"/>
          <w:szCs w:val="24"/>
          <w:rtl/>
        </w:rPr>
        <w:t xml:space="preserve">מ"ט תקינו לה </w:t>
      </w:r>
      <w:r w:rsidRPr="00472BC8">
        <w:rPr>
          <w:rFonts w:hint="cs"/>
          <w:sz w:val="24"/>
          <w:szCs w:val="24"/>
          <w:u w:val="single"/>
          <w:rtl/>
        </w:rPr>
        <w:t>רבנן</w:t>
      </w:r>
      <w:r w:rsidRPr="00472BC8">
        <w:rPr>
          <w:rFonts w:hint="cs"/>
          <w:sz w:val="24"/>
          <w:szCs w:val="24"/>
          <w:rtl/>
        </w:rPr>
        <w:t xml:space="preserve"> </w:t>
      </w:r>
      <w:r w:rsidR="00472BC8" w:rsidRPr="00472BC8">
        <w:rPr>
          <w:rFonts w:hint="cs"/>
          <w:sz w:val="24"/>
          <w:szCs w:val="24"/>
          <w:rtl/>
        </w:rPr>
        <w:t>כתובה</w:t>
      </w:r>
      <w:r w:rsidR="00472BC8" w:rsidRPr="00472BC8">
        <w:rPr>
          <w:sz w:val="24"/>
          <w:szCs w:val="24"/>
        </w:rPr>
        <w:t xml:space="preserve"> that</w:t>
      </w:r>
      <w:r w:rsidRPr="00472BC8">
        <w:rPr>
          <w:sz w:val="24"/>
          <w:szCs w:val="24"/>
        </w:rPr>
        <w:t xml:space="preserve"> the </w:t>
      </w:r>
      <w:r w:rsidRPr="00472BC8">
        <w:rPr>
          <w:rFonts w:hint="cs"/>
          <w:sz w:val="24"/>
          <w:szCs w:val="24"/>
          <w:rtl/>
        </w:rPr>
        <w:t>חיוב כתובה</w:t>
      </w:r>
      <w:r w:rsidRPr="00472BC8">
        <w:rPr>
          <w:sz w:val="24"/>
          <w:szCs w:val="24"/>
        </w:rPr>
        <w:t xml:space="preserve"> is </w:t>
      </w:r>
      <w:r w:rsidRPr="00472BC8">
        <w:rPr>
          <w:rFonts w:hint="cs"/>
          <w:sz w:val="24"/>
          <w:szCs w:val="24"/>
          <w:rtl/>
        </w:rPr>
        <w:t>מדרבנן</w:t>
      </w:r>
      <w:r w:rsidRPr="00472BC8">
        <w:rPr>
          <w:sz w:val="24"/>
          <w:szCs w:val="24"/>
        </w:rPr>
        <w:t>.</w:t>
      </w:r>
    </w:p>
    <w:p w:rsidR="009F7729" w:rsidRPr="00681C24" w:rsidRDefault="004762CA" w:rsidP="009F7729">
      <w:pPr>
        <w:bidi/>
        <w:rPr>
          <w:rFonts w:cs="David"/>
          <w:b/>
          <w:bCs/>
        </w:rPr>
      </w:pPr>
      <w:r w:rsidRPr="00681C24">
        <w:rPr>
          <w:rFonts w:cs="David"/>
          <w:b/>
          <w:bCs/>
          <w:rtl/>
        </w:rPr>
        <w:t xml:space="preserve">אלמא סתמא דהש"ס סבר דכתובה דרבנן </w:t>
      </w:r>
      <w:r w:rsidR="009F7729" w:rsidRPr="00681C24">
        <w:rPr>
          <w:rFonts w:cs="David"/>
          <w:b/>
          <w:bCs/>
          <w:rtl/>
        </w:rPr>
        <w:t>–</w:t>
      </w:r>
    </w:p>
    <w:p w:rsidR="00E5512E" w:rsidRPr="00681C24" w:rsidRDefault="00E5512E" w:rsidP="00E5512E">
      <w:pPr>
        <w:rPr>
          <w:b/>
          <w:bCs/>
          <w:sz w:val="24"/>
          <w:szCs w:val="24"/>
        </w:rPr>
      </w:pPr>
      <w:r>
        <w:rPr>
          <w:b/>
          <w:bCs/>
        </w:rPr>
        <w:t xml:space="preserve">It is evident </w:t>
      </w:r>
      <w:r w:rsidRPr="00956A3D">
        <w:rPr>
          <w:b/>
          <w:bCs/>
        </w:rPr>
        <w:t>that the general</w:t>
      </w:r>
      <w:r>
        <w:t xml:space="preserve"> </w:t>
      </w:r>
      <w:r w:rsidRPr="00956A3D">
        <w:rPr>
          <w:b/>
          <w:bCs/>
        </w:rPr>
        <w:t>consensus</w:t>
      </w:r>
      <w:r>
        <w:t xml:space="preserve"> </w:t>
      </w:r>
      <w:r>
        <w:rPr>
          <w:b/>
          <w:bCs/>
        </w:rPr>
        <w:t xml:space="preserve">of the </w:t>
      </w:r>
      <w:r>
        <w:rPr>
          <w:rFonts w:hint="cs"/>
          <w:b/>
          <w:bCs/>
          <w:rtl/>
        </w:rPr>
        <w:t>גמרא</w:t>
      </w:r>
      <w:r>
        <w:rPr>
          <w:b/>
          <w:bCs/>
        </w:rPr>
        <w:t xml:space="preserve"> is that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 xml:space="preserve"> is a </w:t>
      </w:r>
      <w:r>
        <w:rPr>
          <w:rFonts w:hint="cs"/>
          <w:b/>
          <w:bCs/>
          <w:rtl/>
        </w:rPr>
        <w:t>רבנן</w:t>
      </w:r>
      <w:r>
        <w:rPr>
          <w:b/>
          <w:bCs/>
        </w:rPr>
        <w:t xml:space="preserve"> </w:t>
      </w:r>
      <w:r w:rsidRPr="00681C24">
        <w:rPr>
          <w:sz w:val="24"/>
          <w:szCs w:val="24"/>
        </w:rPr>
        <w:t xml:space="preserve">obligation. </w:t>
      </w:r>
      <w:r w:rsidRPr="00681C24">
        <w:rPr>
          <w:b/>
          <w:bCs/>
          <w:sz w:val="24"/>
          <w:szCs w:val="24"/>
        </w:rPr>
        <w:t xml:space="preserve"> </w:t>
      </w:r>
    </w:p>
    <w:p w:rsidR="00E5512E" w:rsidRPr="00681C24" w:rsidRDefault="00E5512E" w:rsidP="00E5512E">
      <w:pPr>
        <w:rPr>
          <w:b/>
          <w:bCs/>
          <w:sz w:val="24"/>
          <w:szCs w:val="24"/>
        </w:rPr>
      </w:pPr>
    </w:p>
    <w:p w:rsidR="00E5512E" w:rsidRPr="00681C24" w:rsidRDefault="00E5512E" w:rsidP="00E5512E">
      <w:pPr>
        <w:rPr>
          <w:sz w:val="24"/>
          <w:szCs w:val="24"/>
        </w:rPr>
      </w:pPr>
      <w:r w:rsidRPr="00681C24">
        <w:rPr>
          <w:rFonts w:hint="cs"/>
          <w:sz w:val="24"/>
          <w:szCs w:val="24"/>
          <w:rtl/>
        </w:rPr>
        <w:t>תוספות</w:t>
      </w:r>
      <w:r w:rsidRPr="00681C24">
        <w:rPr>
          <w:sz w:val="24"/>
          <w:szCs w:val="24"/>
        </w:rPr>
        <w:t xml:space="preserve"> asks:</w:t>
      </w:r>
    </w:p>
    <w:p w:rsidR="009F7729" w:rsidRPr="00681C24" w:rsidRDefault="004762CA" w:rsidP="009F7729">
      <w:pPr>
        <w:bidi/>
        <w:rPr>
          <w:rFonts w:cs="David"/>
          <w:b/>
          <w:bCs/>
        </w:rPr>
      </w:pPr>
      <w:r w:rsidRPr="00681C24">
        <w:rPr>
          <w:rFonts w:cs="David"/>
          <w:b/>
          <w:bCs/>
          <w:rtl/>
        </w:rPr>
        <w:t xml:space="preserve">וקשה דנהגו לכתוב בכתובה כסף זוזי מאתן דחזו ליכי מדאורייתא </w:t>
      </w:r>
      <w:r w:rsidR="009F7729" w:rsidRPr="00681C24">
        <w:rPr>
          <w:rFonts w:cs="David"/>
          <w:b/>
          <w:bCs/>
          <w:rtl/>
        </w:rPr>
        <w:t>–</w:t>
      </w:r>
    </w:p>
    <w:p w:rsidR="00E5512E" w:rsidRPr="00681C24" w:rsidRDefault="00E5512E" w:rsidP="00681C24">
      <w:pPr>
        <w:rPr>
          <w:sz w:val="24"/>
          <w:szCs w:val="24"/>
        </w:rPr>
      </w:pPr>
      <w:r>
        <w:rPr>
          <w:b/>
          <w:bCs/>
        </w:rPr>
        <w:t xml:space="preserve">And there is a difficulty; for </w:t>
      </w:r>
      <w:r w:rsidR="00681C24">
        <w:rPr>
          <w:b/>
          <w:bCs/>
        </w:rPr>
        <w:t>it is</w:t>
      </w:r>
      <w:r>
        <w:rPr>
          <w:b/>
          <w:bCs/>
        </w:rPr>
        <w:t xml:space="preserve"> custom</w:t>
      </w:r>
      <w:r w:rsidR="00681C24">
        <w:rPr>
          <w:b/>
          <w:bCs/>
        </w:rPr>
        <w:t>ary</w:t>
      </w:r>
      <w:r>
        <w:rPr>
          <w:b/>
          <w:bCs/>
        </w:rPr>
        <w:t xml:space="preserve"> to write in the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 xml:space="preserve"> </w:t>
      </w:r>
      <w:r>
        <w:t>document that he is obligating to pay her (if he predeceases her or divorces her) ‘</w:t>
      </w:r>
      <w:r>
        <w:rPr>
          <w:b/>
          <w:bCs/>
        </w:rPr>
        <w:t xml:space="preserve">two hundred </w:t>
      </w:r>
      <w:r>
        <w:rPr>
          <w:rFonts w:hint="cs"/>
          <w:b/>
          <w:bCs/>
          <w:rtl/>
        </w:rPr>
        <w:t>זוזים</w:t>
      </w:r>
      <w:r>
        <w:rPr>
          <w:b/>
          <w:bCs/>
        </w:rPr>
        <w:t xml:space="preserve"> which you deserve </w:t>
      </w:r>
      <w:r>
        <w:rPr>
          <w:rFonts w:hint="cs"/>
          <w:b/>
          <w:bCs/>
          <w:rtl/>
        </w:rPr>
        <w:t>מדאורייתא</w:t>
      </w:r>
      <w:r>
        <w:rPr>
          <w:b/>
          <w:bCs/>
        </w:rPr>
        <w:t>’</w:t>
      </w:r>
      <w:r w:rsidRPr="00681C24">
        <w:rPr>
          <w:sz w:val="24"/>
          <w:szCs w:val="24"/>
        </w:rPr>
        <w:t xml:space="preserve">; indicating that </w:t>
      </w:r>
      <w:r w:rsidRPr="00681C24">
        <w:rPr>
          <w:rFonts w:hint="cs"/>
          <w:sz w:val="24"/>
          <w:szCs w:val="24"/>
          <w:rtl/>
        </w:rPr>
        <w:t>כתובה</w:t>
      </w:r>
      <w:r w:rsidRPr="00681C24">
        <w:rPr>
          <w:sz w:val="24"/>
          <w:szCs w:val="24"/>
        </w:rPr>
        <w:t xml:space="preserve"> is </w:t>
      </w:r>
      <w:r w:rsidRPr="00681C24">
        <w:rPr>
          <w:rFonts w:hint="cs"/>
          <w:sz w:val="24"/>
          <w:szCs w:val="24"/>
          <w:rtl/>
        </w:rPr>
        <w:t>מדאורייתא</w:t>
      </w:r>
      <w:r w:rsidRPr="00681C24">
        <w:rPr>
          <w:sz w:val="24"/>
          <w:szCs w:val="24"/>
        </w:rPr>
        <w:t>!</w:t>
      </w:r>
    </w:p>
    <w:p w:rsidR="00E5512E" w:rsidRPr="00681C24" w:rsidRDefault="00E5512E" w:rsidP="00E5512E">
      <w:pPr>
        <w:rPr>
          <w:sz w:val="24"/>
          <w:szCs w:val="24"/>
        </w:rPr>
      </w:pPr>
    </w:p>
    <w:p w:rsidR="00E5512E" w:rsidRPr="00681C24" w:rsidRDefault="00E5512E" w:rsidP="00E5512E">
      <w:pPr>
        <w:rPr>
          <w:sz w:val="24"/>
          <w:szCs w:val="24"/>
        </w:rPr>
      </w:pPr>
      <w:r w:rsidRPr="00681C24">
        <w:rPr>
          <w:rFonts w:hint="cs"/>
          <w:sz w:val="24"/>
          <w:szCs w:val="24"/>
          <w:rtl/>
        </w:rPr>
        <w:t>תוספות</w:t>
      </w:r>
      <w:r w:rsidRPr="00681C24">
        <w:rPr>
          <w:sz w:val="24"/>
          <w:szCs w:val="24"/>
        </w:rPr>
        <w:t xml:space="preserve"> answers:</w:t>
      </w:r>
    </w:p>
    <w:p w:rsidR="009F7729" w:rsidRPr="00681C24" w:rsidRDefault="004762CA" w:rsidP="00681C24">
      <w:pPr>
        <w:bidi/>
        <w:rPr>
          <w:rFonts w:cs="David"/>
          <w:b/>
          <w:bCs/>
        </w:rPr>
      </w:pPr>
      <w:r w:rsidRPr="00681C24">
        <w:rPr>
          <w:rFonts w:cs="David"/>
          <w:b/>
          <w:bCs/>
          <w:rtl/>
        </w:rPr>
        <w:lastRenderedPageBreak/>
        <w:t>ואו</w:t>
      </w:r>
      <w:r w:rsidR="009F7729" w:rsidRPr="00681C24">
        <w:rPr>
          <w:rFonts w:cs="David" w:hint="cs"/>
          <w:b/>
          <w:bCs/>
          <w:rtl/>
        </w:rPr>
        <w:t xml:space="preserve">מר </w:t>
      </w:r>
      <w:r w:rsidRPr="00681C24">
        <w:rPr>
          <w:rFonts w:cs="David"/>
          <w:b/>
          <w:bCs/>
          <w:rtl/>
        </w:rPr>
        <w:t>ר</w:t>
      </w:r>
      <w:r w:rsidR="009F7729" w:rsidRPr="00681C24">
        <w:rPr>
          <w:rFonts w:cs="David" w:hint="cs"/>
          <w:b/>
          <w:bCs/>
          <w:rtl/>
        </w:rPr>
        <w:t xml:space="preserve">בינו </w:t>
      </w:r>
      <w:r w:rsidRPr="00681C24">
        <w:rPr>
          <w:rFonts w:cs="David"/>
          <w:b/>
          <w:bCs/>
          <w:rtl/>
        </w:rPr>
        <w:t>ת</w:t>
      </w:r>
      <w:r w:rsidR="009F7729" w:rsidRPr="00681C24">
        <w:rPr>
          <w:rFonts w:cs="David" w:hint="cs"/>
          <w:b/>
          <w:bCs/>
          <w:rtl/>
        </w:rPr>
        <w:t>ם</w:t>
      </w:r>
      <w:r w:rsidRPr="00681C24">
        <w:rPr>
          <w:rFonts w:cs="David"/>
          <w:b/>
          <w:bCs/>
          <w:rtl/>
        </w:rPr>
        <w:t xml:space="preserve"> דסמכינן</w:t>
      </w:r>
      <w:r w:rsidR="00AA4E9A" w:rsidRPr="00681C24">
        <w:rPr>
          <w:rStyle w:val="FootnoteReference"/>
          <w:rFonts w:cs="David"/>
          <w:b/>
          <w:bCs/>
          <w:rtl/>
        </w:rPr>
        <w:footnoteReference w:id="5"/>
      </w:r>
      <w:r w:rsidRPr="00681C24">
        <w:rPr>
          <w:rFonts w:cs="David"/>
          <w:b/>
          <w:bCs/>
          <w:rtl/>
        </w:rPr>
        <w:t xml:space="preserve"> אר</w:t>
      </w:r>
      <w:r w:rsidR="009F7729" w:rsidRPr="00681C24">
        <w:rPr>
          <w:rFonts w:cs="David" w:hint="cs"/>
          <w:b/>
          <w:bCs/>
          <w:rtl/>
        </w:rPr>
        <w:t xml:space="preserve">בן </w:t>
      </w:r>
      <w:r w:rsidRPr="00681C24">
        <w:rPr>
          <w:rFonts w:cs="David"/>
          <w:b/>
          <w:bCs/>
          <w:rtl/>
        </w:rPr>
        <w:t>ש</w:t>
      </w:r>
      <w:r w:rsidR="009F7729" w:rsidRPr="00681C24">
        <w:rPr>
          <w:rFonts w:cs="David" w:hint="cs"/>
          <w:b/>
          <w:bCs/>
          <w:rtl/>
        </w:rPr>
        <w:t xml:space="preserve">מעון </w:t>
      </w:r>
      <w:r w:rsidRPr="00681C24">
        <w:rPr>
          <w:rFonts w:cs="David"/>
          <w:b/>
          <w:bCs/>
          <w:rtl/>
        </w:rPr>
        <w:t>ב</w:t>
      </w:r>
      <w:r w:rsidR="009F7729" w:rsidRPr="00681C24">
        <w:rPr>
          <w:rFonts w:cs="David" w:hint="cs"/>
          <w:b/>
          <w:bCs/>
          <w:rtl/>
        </w:rPr>
        <w:t xml:space="preserve">ן </w:t>
      </w:r>
      <w:r w:rsidRPr="00681C24">
        <w:rPr>
          <w:rFonts w:cs="David"/>
          <w:b/>
          <w:bCs/>
          <w:rtl/>
        </w:rPr>
        <w:t>ג</w:t>
      </w:r>
      <w:r w:rsidR="009F7729" w:rsidRPr="00681C24">
        <w:rPr>
          <w:rFonts w:cs="David" w:hint="cs"/>
          <w:b/>
          <w:bCs/>
          <w:rtl/>
        </w:rPr>
        <w:t>מליאל</w:t>
      </w:r>
      <w:r w:rsidRPr="00681C24">
        <w:rPr>
          <w:rFonts w:cs="David"/>
          <w:b/>
          <w:bCs/>
          <w:rtl/>
        </w:rPr>
        <w:t xml:space="preserve"> דמתני</w:t>
      </w:r>
      <w:r w:rsidR="009F7729" w:rsidRPr="00681C24">
        <w:rPr>
          <w:rFonts w:cs="David" w:hint="cs"/>
          <w:b/>
          <w:bCs/>
          <w:rtl/>
        </w:rPr>
        <w:t>תין</w:t>
      </w:r>
      <w:r w:rsidRPr="00681C24">
        <w:rPr>
          <w:rFonts w:cs="David"/>
          <w:b/>
          <w:bCs/>
          <w:rtl/>
        </w:rPr>
        <w:t xml:space="preserve"> דפרק בתרא</w:t>
      </w:r>
      <w:r w:rsidR="001D24A9" w:rsidRPr="00681C24">
        <w:rPr>
          <w:rStyle w:val="FootnoteReference"/>
          <w:rFonts w:cs="David"/>
          <w:b/>
          <w:bCs/>
          <w:rtl/>
        </w:rPr>
        <w:footnoteReference w:id="6"/>
      </w:r>
      <w:r w:rsidRPr="00681C24">
        <w:rPr>
          <w:rFonts w:cs="David"/>
          <w:b/>
          <w:bCs/>
          <w:rtl/>
        </w:rPr>
        <w:t xml:space="preserve"> </w:t>
      </w:r>
      <w:r w:rsidRPr="00681C24">
        <w:rPr>
          <w:rFonts w:cs="David"/>
          <w:b/>
          <w:bCs/>
          <w:sz w:val="20"/>
          <w:szCs w:val="20"/>
          <w:rtl/>
        </w:rPr>
        <w:t>(דף קי</w:t>
      </w:r>
      <w:r w:rsidR="009F7729" w:rsidRPr="00681C24">
        <w:rPr>
          <w:rFonts w:cs="David" w:hint="cs"/>
          <w:b/>
          <w:bCs/>
          <w:sz w:val="20"/>
          <w:szCs w:val="20"/>
          <w:rtl/>
        </w:rPr>
        <w:t>,ב</w:t>
      </w:r>
      <w:r w:rsidRPr="00681C24">
        <w:rPr>
          <w:rFonts w:cs="David"/>
          <w:b/>
          <w:bCs/>
          <w:sz w:val="20"/>
          <w:szCs w:val="20"/>
          <w:rtl/>
        </w:rPr>
        <w:t>)</w:t>
      </w:r>
      <w:r w:rsidRPr="00681C24">
        <w:rPr>
          <w:rFonts w:cs="David"/>
          <w:b/>
          <w:bCs/>
          <w:rtl/>
        </w:rPr>
        <w:t xml:space="preserve"> </w:t>
      </w:r>
      <w:r w:rsidR="00681C24">
        <w:rPr>
          <w:rFonts w:cs="David" w:hint="cs"/>
          <w:b/>
          <w:bCs/>
          <w:rtl/>
        </w:rPr>
        <w:t>-</w:t>
      </w:r>
    </w:p>
    <w:p w:rsidR="00E5512E" w:rsidRPr="00E5512E" w:rsidRDefault="00E5512E" w:rsidP="00E5512E">
      <w:pPr>
        <w:rPr>
          <w:b/>
          <w:bCs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s</w:t>
      </w:r>
      <w:r w:rsidR="00530176">
        <w:rPr>
          <w:b/>
          <w:bCs/>
        </w:rPr>
        <w:t>a</w:t>
      </w:r>
      <w:r>
        <w:rPr>
          <w:b/>
          <w:bCs/>
        </w:rPr>
        <w:t xml:space="preserve">ys that we depend on </w:t>
      </w:r>
      <w:r>
        <w:rPr>
          <w:rFonts w:hint="cs"/>
          <w:b/>
          <w:bCs/>
          <w:rtl/>
        </w:rPr>
        <w:t>רשב"ג</w:t>
      </w:r>
      <w:r>
        <w:rPr>
          <w:b/>
          <w:bCs/>
        </w:rPr>
        <w:t xml:space="preserve"> </w:t>
      </w:r>
      <w:r>
        <w:t xml:space="preserve">cited </w:t>
      </w:r>
      <w:r>
        <w:rPr>
          <w:b/>
          <w:bCs/>
        </w:rPr>
        <w:t xml:space="preserve">in a </w:t>
      </w:r>
      <w:r>
        <w:rPr>
          <w:rFonts w:hint="cs"/>
          <w:b/>
          <w:bCs/>
          <w:rtl/>
        </w:rPr>
        <w:t>משנה</w:t>
      </w:r>
      <w:r>
        <w:rPr>
          <w:b/>
          <w:bCs/>
        </w:rPr>
        <w:t xml:space="preserve"> in the last </w:t>
      </w:r>
      <w:r>
        <w:rPr>
          <w:rFonts w:hint="cs"/>
          <w:b/>
          <w:bCs/>
          <w:rtl/>
        </w:rPr>
        <w:t>פרק</w:t>
      </w:r>
      <w:r>
        <w:rPr>
          <w:b/>
          <w:bCs/>
        </w:rPr>
        <w:t xml:space="preserve"> -</w:t>
      </w:r>
    </w:p>
    <w:p w:rsidR="009F7729" w:rsidRPr="00681C24" w:rsidRDefault="004762CA" w:rsidP="00681C24">
      <w:pPr>
        <w:bidi/>
        <w:rPr>
          <w:rFonts w:cs="David"/>
          <w:b/>
          <w:bCs/>
        </w:rPr>
      </w:pPr>
      <w:r w:rsidRPr="00681C24">
        <w:rPr>
          <w:rFonts w:cs="David"/>
          <w:b/>
          <w:bCs/>
          <w:rtl/>
        </w:rPr>
        <w:t>דמייתי לה נמי בסמוך דאמר נותן לה ממעות קפוטקיא</w:t>
      </w:r>
      <w:r w:rsidR="001D24A9" w:rsidRPr="00681C24">
        <w:rPr>
          <w:rStyle w:val="FootnoteReference"/>
          <w:rFonts w:cs="David"/>
          <w:b/>
          <w:bCs/>
          <w:rtl/>
        </w:rPr>
        <w:footnoteReference w:id="7"/>
      </w:r>
      <w:r w:rsidRPr="00681C24">
        <w:rPr>
          <w:rFonts w:cs="David"/>
          <w:b/>
          <w:bCs/>
          <w:rtl/>
        </w:rPr>
        <w:t xml:space="preserve"> דקסבר כתובה דאורייתא </w:t>
      </w:r>
      <w:r w:rsidR="00681C24">
        <w:rPr>
          <w:rFonts w:cs="David" w:hint="cs"/>
          <w:b/>
          <w:bCs/>
          <w:rtl/>
        </w:rPr>
        <w:t>-</w:t>
      </w:r>
    </w:p>
    <w:p w:rsidR="00E5512E" w:rsidRPr="00E5512E" w:rsidRDefault="00E5512E" w:rsidP="00E5512E">
      <w:pPr>
        <w:rPr>
          <w:b/>
          <w:bCs/>
        </w:rPr>
      </w:pPr>
      <w:r>
        <w:rPr>
          <w:b/>
          <w:bCs/>
        </w:rPr>
        <w:t xml:space="preserve">Which is also mentioned shortly, who states, ‘he pays her with money of </w:t>
      </w:r>
      <w:r>
        <w:rPr>
          <w:rFonts w:hint="cs"/>
          <w:b/>
          <w:bCs/>
          <w:rtl/>
        </w:rPr>
        <w:t>קפוטקיא</w:t>
      </w:r>
      <w:r>
        <w:rPr>
          <w:b/>
          <w:bCs/>
        </w:rPr>
        <w:t xml:space="preserve">’ because </w:t>
      </w:r>
      <w:r>
        <w:rPr>
          <w:rFonts w:hint="cs"/>
          <w:rtl/>
        </w:rPr>
        <w:t>רשב"ג</w:t>
      </w:r>
      <w:r>
        <w:t xml:space="preserve"> </w:t>
      </w:r>
      <w:r>
        <w:rPr>
          <w:b/>
          <w:bCs/>
        </w:rPr>
        <w:t xml:space="preserve">maintains </w:t>
      </w:r>
      <w:r>
        <w:rPr>
          <w:rFonts w:hint="cs"/>
          <w:b/>
          <w:bCs/>
          <w:rtl/>
        </w:rPr>
        <w:t>כתובה דאורייתא</w:t>
      </w:r>
      <w:r w:rsidR="001D24A9">
        <w:rPr>
          <w:b/>
          <w:bCs/>
        </w:rPr>
        <w:t xml:space="preserve"> -</w:t>
      </w:r>
      <w:r>
        <w:rPr>
          <w:b/>
          <w:bCs/>
        </w:rPr>
        <w:t xml:space="preserve"> </w:t>
      </w:r>
    </w:p>
    <w:p w:rsidR="009F7729" w:rsidRPr="00681C24" w:rsidRDefault="004762CA" w:rsidP="00681C24">
      <w:pPr>
        <w:bidi/>
        <w:rPr>
          <w:rFonts w:cs="David"/>
          <w:b/>
          <w:bCs/>
        </w:rPr>
      </w:pPr>
      <w:r w:rsidRPr="00681C24">
        <w:rPr>
          <w:rFonts w:cs="David"/>
          <w:b/>
          <w:bCs/>
          <w:rtl/>
        </w:rPr>
        <w:t>וקי</w:t>
      </w:r>
      <w:r w:rsidR="009F7729" w:rsidRPr="00681C24">
        <w:rPr>
          <w:rFonts w:cs="David" w:hint="cs"/>
          <w:b/>
          <w:bCs/>
          <w:rtl/>
        </w:rPr>
        <w:t xml:space="preserve">ימא </w:t>
      </w:r>
      <w:r w:rsidRPr="00681C24">
        <w:rPr>
          <w:rFonts w:cs="David"/>
          <w:b/>
          <w:bCs/>
          <w:rtl/>
        </w:rPr>
        <w:t>ל</w:t>
      </w:r>
      <w:r w:rsidR="009F7729" w:rsidRPr="00681C24">
        <w:rPr>
          <w:rFonts w:cs="David" w:hint="cs"/>
          <w:b/>
          <w:bCs/>
          <w:rtl/>
        </w:rPr>
        <w:t>ן</w:t>
      </w:r>
      <w:r w:rsidRPr="00681C24">
        <w:rPr>
          <w:rFonts w:cs="David"/>
          <w:b/>
          <w:bCs/>
          <w:rtl/>
        </w:rPr>
        <w:t xml:space="preserve"> כר</w:t>
      </w:r>
      <w:r w:rsidR="009F7729" w:rsidRPr="00681C24">
        <w:rPr>
          <w:rFonts w:cs="David" w:hint="cs"/>
          <w:b/>
          <w:bCs/>
          <w:rtl/>
        </w:rPr>
        <w:t xml:space="preserve">בן </w:t>
      </w:r>
      <w:r w:rsidRPr="00681C24">
        <w:rPr>
          <w:rFonts w:cs="David"/>
          <w:b/>
          <w:bCs/>
          <w:rtl/>
        </w:rPr>
        <w:t>ש</w:t>
      </w:r>
      <w:r w:rsidR="009F7729" w:rsidRPr="00681C24">
        <w:rPr>
          <w:rFonts w:cs="David" w:hint="cs"/>
          <w:b/>
          <w:bCs/>
          <w:rtl/>
        </w:rPr>
        <w:t xml:space="preserve">מעון </w:t>
      </w:r>
      <w:r w:rsidRPr="00681C24">
        <w:rPr>
          <w:rFonts w:cs="David"/>
          <w:b/>
          <w:bCs/>
          <w:rtl/>
        </w:rPr>
        <w:t>ב</w:t>
      </w:r>
      <w:r w:rsidR="009F7729" w:rsidRPr="00681C24">
        <w:rPr>
          <w:rFonts w:cs="David" w:hint="cs"/>
          <w:b/>
          <w:bCs/>
          <w:rtl/>
        </w:rPr>
        <w:t xml:space="preserve">ן </w:t>
      </w:r>
      <w:r w:rsidRPr="00681C24">
        <w:rPr>
          <w:rFonts w:cs="David"/>
          <w:b/>
          <w:bCs/>
          <w:rtl/>
        </w:rPr>
        <w:t>ג</w:t>
      </w:r>
      <w:r w:rsidR="009F7729" w:rsidRPr="00681C24">
        <w:rPr>
          <w:rFonts w:cs="David" w:hint="cs"/>
          <w:b/>
          <w:bCs/>
          <w:rtl/>
        </w:rPr>
        <w:t>מליאל</w:t>
      </w:r>
      <w:r w:rsidRPr="00681C24">
        <w:rPr>
          <w:rFonts w:cs="David"/>
          <w:b/>
          <w:bCs/>
          <w:rtl/>
        </w:rPr>
        <w:t xml:space="preserve"> במשנתנו</w:t>
      </w:r>
      <w:r w:rsidR="001D24A9" w:rsidRPr="00681C24">
        <w:rPr>
          <w:rStyle w:val="FootnoteReference"/>
          <w:rFonts w:cs="David"/>
          <w:b/>
          <w:bCs/>
          <w:rtl/>
        </w:rPr>
        <w:footnoteReference w:id="8"/>
      </w:r>
      <w:r w:rsidRPr="00681C24">
        <w:rPr>
          <w:rFonts w:cs="David"/>
          <w:b/>
          <w:bCs/>
          <w:rtl/>
        </w:rPr>
        <w:t xml:space="preserve"> </w:t>
      </w:r>
      <w:r w:rsidR="00681C24">
        <w:rPr>
          <w:rFonts w:cs="David" w:hint="cs"/>
          <w:b/>
          <w:bCs/>
          <w:rtl/>
        </w:rPr>
        <w:t>-</w:t>
      </w:r>
    </w:p>
    <w:p w:rsidR="001D24A9" w:rsidRDefault="001D24A9" w:rsidP="001D24A9">
      <w:pPr>
        <w:rPr>
          <w:b/>
          <w:bCs/>
        </w:rPr>
      </w:pPr>
      <w:r>
        <w:rPr>
          <w:b/>
          <w:bCs/>
        </w:rPr>
        <w:t xml:space="preserve">And we have </w:t>
      </w:r>
      <w:r w:rsidR="00CE1D2C">
        <w:rPr>
          <w:b/>
          <w:bCs/>
        </w:rPr>
        <w:t xml:space="preserve">an </w:t>
      </w:r>
      <w:r>
        <w:rPr>
          <w:b/>
          <w:bCs/>
        </w:rPr>
        <w:t xml:space="preserve">established rule </w:t>
      </w:r>
      <w:r>
        <w:t xml:space="preserve">that we follow the rulings of </w:t>
      </w:r>
      <w:r>
        <w:rPr>
          <w:rFonts w:hint="cs"/>
          <w:b/>
          <w:bCs/>
          <w:rtl/>
        </w:rPr>
        <w:t>רשב"ג</w:t>
      </w:r>
      <w:r>
        <w:rPr>
          <w:b/>
          <w:bCs/>
        </w:rPr>
        <w:t xml:space="preserve"> </w:t>
      </w:r>
      <w:r>
        <w:t xml:space="preserve">where his opinion is mentioned </w:t>
      </w:r>
      <w:r>
        <w:rPr>
          <w:b/>
          <w:bCs/>
        </w:rPr>
        <w:t xml:space="preserve">in a </w:t>
      </w:r>
      <w:r>
        <w:rPr>
          <w:rFonts w:hint="cs"/>
          <w:b/>
          <w:bCs/>
          <w:rtl/>
        </w:rPr>
        <w:t>משנה</w:t>
      </w:r>
      <w:r>
        <w:rPr>
          <w:b/>
          <w:bCs/>
        </w:rPr>
        <w:t>.</w:t>
      </w:r>
    </w:p>
    <w:p w:rsidR="00D54E50" w:rsidRPr="00681C24" w:rsidRDefault="00D54E50" w:rsidP="001D24A9">
      <w:pPr>
        <w:rPr>
          <w:b/>
          <w:bCs/>
          <w:sz w:val="24"/>
          <w:szCs w:val="24"/>
        </w:rPr>
      </w:pPr>
    </w:p>
    <w:p w:rsidR="00D54E50" w:rsidRPr="00681C24" w:rsidRDefault="00D54E50" w:rsidP="001D24A9">
      <w:pPr>
        <w:rPr>
          <w:sz w:val="24"/>
          <w:szCs w:val="24"/>
        </w:rPr>
      </w:pPr>
      <w:r w:rsidRPr="00681C24">
        <w:rPr>
          <w:rFonts w:hint="cs"/>
          <w:sz w:val="24"/>
          <w:szCs w:val="24"/>
          <w:rtl/>
        </w:rPr>
        <w:t>תוספות</w:t>
      </w:r>
      <w:r w:rsidRPr="00681C24">
        <w:rPr>
          <w:sz w:val="24"/>
          <w:szCs w:val="24"/>
        </w:rPr>
        <w:t xml:space="preserve"> offers an alternate explanation:</w:t>
      </w:r>
    </w:p>
    <w:p w:rsidR="009F7729" w:rsidRPr="00681C24" w:rsidRDefault="004762CA" w:rsidP="00681C24">
      <w:pPr>
        <w:bidi/>
        <w:rPr>
          <w:rFonts w:cs="David"/>
          <w:b/>
          <w:bCs/>
        </w:rPr>
      </w:pPr>
      <w:r w:rsidRPr="00681C24">
        <w:rPr>
          <w:rFonts w:cs="David"/>
          <w:b/>
          <w:bCs/>
          <w:rtl/>
        </w:rPr>
        <w:t>ועוד או</w:t>
      </w:r>
      <w:r w:rsidR="009F7729" w:rsidRPr="00681C24">
        <w:rPr>
          <w:rFonts w:cs="David" w:hint="cs"/>
          <w:b/>
          <w:bCs/>
          <w:rtl/>
        </w:rPr>
        <w:t xml:space="preserve">מר </w:t>
      </w:r>
      <w:r w:rsidRPr="00681C24">
        <w:rPr>
          <w:rFonts w:cs="David"/>
          <w:b/>
          <w:bCs/>
          <w:rtl/>
        </w:rPr>
        <w:t>ר</w:t>
      </w:r>
      <w:r w:rsidR="009F7729" w:rsidRPr="00681C24">
        <w:rPr>
          <w:rFonts w:cs="David" w:hint="cs"/>
          <w:b/>
          <w:bCs/>
          <w:rtl/>
        </w:rPr>
        <w:t xml:space="preserve">בינו </w:t>
      </w:r>
      <w:r w:rsidRPr="00681C24">
        <w:rPr>
          <w:rFonts w:cs="David"/>
          <w:b/>
          <w:bCs/>
          <w:rtl/>
        </w:rPr>
        <w:t>י</w:t>
      </w:r>
      <w:r w:rsidR="009F7729" w:rsidRPr="00681C24">
        <w:rPr>
          <w:rFonts w:cs="David" w:hint="cs"/>
          <w:b/>
          <w:bCs/>
          <w:rtl/>
        </w:rPr>
        <w:t>צחק</w:t>
      </w:r>
      <w:r w:rsidRPr="00681C24">
        <w:rPr>
          <w:rFonts w:cs="David"/>
          <w:b/>
          <w:bCs/>
          <w:rtl/>
        </w:rPr>
        <w:t xml:space="preserve"> דלא קיימא לן כר</w:t>
      </w:r>
      <w:r w:rsidR="009F7729" w:rsidRPr="00681C24">
        <w:rPr>
          <w:rFonts w:cs="David" w:hint="cs"/>
          <w:b/>
          <w:bCs/>
          <w:rtl/>
        </w:rPr>
        <w:t xml:space="preserve">ב </w:t>
      </w:r>
      <w:r w:rsidRPr="00681C24">
        <w:rPr>
          <w:rFonts w:cs="David"/>
          <w:b/>
          <w:bCs/>
          <w:rtl/>
        </w:rPr>
        <w:t>נ</w:t>
      </w:r>
      <w:r w:rsidR="009F7729" w:rsidRPr="00681C24">
        <w:rPr>
          <w:rFonts w:cs="David" w:hint="cs"/>
          <w:b/>
          <w:bCs/>
          <w:rtl/>
        </w:rPr>
        <w:t>חמן</w:t>
      </w:r>
      <w:r w:rsidR="00681C24">
        <w:rPr>
          <w:rStyle w:val="FootnoteReference"/>
          <w:rFonts w:cs="David"/>
          <w:b/>
          <w:bCs/>
          <w:rtl/>
        </w:rPr>
        <w:footnoteReference w:id="9"/>
      </w:r>
      <w:r w:rsidRPr="00681C24">
        <w:rPr>
          <w:rFonts w:cs="David"/>
          <w:b/>
          <w:bCs/>
          <w:rtl/>
        </w:rPr>
        <w:t xml:space="preserve"> </w:t>
      </w:r>
      <w:r w:rsidR="00681C24">
        <w:rPr>
          <w:rFonts w:cs="David" w:hint="cs"/>
          <w:b/>
          <w:bCs/>
          <w:rtl/>
        </w:rPr>
        <w:t>-</w:t>
      </w:r>
    </w:p>
    <w:p w:rsidR="00D54E50" w:rsidRPr="00681C24" w:rsidRDefault="00D54E50" w:rsidP="00D54E50">
      <w:pPr>
        <w:rPr>
          <w:b/>
          <w:bCs/>
          <w:sz w:val="24"/>
          <w:szCs w:val="24"/>
        </w:rPr>
      </w:pPr>
      <w:r>
        <w:rPr>
          <w:b/>
          <w:bCs/>
        </w:rPr>
        <w:t xml:space="preserve">And furthermore says the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; that we do not follow </w:t>
      </w:r>
      <w:r>
        <w:t xml:space="preserve">the ruling </w:t>
      </w:r>
      <w:r>
        <w:rPr>
          <w:b/>
          <w:bCs/>
        </w:rPr>
        <w:t xml:space="preserve">of </w:t>
      </w:r>
      <w:r>
        <w:rPr>
          <w:rFonts w:hint="cs"/>
          <w:b/>
          <w:bCs/>
          <w:rtl/>
        </w:rPr>
        <w:t>ר"נ</w:t>
      </w:r>
      <w:r>
        <w:rPr>
          <w:rFonts w:hint="cs"/>
          <w:rtl/>
        </w:rPr>
        <w:t xml:space="preserve"> אמר שמואל</w:t>
      </w:r>
      <w:r>
        <w:t xml:space="preserve"> </w:t>
      </w:r>
      <w:r w:rsidRPr="00681C24">
        <w:rPr>
          <w:sz w:val="24"/>
          <w:szCs w:val="24"/>
        </w:rPr>
        <w:t xml:space="preserve">(who states that </w:t>
      </w:r>
      <w:r w:rsidRPr="00681C24">
        <w:rPr>
          <w:rFonts w:hint="cs"/>
          <w:sz w:val="24"/>
          <w:szCs w:val="24"/>
          <w:rtl/>
        </w:rPr>
        <w:t>כתובה</w:t>
      </w:r>
      <w:r w:rsidRPr="00681C24">
        <w:rPr>
          <w:sz w:val="24"/>
          <w:szCs w:val="24"/>
        </w:rPr>
        <w:t xml:space="preserve"> is a </w:t>
      </w:r>
      <w:r w:rsidRPr="00681C24">
        <w:rPr>
          <w:rFonts w:hint="cs"/>
          <w:sz w:val="24"/>
          <w:szCs w:val="24"/>
          <w:rtl/>
        </w:rPr>
        <w:t>תקנת חכמים</w:t>
      </w:r>
      <w:r w:rsidRPr="00681C24">
        <w:rPr>
          <w:sz w:val="24"/>
          <w:szCs w:val="24"/>
        </w:rPr>
        <w:t>) -</w:t>
      </w:r>
      <w:r w:rsidRPr="00681C24">
        <w:rPr>
          <w:b/>
          <w:bCs/>
          <w:sz w:val="24"/>
          <w:szCs w:val="24"/>
        </w:rPr>
        <w:t xml:space="preserve"> </w:t>
      </w:r>
    </w:p>
    <w:p w:rsidR="009F7729" w:rsidRPr="00681C24" w:rsidRDefault="004762CA" w:rsidP="00681C24">
      <w:pPr>
        <w:bidi/>
        <w:rPr>
          <w:rFonts w:cs="David"/>
          <w:b/>
          <w:bCs/>
        </w:rPr>
      </w:pPr>
      <w:r w:rsidRPr="00681C24">
        <w:rPr>
          <w:rFonts w:cs="David"/>
          <w:b/>
          <w:bCs/>
          <w:rtl/>
        </w:rPr>
        <w:t>דאשכחנא רב אשי דהוא בתראה</w:t>
      </w:r>
      <w:r w:rsidR="00681C24">
        <w:rPr>
          <w:rStyle w:val="FootnoteReference"/>
          <w:rFonts w:cs="David"/>
          <w:b/>
          <w:bCs/>
          <w:rtl/>
        </w:rPr>
        <w:footnoteReference w:id="10"/>
      </w:r>
      <w:r w:rsidRPr="00681C24">
        <w:rPr>
          <w:rFonts w:cs="David"/>
          <w:b/>
          <w:bCs/>
          <w:rtl/>
        </w:rPr>
        <w:t xml:space="preserve"> דפליג עליה כדמתרץ לקמן ברייתא</w:t>
      </w:r>
      <w:r w:rsidR="00D54E50" w:rsidRPr="00681C24">
        <w:rPr>
          <w:rStyle w:val="FootnoteReference"/>
          <w:rFonts w:cs="David"/>
          <w:b/>
          <w:bCs/>
          <w:rtl/>
        </w:rPr>
        <w:footnoteReference w:id="11"/>
      </w:r>
      <w:r w:rsidRPr="00681C24">
        <w:rPr>
          <w:rFonts w:cs="David"/>
          <w:b/>
          <w:bCs/>
          <w:rtl/>
        </w:rPr>
        <w:t xml:space="preserve"> </w:t>
      </w:r>
      <w:r w:rsidRPr="00681C24">
        <w:rPr>
          <w:rFonts w:cs="David"/>
          <w:b/>
          <w:bCs/>
          <w:sz w:val="20"/>
          <w:szCs w:val="20"/>
          <w:rtl/>
        </w:rPr>
        <w:t>(דף יב</w:t>
      </w:r>
      <w:r w:rsidR="009F7729" w:rsidRPr="00681C24">
        <w:rPr>
          <w:rFonts w:cs="David" w:hint="cs"/>
          <w:b/>
          <w:bCs/>
          <w:sz w:val="20"/>
          <w:szCs w:val="20"/>
          <w:rtl/>
        </w:rPr>
        <w:t>,א</w:t>
      </w:r>
      <w:r w:rsidRPr="00681C24">
        <w:rPr>
          <w:rFonts w:cs="David"/>
          <w:b/>
          <w:bCs/>
          <w:sz w:val="20"/>
          <w:szCs w:val="20"/>
          <w:rtl/>
        </w:rPr>
        <w:t>)</w:t>
      </w:r>
      <w:r w:rsidRPr="00681C24">
        <w:rPr>
          <w:rFonts w:cs="David"/>
          <w:b/>
          <w:bCs/>
          <w:rtl/>
        </w:rPr>
        <w:t xml:space="preserve"> </w:t>
      </w:r>
      <w:r w:rsidR="00681C24">
        <w:rPr>
          <w:rFonts w:cs="David" w:hint="cs"/>
          <w:b/>
          <w:bCs/>
          <w:rtl/>
        </w:rPr>
        <w:t>-</w:t>
      </w:r>
    </w:p>
    <w:p w:rsidR="00D54E50" w:rsidRPr="00CD2BF6" w:rsidRDefault="00D54E50" w:rsidP="00D54E50">
      <w:pPr>
        <w:rPr>
          <w:sz w:val="24"/>
          <w:szCs w:val="24"/>
        </w:rPr>
      </w:pPr>
      <w:r>
        <w:rPr>
          <w:b/>
          <w:bCs/>
        </w:rPr>
        <w:t xml:space="preserve">For we find </w:t>
      </w:r>
      <w:r>
        <w:rPr>
          <w:rFonts w:hint="cs"/>
          <w:b/>
          <w:bCs/>
          <w:rtl/>
        </w:rPr>
        <w:t>רב אשי</w:t>
      </w:r>
      <w:r>
        <w:rPr>
          <w:b/>
          <w:bCs/>
        </w:rPr>
        <w:t xml:space="preserve">, who is a later </w:t>
      </w:r>
      <w:r>
        <w:rPr>
          <w:rFonts w:hint="cs"/>
          <w:rtl/>
        </w:rPr>
        <w:t>אמורא</w:t>
      </w:r>
      <w:r w:rsidR="00CE1D2C">
        <w:t>,</w:t>
      </w:r>
      <w:r>
        <w:t xml:space="preserve"> </w:t>
      </w:r>
      <w:r>
        <w:rPr>
          <w:b/>
          <w:bCs/>
        </w:rPr>
        <w:t xml:space="preserve">argues with </w:t>
      </w:r>
      <w:r>
        <w:rPr>
          <w:rFonts w:hint="cs"/>
          <w:rtl/>
        </w:rPr>
        <w:t>ר"נ</w:t>
      </w:r>
      <w:r w:rsidR="00956A3D">
        <w:t>,</w:t>
      </w:r>
      <w:r>
        <w:t xml:space="preserve"> </w:t>
      </w:r>
      <w:r w:rsidRPr="00D54E50">
        <w:rPr>
          <w:b/>
          <w:bCs/>
        </w:rPr>
        <w:t xml:space="preserve">as he reinterprets </w:t>
      </w:r>
      <w:r>
        <w:rPr>
          <w:b/>
          <w:bCs/>
        </w:rPr>
        <w:t xml:space="preserve">the </w:t>
      </w:r>
      <w:r>
        <w:rPr>
          <w:rFonts w:hint="cs"/>
          <w:b/>
          <w:bCs/>
          <w:rtl/>
        </w:rPr>
        <w:t>ברייתא</w:t>
      </w:r>
      <w:r>
        <w:rPr>
          <w:b/>
          <w:bCs/>
        </w:rPr>
        <w:t xml:space="preserve"> later</w:t>
      </w:r>
      <w:r>
        <w:t xml:space="preserve"> </w:t>
      </w:r>
      <w:r w:rsidRPr="00CD2BF6">
        <w:rPr>
          <w:sz w:val="24"/>
          <w:szCs w:val="24"/>
        </w:rPr>
        <w:t>that -</w:t>
      </w:r>
    </w:p>
    <w:p w:rsidR="009F7729" w:rsidRPr="00CD2BF6" w:rsidRDefault="004762CA" w:rsidP="00CD2BF6">
      <w:pPr>
        <w:bidi/>
        <w:rPr>
          <w:rFonts w:cs="David"/>
          <w:b/>
          <w:bCs/>
        </w:rPr>
      </w:pPr>
      <w:r w:rsidRPr="00CD2BF6">
        <w:rPr>
          <w:rFonts w:cs="David"/>
          <w:b/>
          <w:bCs/>
          <w:rtl/>
        </w:rPr>
        <w:t>תני כל שלא מושמש אינו יכול לטעון טענת בתולים</w:t>
      </w:r>
      <w:r w:rsidR="00F76ED3" w:rsidRPr="00CD2BF6">
        <w:rPr>
          <w:rFonts w:cs="David" w:hint="cs"/>
          <w:b/>
          <w:bCs/>
          <w:rtl/>
        </w:rPr>
        <w:t xml:space="preserve"> </w:t>
      </w:r>
      <w:r w:rsidR="00CD2BF6">
        <w:rPr>
          <w:rFonts w:cs="David" w:hint="cs"/>
          <w:b/>
          <w:bCs/>
          <w:rtl/>
        </w:rPr>
        <w:t>-</w:t>
      </w:r>
    </w:p>
    <w:p w:rsidR="00D54E50" w:rsidRPr="00B3449A" w:rsidRDefault="00D54E50" w:rsidP="00D54E50">
      <w:pPr>
        <w:rPr>
          <w:b/>
          <w:bCs/>
        </w:rPr>
      </w:pPr>
      <w:r>
        <w:rPr>
          <w:b/>
          <w:bCs/>
        </w:rPr>
        <w:t xml:space="preserve">It should read ‘whoever was not checked cannot claim </w:t>
      </w:r>
      <w:r>
        <w:rPr>
          <w:rFonts w:hint="cs"/>
          <w:b/>
          <w:bCs/>
          <w:rtl/>
        </w:rPr>
        <w:t>טענת בתולים</w:t>
      </w:r>
      <w:r>
        <w:rPr>
          <w:b/>
          <w:bCs/>
        </w:rPr>
        <w:t xml:space="preserve">’ - </w:t>
      </w:r>
    </w:p>
    <w:p w:rsidR="009F7729" w:rsidRPr="00CD2BF6" w:rsidRDefault="00D54E50" w:rsidP="00956A3D">
      <w:pPr>
        <w:widowControl w:val="0"/>
        <w:bidi/>
        <w:rPr>
          <w:rFonts w:cs="David"/>
          <w:b/>
          <w:bCs/>
        </w:rPr>
      </w:pPr>
      <w:r w:rsidRPr="00CD2BF6">
        <w:rPr>
          <w:rFonts w:cs="David"/>
          <w:b/>
          <w:bCs/>
          <w:rtl/>
        </w:rPr>
        <w:t xml:space="preserve">אלמא דחייש לשמא משקר </w:t>
      </w:r>
      <w:r w:rsidR="004762CA" w:rsidRPr="00CD2BF6">
        <w:rPr>
          <w:rFonts w:cs="David"/>
          <w:b/>
          <w:bCs/>
          <w:rtl/>
        </w:rPr>
        <w:t>ולא אמרינן חזקה אין אדם טורח בסעודה ומפסידה</w:t>
      </w:r>
      <w:r w:rsidR="00F76ED3" w:rsidRPr="00CD2BF6">
        <w:rPr>
          <w:rStyle w:val="FootnoteReference"/>
          <w:rFonts w:cs="David"/>
          <w:b/>
          <w:bCs/>
          <w:rtl/>
        </w:rPr>
        <w:footnoteReference w:id="12"/>
      </w:r>
      <w:r w:rsidR="004762CA" w:rsidRPr="00CD2BF6">
        <w:rPr>
          <w:rFonts w:cs="David"/>
          <w:b/>
          <w:bCs/>
          <w:rtl/>
        </w:rPr>
        <w:t xml:space="preserve"> </w:t>
      </w:r>
      <w:r w:rsidR="00CD2BF6">
        <w:rPr>
          <w:rFonts w:cs="David" w:hint="cs"/>
          <w:b/>
          <w:bCs/>
          <w:rtl/>
        </w:rPr>
        <w:t>-</w:t>
      </w:r>
    </w:p>
    <w:p w:rsidR="00D54E50" w:rsidRPr="00D54E50" w:rsidRDefault="00D54E50" w:rsidP="00956A3D">
      <w:pPr>
        <w:widowControl w:val="0"/>
        <w:rPr>
          <w:b/>
          <w:bCs/>
        </w:rPr>
      </w:pPr>
      <w:r>
        <w:rPr>
          <w:b/>
          <w:bCs/>
        </w:rPr>
        <w:t xml:space="preserve">It is evident that he is concerned that perhaps </w:t>
      </w:r>
      <w:r>
        <w:t xml:space="preserve">the husband </w:t>
      </w:r>
      <w:r>
        <w:rPr>
          <w:b/>
          <w:bCs/>
        </w:rPr>
        <w:t xml:space="preserve">is lying </w:t>
      </w:r>
      <w:r>
        <w:t xml:space="preserve">with his </w:t>
      </w:r>
      <w:r>
        <w:rPr>
          <w:rFonts w:hint="cs"/>
          <w:rtl/>
        </w:rPr>
        <w:t>טענת בתולים</w:t>
      </w:r>
      <w:r>
        <w:t xml:space="preserve">, </w:t>
      </w:r>
      <w:r>
        <w:rPr>
          <w:b/>
          <w:bCs/>
        </w:rPr>
        <w:t xml:space="preserve">and we do not say </w:t>
      </w:r>
      <w:r>
        <w:t xml:space="preserve">as </w:t>
      </w:r>
      <w:r>
        <w:rPr>
          <w:rFonts w:hint="cs"/>
          <w:rtl/>
        </w:rPr>
        <w:t>ר"נ</w:t>
      </w:r>
      <w:r>
        <w:t xml:space="preserve"> does that there is a </w:t>
      </w:r>
      <w:r>
        <w:rPr>
          <w:rFonts w:hint="cs"/>
          <w:b/>
          <w:bCs/>
          <w:rtl/>
        </w:rPr>
        <w:t>חזקה</w:t>
      </w:r>
      <w:r>
        <w:rPr>
          <w:b/>
          <w:bCs/>
        </w:rPr>
        <w:t xml:space="preserve"> </w:t>
      </w:r>
      <w:r>
        <w:t xml:space="preserve">that </w:t>
      </w:r>
      <w:r>
        <w:rPr>
          <w:rFonts w:hint="cs"/>
          <w:b/>
          <w:bCs/>
          <w:rtl/>
        </w:rPr>
        <w:t xml:space="preserve">אין </w:t>
      </w:r>
      <w:r w:rsidR="0031453C">
        <w:rPr>
          <w:rFonts w:hint="cs"/>
          <w:b/>
          <w:bCs/>
          <w:rtl/>
        </w:rPr>
        <w:t>אדם טורח</w:t>
      </w:r>
      <w:r>
        <w:rPr>
          <w:rFonts w:hint="cs"/>
          <w:b/>
          <w:bCs/>
          <w:rtl/>
        </w:rPr>
        <w:t xml:space="preserve"> בסעודה </w:t>
      </w:r>
      <w:r>
        <w:rPr>
          <w:rFonts w:hint="cs"/>
          <w:b/>
          <w:bCs/>
          <w:rtl/>
        </w:rPr>
        <w:lastRenderedPageBreak/>
        <w:t>ומפסידה</w:t>
      </w:r>
      <w:r>
        <w:rPr>
          <w:b/>
          <w:bCs/>
        </w:rPr>
        <w:t>.</w:t>
      </w:r>
      <w:r w:rsidR="00AA4E9A">
        <w:rPr>
          <w:rStyle w:val="FootnoteReference"/>
          <w:b/>
          <w:bCs/>
        </w:rPr>
        <w:footnoteReference w:id="13"/>
      </w:r>
    </w:p>
    <w:p w:rsidR="009F7729" w:rsidRPr="00B968D0" w:rsidRDefault="004762CA" w:rsidP="00956A3D">
      <w:pPr>
        <w:widowControl w:val="0"/>
        <w:bidi/>
        <w:rPr>
          <w:rFonts w:cs="David"/>
          <w:b/>
          <w:bCs/>
        </w:rPr>
      </w:pPr>
      <w:r w:rsidRPr="00B968D0">
        <w:rPr>
          <w:rFonts w:cs="David"/>
          <w:b/>
          <w:bCs/>
          <w:rtl/>
        </w:rPr>
        <w:t>וכן פי</w:t>
      </w:r>
      <w:r w:rsidR="009F7729" w:rsidRPr="00B968D0">
        <w:rPr>
          <w:rFonts w:cs="David" w:hint="cs"/>
          <w:b/>
          <w:bCs/>
          <w:rtl/>
        </w:rPr>
        <w:t>רש</w:t>
      </w:r>
      <w:r w:rsidRPr="00B968D0">
        <w:rPr>
          <w:rFonts w:cs="David"/>
          <w:b/>
          <w:bCs/>
          <w:rtl/>
        </w:rPr>
        <w:t xml:space="preserve"> רבינו יצחק בן רבינו מאיר דרב אשי פליג אדרב נחמן</w:t>
      </w:r>
      <w:r w:rsidR="00C22A03" w:rsidRPr="00B968D0">
        <w:rPr>
          <w:rStyle w:val="FootnoteReference"/>
          <w:rFonts w:cs="David"/>
          <w:b/>
          <w:bCs/>
          <w:rtl/>
        </w:rPr>
        <w:footnoteReference w:id="14"/>
      </w:r>
      <w:r w:rsidRPr="00B968D0">
        <w:rPr>
          <w:rFonts w:cs="David"/>
          <w:b/>
          <w:bCs/>
          <w:rtl/>
        </w:rPr>
        <w:t xml:space="preserve"> </w:t>
      </w:r>
      <w:r w:rsidR="00B968D0">
        <w:rPr>
          <w:rFonts w:cs="David" w:hint="cs"/>
          <w:b/>
          <w:bCs/>
          <w:rtl/>
        </w:rPr>
        <w:t>-</w:t>
      </w:r>
    </w:p>
    <w:p w:rsidR="00F76ED3" w:rsidRDefault="00F76ED3" w:rsidP="00956A3D">
      <w:pPr>
        <w:widowControl w:val="0"/>
        <w:rPr>
          <w:b/>
          <w:bCs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ריב"ם</w:t>
      </w:r>
      <w:r>
        <w:rPr>
          <w:b/>
          <w:bCs/>
        </w:rPr>
        <w:t xml:space="preserve"> also explained </w:t>
      </w:r>
      <w:r>
        <w:t xml:space="preserve">it in this manner </w:t>
      </w:r>
      <w:r>
        <w:rPr>
          <w:b/>
          <w:bCs/>
        </w:rPr>
        <w:t xml:space="preserve">that </w:t>
      </w:r>
      <w:r>
        <w:rPr>
          <w:rFonts w:hint="cs"/>
          <w:b/>
          <w:bCs/>
          <w:rtl/>
        </w:rPr>
        <w:t>ר"א</w:t>
      </w:r>
      <w:r>
        <w:rPr>
          <w:b/>
          <w:bCs/>
        </w:rPr>
        <w:t xml:space="preserve"> argues with </w:t>
      </w:r>
      <w:r>
        <w:rPr>
          <w:rFonts w:hint="cs"/>
          <w:b/>
          <w:bCs/>
          <w:rtl/>
        </w:rPr>
        <w:t>ר"נ</w:t>
      </w:r>
      <w:r>
        <w:rPr>
          <w:b/>
          <w:bCs/>
        </w:rPr>
        <w:t>.</w:t>
      </w:r>
    </w:p>
    <w:p w:rsidR="00F76ED3" w:rsidRPr="00B968D0" w:rsidRDefault="00F76ED3" w:rsidP="00F76ED3">
      <w:pPr>
        <w:rPr>
          <w:b/>
          <w:bCs/>
          <w:sz w:val="24"/>
          <w:szCs w:val="24"/>
        </w:rPr>
      </w:pPr>
    </w:p>
    <w:p w:rsidR="00F76ED3" w:rsidRPr="00B968D0" w:rsidRDefault="00F76ED3" w:rsidP="00F76ED3">
      <w:pPr>
        <w:rPr>
          <w:sz w:val="24"/>
          <w:szCs w:val="24"/>
        </w:rPr>
      </w:pPr>
      <w:r w:rsidRPr="00B968D0">
        <w:rPr>
          <w:rFonts w:hint="cs"/>
          <w:sz w:val="24"/>
          <w:szCs w:val="24"/>
          <w:rtl/>
        </w:rPr>
        <w:t>תוספות</w:t>
      </w:r>
      <w:r w:rsidRPr="00B968D0">
        <w:rPr>
          <w:sz w:val="24"/>
          <w:szCs w:val="24"/>
        </w:rPr>
        <w:t xml:space="preserve"> resolves the remaining question:</w:t>
      </w:r>
    </w:p>
    <w:p w:rsidR="009F7729" w:rsidRPr="00B968D0" w:rsidRDefault="004762CA" w:rsidP="00B968D0">
      <w:pPr>
        <w:bidi/>
        <w:rPr>
          <w:rFonts w:cs="David"/>
          <w:b/>
          <w:bCs/>
        </w:rPr>
      </w:pPr>
      <w:r w:rsidRPr="00B968D0">
        <w:rPr>
          <w:rFonts w:cs="David"/>
          <w:b/>
          <w:bCs/>
          <w:rtl/>
        </w:rPr>
        <w:t xml:space="preserve">והא דאמרינן בהאשה רבה </w:t>
      </w:r>
      <w:r w:rsidRPr="00B968D0">
        <w:rPr>
          <w:rFonts w:cs="David"/>
          <w:b/>
          <w:bCs/>
          <w:sz w:val="20"/>
          <w:szCs w:val="20"/>
          <w:rtl/>
        </w:rPr>
        <w:t>(יבמות פט</w:t>
      </w:r>
      <w:r w:rsidR="009F7729" w:rsidRPr="00B968D0">
        <w:rPr>
          <w:rFonts w:cs="David" w:hint="cs"/>
          <w:b/>
          <w:bCs/>
          <w:sz w:val="20"/>
          <w:szCs w:val="20"/>
          <w:rtl/>
        </w:rPr>
        <w:t>,א</w:t>
      </w:r>
      <w:r w:rsidRPr="00B968D0">
        <w:rPr>
          <w:rFonts w:cs="David"/>
          <w:b/>
          <w:bCs/>
          <w:sz w:val="20"/>
          <w:szCs w:val="20"/>
          <w:rtl/>
        </w:rPr>
        <w:t xml:space="preserve"> ושם)</w:t>
      </w:r>
      <w:r w:rsidRPr="00B968D0">
        <w:rPr>
          <w:rFonts w:cs="David"/>
          <w:b/>
          <w:bCs/>
          <w:rtl/>
        </w:rPr>
        <w:t xml:space="preserve"> מ</w:t>
      </w:r>
      <w:r w:rsidR="009F7729" w:rsidRPr="00B968D0">
        <w:rPr>
          <w:rFonts w:cs="David" w:hint="cs"/>
          <w:b/>
          <w:bCs/>
          <w:rtl/>
        </w:rPr>
        <w:t xml:space="preserve">אי </w:t>
      </w:r>
      <w:r w:rsidRPr="00B968D0">
        <w:rPr>
          <w:rFonts w:cs="David"/>
          <w:b/>
          <w:bCs/>
          <w:rtl/>
        </w:rPr>
        <w:t>ט</w:t>
      </w:r>
      <w:r w:rsidR="009F7729" w:rsidRPr="00B968D0">
        <w:rPr>
          <w:rFonts w:cs="David" w:hint="cs"/>
          <w:b/>
          <w:bCs/>
          <w:rtl/>
        </w:rPr>
        <w:t>עמא</w:t>
      </w:r>
      <w:r w:rsidRPr="00B968D0">
        <w:rPr>
          <w:rFonts w:cs="David"/>
          <w:b/>
          <w:bCs/>
          <w:rtl/>
        </w:rPr>
        <w:t xml:space="preserve"> תקינו רבנן כתובה </w:t>
      </w:r>
      <w:r w:rsidR="00B968D0">
        <w:rPr>
          <w:rFonts w:cs="David" w:hint="cs"/>
          <w:b/>
          <w:bCs/>
          <w:rtl/>
        </w:rPr>
        <w:t>-</w:t>
      </w:r>
    </w:p>
    <w:p w:rsidR="00F76ED3" w:rsidRPr="00B968D0" w:rsidRDefault="00F76ED3" w:rsidP="00F76ED3">
      <w:pPr>
        <w:rPr>
          <w:sz w:val="24"/>
          <w:szCs w:val="24"/>
        </w:rPr>
      </w:pPr>
      <w:r>
        <w:rPr>
          <w:b/>
          <w:bCs/>
        </w:rPr>
        <w:t xml:space="preserve">And that which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states in </w:t>
      </w:r>
      <w:r>
        <w:rPr>
          <w:rFonts w:hint="cs"/>
          <w:rtl/>
        </w:rPr>
        <w:t xml:space="preserve">פרק </w:t>
      </w:r>
      <w:r>
        <w:rPr>
          <w:rFonts w:hint="cs"/>
          <w:b/>
          <w:bCs/>
          <w:rtl/>
        </w:rPr>
        <w:t>האשה רבה</w:t>
      </w:r>
      <w:r>
        <w:rPr>
          <w:b/>
          <w:bCs/>
        </w:rPr>
        <w:t xml:space="preserve">, ‘why did the </w:t>
      </w:r>
      <w:r>
        <w:rPr>
          <w:rFonts w:hint="cs"/>
          <w:b/>
          <w:bCs/>
          <w:rtl/>
        </w:rPr>
        <w:t>רבנן</w:t>
      </w:r>
      <w:r>
        <w:rPr>
          <w:b/>
          <w:bCs/>
        </w:rPr>
        <w:t xml:space="preserve"> institute a </w:t>
      </w:r>
      <w:r>
        <w:rPr>
          <w:rFonts w:hint="cs"/>
          <w:b/>
          <w:bCs/>
          <w:rtl/>
        </w:rPr>
        <w:t>כתובה</w:t>
      </w:r>
      <w:r>
        <w:t xml:space="preserve">; </w:t>
      </w:r>
      <w:r w:rsidRPr="00B968D0">
        <w:rPr>
          <w:sz w:val="24"/>
          <w:szCs w:val="24"/>
        </w:rPr>
        <w:t xml:space="preserve">indicating that </w:t>
      </w:r>
      <w:r w:rsidRPr="00B968D0">
        <w:rPr>
          <w:rFonts w:hint="cs"/>
          <w:sz w:val="24"/>
          <w:szCs w:val="24"/>
          <w:rtl/>
        </w:rPr>
        <w:t>כתובה דרבנן</w:t>
      </w:r>
      <w:r w:rsidRPr="00B968D0">
        <w:rPr>
          <w:sz w:val="24"/>
          <w:szCs w:val="24"/>
        </w:rPr>
        <w:t xml:space="preserve"> -</w:t>
      </w:r>
    </w:p>
    <w:p w:rsidR="009F7729" w:rsidRPr="00B968D0" w:rsidRDefault="004762CA" w:rsidP="00B968D0">
      <w:pPr>
        <w:bidi/>
        <w:rPr>
          <w:rFonts w:cs="David"/>
          <w:b/>
          <w:bCs/>
        </w:rPr>
      </w:pPr>
      <w:r w:rsidRPr="00B968D0">
        <w:rPr>
          <w:rFonts w:cs="David"/>
          <w:b/>
          <w:bCs/>
          <w:rtl/>
        </w:rPr>
        <w:t>ה</w:t>
      </w:r>
      <w:r w:rsidR="009F7729" w:rsidRPr="00B968D0">
        <w:rPr>
          <w:rFonts w:cs="David" w:hint="cs"/>
          <w:b/>
          <w:bCs/>
          <w:rtl/>
        </w:rPr>
        <w:t xml:space="preserve">כי </w:t>
      </w:r>
      <w:r w:rsidRPr="00B968D0">
        <w:rPr>
          <w:rFonts w:cs="David"/>
          <w:b/>
          <w:bCs/>
          <w:rtl/>
        </w:rPr>
        <w:t>פ</w:t>
      </w:r>
      <w:r w:rsidR="009F7729" w:rsidRPr="00B968D0">
        <w:rPr>
          <w:rFonts w:cs="David" w:hint="cs"/>
          <w:b/>
          <w:bCs/>
          <w:rtl/>
        </w:rPr>
        <w:t>ירושו</w:t>
      </w:r>
      <w:r w:rsidRPr="00B968D0">
        <w:rPr>
          <w:rFonts w:cs="David"/>
          <w:b/>
          <w:bCs/>
          <w:rtl/>
        </w:rPr>
        <w:t xml:space="preserve"> מ</w:t>
      </w:r>
      <w:r w:rsidR="009F7729" w:rsidRPr="00B968D0">
        <w:rPr>
          <w:rFonts w:cs="David" w:hint="cs"/>
          <w:b/>
          <w:bCs/>
          <w:rtl/>
        </w:rPr>
        <w:t xml:space="preserve">אי </w:t>
      </w:r>
      <w:r w:rsidRPr="00B968D0">
        <w:rPr>
          <w:rFonts w:cs="David"/>
          <w:b/>
          <w:bCs/>
          <w:rtl/>
        </w:rPr>
        <w:t>ט</w:t>
      </w:r>
      <w:r w:rsidR="009F7729" w:rsidRPr="00B968D0">
        <w:rPr>
          <w:rFonts w:cs="David" w:hint="cs"/>
          <w:b/>
          <w:bCs/>
          <w:rtl/>
        </w:rPr>
        <w:t>עמא</w:t>
      </w:r>
      <w:r w:rsidRPr="00B968D0">
        <w:rPr>
          <w:rFonts w:cs="David"/>
          <w:b/>
          <w:bCs/>
          <w:rtl/>
        </w:rPr>
        <w:t xml:space="preserve"> תקינו רבנן כתובה היכא דתקינו </w:t>
      </w:r>
      <w:r w:rsidR="00B968D0">
        <w:rPr>
          <w:rFonts w:cs="David" w:hint="cs"/>
          <w:b/>
          <w:bCs/>
          <w:rtl/>
        </w:rPr>
        <w:t>-</w:t>
      </w:r>
    </w:p>
    <w:p w:rsidR="00F76ED3" w:rsidRPr="00B968D0" w:rsidRDefault="00F76ED3" w:rsidP="00F76ED3">
      <w:pPr>
        <w:rPr>
          <w:sz w:val="24"/>
          <w:szCs w:val="24"/>
        </w:rPr>
      </w:pPr>
      <w:r>
        <w:rPr>
          <w:b/>
          <w:bCs/>
        </w:rPr>
        <w:t xml:space="preserve">This is the explanation </w:t>
      </w:r>
      <w:r>
        <w:t xml:space="preserve">of that </w:t>
      </w:r>
      <w:r>
        <w:rPr>
          <w:rFonts w:hint="cs"/>
          <w:rtl/>
        </w:rPr>
        <w:t>גמרא</w:t>
      </w:r>
      <w:r>
        <w:t xml:space="preserve">; </w:t>
      </w:r>
      <w:r>
        <w:rPr>
          <w:b/>
          <w:bCs/>
        </w:rPr>
        <w:t xml:space="preserve">why did the </w:t>
      </w:r>
      <w:r>
        <w:rPr>
          <w:rFonts w:hint="cs"/>
          <w:b/>
          <w:bCs/>
          <w:rtl/>
        </w:rPr>
        <w:t>רבנן</w:t>
      </w:r>
      <w:r>
        <w:rPr>
          <w:b/>
          <w:bCs/>
        </w:rPr>
        <w:t xml:space="preserve"> institute a </w:t>
      </w:r>
      <w:r>
        <w:rPr>
          <w:rFonts w:hint="cs"/>
          <w:b/>
          <w:bCs/>
          <w:rtl/>
        </w:rPr>
        <w:t>כתובה</w:t>
      </w:r>
      <w:r>
        <w:rPr>
          <w:b/>
          <w:bCs/>
        </w:rPr>
        <w:t xml:space="preserve"> in </w:t>
      </w:r>
      <w:r>
        <w:t xml:space="preserve">those cases </w:t>
      </w:r>
      <w:r>
        <w:rPr>
          <w:b/>
          <w:bCs/>
        </w:rPr>
        <w:t xml:space="preserve">where </w:t>
      </w:r>
      <w:r>
        <w:t xml:space="preserve">the </w:t>
      </w:r>
      <w:r>
        <w:rPr>
          <w:rFonts w:hint="cs"/>
          <w:rtl/>
        </w:rPr>
        <w:t>רבנן</w:t>
      </w:r>
      <w:r>
        <w:t xml:space="preserve"> </w:t>
      </w:r>
      <w:r>
        <w:rPr>
          <w:b/>
          <w:bCs/>
        </w:rPr>
        <w:t xml:space="preserve">did institute </w:t>
      </w:r>
      <w:r w:rsidRPr="00B968D0">
        <w:rPr>
          <w:sz w:val="24"/>
          <w:szCs w:val="24"/>
        </w:rPr>
        <w:t xml:space="preserve">a </w:t>
      </w:r>
      <w:r w:rsidRPr="00B968D0">
        <w:rPr>
          <w:rFonts w:hint="cs"/>
          <w:sz w:val="24"/>
          <w:szCs w:val="24"/>
          <w:rtl/>
        </w:rPr>
        <w:t>כתובה</w:t>
      </w:r>
      <w:r w:rsidRPr="00B968D0">
        <w:rPr>
          <w:sz w:val="24"/>
          <w:szCs w:val="24"/>
        </w:rPr>
        <w:t xml:space="preserve"> -</w:t>
      </w:r>
    </w:p>
    <w:p w:rsidR="009F7729" w:rsidRPr="00B968D0" w:rsidRDefault="004762CA" w:rsidP="00B968D0">
      <w:pPr>
        <w:bidi/>
        <w:rPr>
          <w:rFonts w:cs="David"/>
          <w:b/>
          <w:bCs/>
        </w:rPr>
      </w:pPr>
      <w:r w:rsidRPr="00B968D0">
        <w:rPr>
          <w:rFonts w:cs="David"/>
          <w:b/>
          <w:bCs/>
          <w:rtl/>
        </w:rPr>
        <w:t>כגון באלמנה</w:t>
      </w:r>
      <w:r w:rsidR="00B968D0">
        <w:rPr>
          <w:rStyle w:val="FootnoteReference"/>
          <w:rFonts w:cs="David"/>
          <w:b/>
          <w:bCs/>
          <w:rtl/>
        </w:rPr>
        <w:footnoteReference w:id="15"/>
      </w:r>
      <w:r w:rsidRPr="00B968D0">
        <w:rPr>
          <w:rFonts w:cs="David"/>
          <w:b/>
          <w:bCs/>
          <w:rtl/>
        </w:rPr>
        <w:t xml:space="preserve"> שלא תהא קלה בעיניו להוציאה </w:t>
      </w:r>
      <w:r w:rsidR="00B968D0">
        <w:rPr>
          <w:rFonts w:cs="David" w:hint="cs"/>
          <w:b/>
          <w:bCs/>
          <w:rtl/>
        </w:rPr>
        <w:t>-</w:t>
      </w:r>
    </w:p>
    <w:p w:rsidR="00F76ED3" w:rsidRPr="00F76ED3" w:rsidRDefault="00F76ED3" w:rsidP="00F76ED3">
      <w:pPr>
        <w:rPr>
          <w:b/>
          <w:bCs/>
        </w:rPr>
      </w:pPr>
      <w:r>
        <w:rPr>
          <w:b/>
          <w:bCs/>
        </w:rPr>
        <w:t xml:space="preserve">For instance by an </w:t>
      </w:r>
      <w:r>
        <w:rPr>
          <w:rFonts w:hint="cs"/>
          <w:b/>
          <w:bCs/>
          <w:rtl/>
        </w:rPr>
        <w:t>אלמנה</w:t>
      </w:r>
      <w:r>
        <w:rPr>
          <w:b/>
          <w:bCs/>
        </w:rPr>
        <w:t xml:space="preserve">; </w:t>
      </w:r>
      <w:r>
        <w:t xml:space="preserve">the reason was in order </w:t>
      </w:r>
      <w:r>
        <w:rPr>
          <w:rFonts w:hint="cs"/>
          <w:b/>
          <w:bCs/>
          <w:rtl/>
        </w:rPr>
        <w:t>שלא תהא קלה בעיניו להוציאה</w:t>
      </w:r>
      <w:r>
        <w:rPr>
          <w:b/>
          <w:bCs/>
        </w:rPr>
        <w:t xml:space="preserve"> -</w:t>
      </w:r>
    </w:p>
    <w:p w:rsidR="004762CA" w:rsidRPr="00B968D0" w:rsidRDefault="004762CA" w:rsidP="009F7729">
      <w:pPr>
        <w:bidi/>
        <w:rPr>
          <w:rFonts w:cs="David"/>
          <w:b/>
          <w:bCs/>
        </w:rPr>
      </w:pPr>
      <w:r w:rsidRPr="00B968D0">
        <w:rPr>
          <w:rFonts w:cs="David"/>
          <w:b/>
          <w:bCs/>
          <w:rtl/>
        </w:rPr>
        <w:t>ה</w:t>
      </w:r>
      <w:r w:rsidR="009F7729" w:rsidRPr="00B968D0">
        <w:rPr>
          <w:rFonts w:cs="David" w:hint="cs"/>
          <w:b/>
          <w:bCs/>
          <w:rtl/>
        </w:rPr>
        <w:t xml:space="preserve">כא </w:t>
      </w:r>
      <w:r w:rsidRPr="00B968D0">
        <w:rPr>
          <w:rFonts w:cs="David"/>
          <w:b/>
          <w:bCs/>
          <w:rtl/>
        </w:rPr>
        <w:t>נ</w:t>
      </w:r>
      <w:r w:rsidR="009F7729" w:rsidRPr="00B968D0">
        <w:rPr>
          <w:rFonts w:cs="David" w:hint="cs"/>
          <w:b/>
          <w:bCs/>
          <w:rtl/>
        </w:rPr>
        <w:t>מי</w:t>
      </w:r>
      <w:r w:rsidRPr="00B968D0">
        <w:rPr>
          <w:rFonts w:cs="David"/>
          <w:b/>
          <w:bCs/>
          <w:rtl/>
        </w:rPr>
        <w:t xml:space="preserve"> תקינו שלא יהא לה כדי שתהא קלה בעיניו להוציאה</w:t>
      </w:r>
      <w:r w:rsidRPr="00B968D0">
        <w:rPr>
          <w:rFonts w:cs="David"/>
          <w:b/>
          <w:bCs/>
        </w:rPr>
        <w:t>:</w:t>
      </w:r>
    </w:p>
    <w:p w:rsidR="003D4453" w:rsidRDefault="00F76ED3">
      <w:pPr>
        <w:rPr>
          <w:b/>
          <w:bCs/>
        </w:rPr>
      </w:pPr>
      <w:r>
        <w:rPr>
          <w:b/>
          <w:bCs/>
        </w:rPr>
        <w:t xml:space="preserve">Here too </w:t>
      </w:r>
      <w:r>
        <w:t xml:space="preserve">(by this woman whose husband returned after she remarried </w:t>
      </w:r>
      <w:r>
        <w:rPr>
          <w:rFonts w:hint="cs"/>
          <w:rtl/>
        </w:rPr>
        <w:t>ע"פ ע"א</w:t>
      </w:r>
      <w:r>
        <w:t xml:space="preserve">) </w:t>
      </w:r>
      <w:r>
        <w:rPr>
          <w:b/>
          <w:bCs/>
        </w:rPr>
        <w:t xml:space="preserve">the </w:t>
      </w:r>
      <w:r>
        <w:rPr>
          <w:rFonts w:hint="cs"/>
          <w:rtl/>
        </w:rPr>
        <w:t>רבנן</w:t>
      </w:r>
      <w:r>
        <w:rPr>
          <w:b/>
          <w:bCs/>
        </w:rPr>
        <w:t xml:space="preserve"> instituted that she should not have </w:t>
      </w:r>
      <w:r>
        <w:t xml:space="preserve">a </w:t>
      </w:r>
      <w:r>
        <w:rPr>
          <w:rFonts w:hint="cs"/>
          <w:rtl/>
        </w:rPr>
        <w:t>כתובה</w:t>
      </w:r>
      <w:r>
        <w:t xml:space="preserve"> </w:t>
      </w:r>
      <w:r>
        <w:rPr>
          <w:b/>
          <w:bCs/>
        </w:rPr>
        <w:t xml:space="preserve">in order </w:t>
      </w:r>
      <w:r>
        <w:rPr>
          <w:rFonts w:hint="cs"/>
          <w:b/>
          <w:bCs/>
          <w:rtl/>
        </w:rPr>
        <w:t>שתהא קלה בעיניו להוציאה</w:t>
      </w:r>
      <w:r>
        <w:rPr>
          <w:b/>
          <w:bCs/>
        </w:rPr>
        <w:t xml:space="preserve">. </w:t>
      </w:r>
    </w:p>
    <w:p w:rsidR="00F76ED3" w:rsidRPr="00381F7A" w:rsidRDefault="00F76ED3">
      <w:pPr>
        <w:rPr>
          <w:b/>
          <w:bCs/>
          <w:sz w:val="24"/>
          <w:szCs w:val="24"/>
        </w:rPr>
      </w:pPr>
    </w:p>
    <w:p w:rsidR="009F7729" w:rsidRPr="001D24A9" w:rsidRDefault="009F7729">
      <w:pPr>
        <w:rPr>
          <w:rFonts w:ascii="Copperplate Gothic Bold" w:hAnsi="Copperplate Gothic Bold"/>
          <w:u w:val="double"/>
        </w:rPr>
      </w:pPr>
      <w:r w:rsidRPr="001D24A9">
        <w:rPr>
          <w:rFonts w:ascii="Copperplate Gothic Bold" w:hAnsi="Copperplate Gothic Bold"/>
          <w:u w:val="double"/>
        </w:rPr>
        <w:t>Summary</w:t>
      </w:r>
    </w:p>
    <w:p w:rsidR="009F7729" w:rsidRPr="001D24A9" w:rsidRDefault="00F76ED3">
      <w:r>
        <w:t xml:space="preserve">The </w:t>
      </w:r>
      <w:r>
        <w:rPr>
          <w:rFonts w:hint="cs"/>
          <w:rtl/>
        </w:rPr>
        <w:t>כתובה</w:t>
      </w:r>
      <w:r>
        <w:t xml:space="preserve"> of a </w:t>
      </w:r>
      <w:r>
        <w:rPr>
          <w:rFonts w:hint="cs"/>
          <w:rtl/>
        </w:rPr>
        <w:t>בתולה</w:t>
      </w:r>
      <w:r>
        <w:t xml:space="preserve"> is </w:t>
      </w:r>
      <w:r>
        <w:rPr>
          <w:rFonts w:hint="cs"/>
          <w:rtl/>
        </w:rPr>
        <w:t>מדאורייתא</w:t>
      </w:r>
      <w:r>
        <w:t>.</w:t>
      </w:r>
    </w:p>
    <w:p w:rsidR="009F7729" w:rsidRPr="00381F7A" w:rsidRDefault="009F7729">
      <w:pPr>
        <w:rPr>
          <w:sz w:val="24"/>
          <w:szCs w:val="24"/>
        </w:rPr>
      </w:pPr>
    </w:p>
    <w:p w:rsidR="009F7729" w:rsidRPr="001D24A9" w:rsidRDefault="009F7729">
      <w:pPr>
        <w:rPr>
          <w:rFonts w:ascii="Copperplate Gothic Bold" w:hAnsi="Copperplate Gothic Bold"/>
          <w:u w:val="double"/>
        </w:rPr>
      </w:pPr>
      <w:r w:rsidRPr="001D24A9">
        <w:rPr>
          <w:rFonts w:ascii="Copperplate Gothic Bold" w:hAnsi="Copperplate Gothic Bold"/>
          <w:u w:val="double"/>
        </w:rPr>
        <w:t>Thinking it over</w:t>
      </w:r>
    </w:p>
    <w:p w:rsidR="009F7729" w:rsidRPr="001D24A9" w:rsidRDefault="00681C24" w:rsidP="00681C24">
      <w:r>
        <w:t xml:space="preserve">According to the explanation of the </w:t>
      </w:r>
      <w:r>
        <w:rPr>
          <w:rFonts w:hint="cs"/>
          <w:rtl/>
        </w:rPr>
        <w:t>ר"ת</w:t>
      </w:r>
      <w:r>
        <w:t xml:space="preserve"> (that we follow </w:t>
      </w:r>
      <w:r>
        <w:rPr>
          <w:rFonts w:hint="cs"/>
          <w:rtl/>
        </w:rPr>
        <w:t>רשב"ג</w:t>
      </w:r>
      <w:r>
        <w:t xml:space="preserve">) is the </w:t>
      </w:r>
      <w:r>
        <w:rPr>
          <w:rFonts w:hint="cs"/>
          <w:rtl/>
        </w:rPr>
        <w:t>הלכה</w:t>
      </w:r>
      <w:r>
        <w:t xml:space="preserve"> like </w:t>
      </w:r>
      <w:r>
        <w:rPr>
          <w:rFonts w:hint="cs"/>
          <w:rtl/>
        </w:rPr>
        <w:t>ר"נ</w:t>
      </w:r>
      <w:r>
        <w:t xml:space="preserve"> (that </w:t>
      </w:r>
      <w:r>
        <w:rPr>
          <w:rFonts w:hint="cs"/>
          <w:rtl/>
        </w:rPr>
        <w:t>חזקה א"א טורח וכו'</w:t>
      </w:r>
      <w:r>
        <w:t xml:space="preserve"> and he is believed) or like </w:t>
      </w:r>
      <w:r>
        <w:rPr>
          <w:rFonts w:hint="cs"/>
          <w:rtl/>
        </w:rPr>
        <w:t>רב אשי</w:t>
      </w:r>
      <w:r>
        <w:t xml:space="preserve"> (that without </w:t>
      </w:r>
      <w:r>
        <w:rPr>
          <w:rFonts w:hint="cs"/>
          <w:rtl/>
        </w:rPr>
        <w:t>משמוש</w:t>
      </w:r>
      <w:r>
        <w:t xml:space="preserve"> he is not believed)?</w:t>
      </w:r>
    </w:p>
    <w:sectPr w:rsidR="009F7729" w:rsidRPr="001D24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44A" w:rsidRDefault="0070644A" w:rsidP="009F7729">
      <w:pPr>
        <w:spacing w:line="240" w:lineRule="auto"/>
      </w:pPr>
      <w:r>
        <w:separator/>
      </w:r>
    </w:p>
  </w:endnote>
  <w:endnote w:type="continuationSeparator" w:id="0">
    <w:p w:rsidR="0070644A" w:rsidRDefault="0070644A" w:rsidP="009F7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173094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AA4E9A" w:rsidRPr="00E5512E" w:rsidRDefault="00AA4E9A" w:rsidP="009F7729">
        <w:pPr>
          <w:pStyle w:val="Footer"/>
          <w:jc w:val="center"/>
          <w:rPr>
            <w:noProof/>
            <w:sz w:val="16"/>
            <w:szCs w:val="16"/>
          </w:rPr>
        </w:pPr>
        <w:r w:rsidRPr="00E5512E">
          <w:rPr>
            <w:sz w:val="20"/>
            <w:szCs w:val="20"/>
          </w:rPr>
          <w:fldChar w:fldCharType="begin"/>
        </w:r>
        <w:r w:rsidRPr="00E5512E">
          <w:rPr>
            <w:sz w:val="20"/>
            <w:szCs w:val="20"/>
          </w:rPr>
          <w:instrText xml:space="preserve"> PAGE   \* MERGEFORMAT </w:instrText>
        </w:r>
        <w:r w:rsidRPr="00E5512E">
          <w:rPr>
            <w:sz w:val="20"/>
            <w:szCs w:val="20"/>
          </w:rPr>
          <w:fldChar w:fldCharType="separate"/>
        </w:r>
        <w:r w:rsidR="009001EF">
          <w:rPr>
            <w:noProof/>
            <w:sz w:val="20"/>
            <w:szCs w:val="20"/>
          </w:rPr>
          <w:t>3</w:t>
        </w:r>
        <w:r w:rsidRPr="00E5512E">
          <w:rPr>
            <w:noProof/>
            <w:sz w:val="20"/>
            <w:szCs w:val="20"/>
          </w:rPr>
          <w:fldChar w:fldCharType="end"/>
        </w:r>
      </w:p>
      <w:p w:rsidR="00AA4E9A" w:rsidRPr="00E5512E" w:rsidRDefault="00AA4E9A" w:rsidP="009F7729">
        <w:pPr>
          <w:pStyle w:val="Footer"/>
          <w:jc w:val="center"/>
          <w:rPr>
            <w:noProof/>
            <w:sz w:val="20"/>
            <w:szCs w:val="20"/>
          </w:rPr>
        </w:pPr>
        <w:r w:rsidRPr="00E5512E">
          <w:rPr>
            <w:noProof/>
            <w:sz w:val="16"/>
            <w:szCs w:val="16"/>
          </w:rPr>
          <w:t>TosfosInEnglish.com</w:t>
        </w:r>
      </w:p>
    </w:sdtContent>
  </w:sdt>
  <w:p w:rsidR="00AA4E9A" w:rsidRPr="00E5512E" w:rsidRDefault="00AA4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44A" w:rsidRDefault="0070644A" w:rsidP="009F7729">
      <w:pPr>
        <w:spacing w:line="240" w:lineRule="auto"/>
      </w:pPr>
      <w:r>
        <w:separator/>
      </w:r>
    </w:p>
  </w:footnote>
  <w:footnote w:type="continuationSeparator" w:id="0">
    <w:p w:rsidR="0070644A" w:rsidRDefault="0070644A" w:rsidP="009F7729">
      <w:pPr>
        <w:spacing w:line="240" w:lineRule="auto"/>
      </w:pPr>
      <w:r>
        <w:continuationSeparator/>
      </w:r>
    </w:p>
  </w:footnote>
  <w:footnote w:id="1">
    <w:p w:rsidR="00266B90" w:rsidRDefault="00266B90" w:rsidP="009001E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perhaps means (not th</w:t>
      </w:r>
      <w:r w:rsidR="009001EF">
        <w:t>at</w:t>
      </w:r>
      <w:r>
        <w:t xml:space="preserve"> it seems from his statement; for his statement is very clear that </w:t>
      </w:r>
      <w:r>
        <w:rPr>
          <w:rFonts w:hint="cs"/>
          <w:rtl/>
        </w:rPr>
        <w:t>כתובה</w:t>
      </w:r>
      <w:r>
        <w:t xml:space="preserve"> is </w:t>
      </w:r>
      <w:r>
        <w:rPr>
          <w:rFonts w:hint="cs"/>
          <w:rtl/>
        </w:rPr>
        <w:t>דרבנן</w:t>
      </w:r>
      <w:r>
        <w:t xml:space="preserve">, but rather) that the </w:t>
      </w:r>
      <w:r>
        <w:rPr>
          <w:rFonts w:hint="cs"/>
          <w:rtl/>
        </w:rPr>
        <w:t>הלכה</w:t>
      </w:r>
      <w:r>
        <w:t xml:space="preserve"> is that </w:t>
      </w:r>
      <w:r>
        <w:rPr>
          <w:rFonts w:hint="cs"/>
          <w:rtl/>
        </w:rPr>
        <w:t>כתובה דרבנן</w:t>
      </w:r>
      <w:r>
        <w:t xml:space="preserve">, since generally </w:t>
      </w:r>
      <w:r>
        <w:rPr>
          <w:rFonts w:hint="cs"/>
          <w:rtl/>
        </w:rPr>
        <w:t xml:space="preserve"> הלכתא כר"נ בדיני</w:t>
      </w:r>
      <w:r>
        <w:t>.</w:t>
      </w:r>
    </w:p>
  </w:footnote>
  <w:footnote w:id="2">
    <w:p w:rsidR="00AA4E9A" w:rsidRDefault="00AA4E9A" w:rsidP="00472BC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משנה</w:t>
      </w:r>
      <w:r>
        <w:t xml:space="preserve"> there on </w:t>
      </w:r>
      <w:r>
        <w:rPr>
          <w:rFonts w:hint="cs"/>
          <w:rtl/>
        </w:rPr>
        <w:t>פז</w:t>
      </w:r>
      <w:proofErr w:type="gramStart"/>
      <w:r>
        <w:rPr>
          <w:rFonts w:hint="cs"/>
          <w:rtl/>
        </w:rPr>
        <w:t>,ב</w:t>
      </w:r>
      <w:proofErr w:type="gramEnd"/>
      <w:r>
        <w:t xml:space="preserve"> states that if an </w:t>
      </w:r>
      <w:r>
        <w:rPr>
          <w:rFonts w:hint="cs"/>
          <w:rtl/>
        </w:rPr>
        <w:t>ע"א</w:t>
      </w:r>
      <w:r>
        <w:t xml:space="preserve"> testifies for a woman that her husband died and she remarried </w:t>
      </w:r>
      <w:r w:rsidRPr="00681C24">
        <w:rPr>
          <w:spacing w:val="-2"/>
        </w:rPr>
        <w:t>(permissibly, based on this testimony), and then her husband returned alive, she is forbidden to be married to either her first or second husband</w:t>
      </w:r>
      <w:r w:rsidR="00681C24" w:rsidRPr="00681C24">
        <w:rPr>
          <w:spacing w:val="-2"/>
        </w:rPr>
        <w:t xml:space="preserve"> (they are required to divorce her)</w:t>
      </w:r>
      <w:r w:rsidRPr="00681C24">
        <w:rPr>
          <w:spacing w:val="-2"/>
        </w:rPr>
        <w:t xml:space="preserve"> and she receives no </w:t>
      </w:r>
      <w:r w:rsidRPr="00681C24">
        <w:rPr>
          <w:rFonts w:hint="cs"/>
          <w:spacing w:val="-2"/>
          <w:rtl/>
        </w:rPr>
        <w:t>כתובה</w:t>
      </w:r>
      <w:r w:rsidRPr="00681C24">
        <w:rPr>
          <w:spacing w:val="-2"/>
        </w:rPr>
        <w:t xml:space="preserve"> payment from either</w:t>
      </w:r>
      <w:r>
        <w:t xml:space="preserve"> husband.</w:t>
      </w:r>
    </w:p>
  </w:footnote>
  <w:footnote w:id="3">
    <w:p w:rsidR="00AA4E9A" w:rsidRDefault="00AA4E9A" w:rsidP="00472BC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fact the husband is aware that if he divorces his wife he will have to pay her the </w:t>
      </w:r>
      <w:r>
        <w:rPr>
          <w:rFonts w:hint="cs"/>
          <w:rtl/>
        </w:rPr>
        <w:t>כתובה</w:t>
      </w:r>
      <w:r>
        <w:t xml:space="preserve"> amount, will force him to reconsider and not be hasty to divorce her.</w:t>
      </w:r>
    </w:p>
  </w:footnote>
  <w:footnote w:id="4">
    <w:p w:rsidR="00AA4E9A" w:rsidRDefault="00AA4E9A" w:rsidP="00472BC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In this case she is forbidden to live with them, therefore the </w:t>
      </w:r>
      <w:r>
        <w:rPr>
          <w:rFonts w:hint="cs"/>
          <w:rtl/>
        </w:rPr>
        <w:t>בי"ד</w:t>
      </w:r>
      <w:r>
        <w:t xml:space="preserve"> is eager that they divorce her as soon as possible. </w:t>
      </w:r>
    </w:p>
  </w:footnote>
  <w:footnote w:id="5">
    <w:p w:rsidR="00AA4E9A" w:rsidRPr="00AA4E9A" w:rsidRDefault="00AA4E9A" w:rsidP="00472BC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שטמ"ק</w:t>
      </w:r>
      <w:r>
        <w:t xml:space="preserve"> where some maintain (based on the expression </w:t>
      </w:r>
      <w:r>
        <w:rPr>
          <w:rFonts w:hint="cs"/>
          <w:rtl/>
        </w:rPr>
        <w:t>דסמכינן ארשב"ג</w:t>
      </w:r>
      <w:r>
        <w:t xml:space="preserve">, and not </w:t>
      </w:r>
      <w:r>
        <w:rPr>
          <w:rFonts w:hint="cs"/>
          <w:rtl/>
        </w:rPr>
        <w:t>דהלכה כרשב"ג</w:t>
      </w:r>
      <w:r>
        <w:t xml:space="preserve">) that the </w:t>
      </w:r>
      <w:r>
        <w:rPr>
          <w:rFonts w:hint="cs"/>
          <w:rtl/>
        </w:rPr>
        <w:t>ר"ת</w:t>
      </w:r>
      <w:r>
        <w:t xml:space="preserve"> does not actually rule like </w:t>
      </w:r>
      <w:r>
        <w:rPr>
          <w:rFonts w:hint="cs"/>
          <w:rtl/>
        </w:rPr>
        <w:t>רשב"ג</w:t>
      </w:r>
      <w:r>
        <w:t xml:space="preserve"> that </w:t>
      </w:r>
      <w:r>
        <w:rPr>
          <w:rFonts w:hint="cs"/>
          <w:rtl/>
        </w:rPr>
        <w:t>כתובה דאורייתא</w:t>
      </w:r>
      <w:r>
        <w:t xml:space="preserve">, but that the custom to write </w:t>
      </w:r>
      <w:r>
        <w:rPr>
          <w:rFonts w:hint="cs"/>
          <w:rtl/>
        </w:rPr>
        <w:t>מדאורייתא</w:t>
      </w:r>
      <w:r>
        <w:t xml:space="preserve"> is vindicated since we find an opinion that maintains </w:t>
      </w:r>
      <w:r>
        <w:rPr>
          <w:rFonts w:hint="cs"/>
          <w:rtl/>
        </w:rPr>
        <w:t>כתובה דאורייתא</w:t>
      </w:r>
      <w:r>
        <w:t xml:space="preserve">, so we can mention it in the </w:t>
      </w:r>
      <w:r>
        <w:rPr>
          <w:rFonts w:hint="cs"/>
          <w:rtl/>
        </w:rPr>
        <w:t>כתובה</w:t>
      </w:r>
      <w:r>
        <w:t xml:space="preserve"> to strengthen the power of the </w:t>
      </w:r>
      <w:r>
        <w:rPr>
          <w:rFonts w:hint="cs"/>
          <w:rtl/>
        </w:rPr>
        <w:t>כתובה</w:t>
      </w:r>
      <w:r>
        <w:t>.</w:t>
      </w:r>
    </w:p>
  </w:footnote>
  <w:footnote w:id="6">
    <w:p w:rsidR="00AA4E9A" w:rsidRDefault="00AA4E9A" w:rsidP="00681C24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משנה</w:t>
      </w:r>
      <w:r>
        <w:t xml:space="preserve"> there is discussing a case where someone married in </w:t>
      </w:r>
      <w:r w:rsidR="00681C24">
        <w:rPr>
          <w:rFonts w:hint="cs"/>
          <w:rtl/>
        </w:rPr>
        <w:t>קפוטקיא</w:t>
      </w:r>
      <w:r>
        <w:t xml:space="preserve"> and divorced in </w:t>
      </w:r>
      <w:r>
        <w:rPr>
          <w:rFonts w:hint="cs"/>
          <w:rtl/>
        </w:rPr>
        <w:t>א</w:t>
      </w:r>
      <w:r w:rsidR="00681C24">
        <w:rPr>
          <w:rFonts w:hint="cs"/>
          <w:rtl/>
        </w:rPr>
        <w:t>רץ ישראל</w:t>
      </w:r>
      <w:r>
        <w:t xml:space="preserve"> (or the reverse), is he required to pay the </w:t>
      </w:r>
      <w:r>
        <w:rPr>
          <w:rFonts w:hint="cs"/>
          <w:rtl/>
        </w:rPr>
        <w:t>כתובה</w:t>
      </w:r>
      <w:r>
        <w:t xml:space="preserve"> from </w:t>
      </w:r>
      <w:r>
        <w:rPr>
          <w:rFonts w:hint="cs"/>
          <w:rtl/>
        </w:rPr>
        <w:t>קפוטקיא</w:t>
      </w:r>
      <w:r>
        <w:t xml:space="preserve"> money (which is of greater value) or with </w:t>
      </w:r>
      <w:r>
        <w:rPr>
          <w:rFonts w:hint="cs"/>
          <w:rtl/>
        </w:rPr>
        <w:t>א"י</w:t>
      </w:r>
      <w:r>
        <w:t xml:space="preserve"> money.</w:t>
      </w:r>
    </w:p>
  </w:footnote>
  <w:footnote w:id="7">
    <w:p w:rsidR="00AA4E9A" w:rsidRDefault="00AA4E9A" w:rsidP="00472BC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In a case where he married her in </w:t>
      </w:r>
      <w:r>
        <w:rPr>
          <w:rFonts w:hint="cs"/>
          <w:rtl/>
        </w:rPr>
        <w:t>קפוטקיא</w:t>
      </w:r>
      <w:r>
        <w:t xml:space="preserve"> (and divorced her in </w:t>
      </w:r>
      <w:r>
        <w:rPr>
          <w:rFonts w:hint="cs"/>
          <w:rtl/>
        </w:rPr>
        <w:t>א"י</w:t>
      </w:r>
      <w:r>
        <w:t xml:space="preserve">), </w:t>
      </w:r>
      <w:r>
        <w:rPr>
          <w:rFonts w:hint="cs"/>
          <w:rtl/>
        </w:rPr>
        <w:t>רשב"ג</w:t>
      </w:r>
      <w:r>
        <w:t xml:space="preserve"> maintains he must give her </w:t>
      </w:r>
      <w:r>
        <w:rPr>
          <w:rFonts w:hint="cs"/>
          <w:rtl/>
        </w:rPr>
        <w:t>מעות קפטקיא</w:t>
      </w:r>
      <w:r>
        <w:t xml:space="preserve"> for the </w:t>
      </w:r>
      <w:r>
        <w:rPr>
          <w:rFonts w:hint="cs"/>
          <w:rtl/>
        </w:rPr>
        <w:t>שעבוד</w:t>
      </w:r>
      <w:r>
        <w:t xml:space="preserve"> of </w:t>
      </w:r>
      <w:r>
        <w:rPr>
          <w:rFonts w:hint="cs"/>
          <w:rtl/>
        </w:rPr>
        <w:t>כתובה</w:t>
      </w:r>
      <w:r>
        <w:t xml:space="preserve"> is </w:t>
      </w:r>
      <w:r>
        <w:rPr>
          <w:rFonts w:hint="cs"/>
          <w:rtl/>
        </w:rPr>
        <w:t>מדאורייתא</w:t>
      </w:r>
      <w:r>
        <w:t xml:space="preserve"> like any other </w:t>
      </w:r>
      <w:r>
        <w:rPr>
          <w:rFonts w:hint="cs"/>
          <w:rtl/>
        </w:rPr>
        <w:t>שעבוד</w:t>
      </w:r>
      <w:r>
        <w:t xml:space="preserve">, and since he wrote the </w:t>
      </w:r>
      <w:r>
        <w:rPr>
          <w:rFonts w:hint="cs"/>
          <w:rtl/>
        </w:rPr>
        <w:t>כתובה</w:t>
      </w:r>
      <w:r>
        <w:t xml:space="preserve"> in </w:t>
      </w:r>
      <w:r>
        <w:rPr>
          <w:rFonts w:hint="cs"/>
          <w:rtl/>
        </w:rPr>
        <w:t>קפטוקיא</w:t>
      </w:r>
      <w:r>
        <w:t xml:space="preserve">, he is obligated to pay her </w:t>
      </w:r>
      <w:r>
        <w:rPr>
          <w:rFonts w:hint="cs"/>
          <w:rtl/>
        </w:rPr>
        <w:t>ממעות קפוטקיא</w:t>
      </w:r>
      <w:r>
        <w:t>.</w:t>
      </w:r>
    </w:p>
  </w:footnote>
  <w:footnote w:id="8">
    <w:p w:rsidR="00AA4E9A" w:rsidRDefault="00AA4E9A" w:rsidP="00472BC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later on </w:t>
      </w:r>
      <w:r>
        <w:rPr>
          <w:rFonts w:hint="cs"/>
          <w:rtl/>
        </w:rPr>
        <w:t>עז</w:t>
      </w:r>
      <w:proofErr w:type="gramStart"/>
      <w:r>
        <w:rPr>
          <w:rFonts w:hint="cs"/>
          <w:rtl/>
        </w:rPr>
        <w:t>,א</w:t>
      </w:r>
      <w:proofErr w:type="gramEnd"/>
      <w:r>
        <w:t xml:space="preserve"> where the </w:t>
      </w:r>
      <w:r>
        <w:rPr>
          <w:rFonts w:hint="cs"/>
          <w:rtl/>
        </w:rPr>
        <w:t>גמרא</w:t>
      </w:r>
      <w:r>
        <w:t xml:space="preserve"> writes: </w:t>
      </w:r>
      <w:r w:rsidRPr="001D24A9">
        <w:rPr>
          <w:rtl/>
        </w:rPr>
        <w:t>בכל מקום ששנה רשב"ג במשנתנו הלכה כמותו</w:t>
      </w:r>
      <w:r>
        <w:t>.</w:t>
      </w:r>
    </w:p>
  </w:footnote>
  <w:footnote w:id="9">
    <w:p w:rsidR="00681C24" w:rsidRDefault="00681C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See ‘Thinking it over’.</w:t>
      </w:r>
      <w:proofErr w:type="gramEnd"/>
    </w:p>
  </w:footnote>
  <w:footnote w:id="10">
    <w:p w:rsidR="00681C24" w:rsidRDefault="00681C24">
      <w:pPr>
        <w:pStyle w:val="FootnoteText"/>
      </w:pPr>
      <w:r>
        <w:rPr>
          <w:rStyle w:val="FootnoteReference"/>
        </w:rPr>
        <w:footnoteRef/>
      </w:r>
      <w:r>
        <w:t xml:space="preserve"> Generally (as a rule) when there is a </w:t>
      </w:r>
      <w:r>
        <w:rPr>
          <w:rFonts w:hint="cs"/>
          <w:rtl/>
        </w:rPr>
        <w:t>מחלוקת</w:t>
      </w:r>
      <w:r>
        <w:t xml:space="preserve"> (of </w:t>
      </w:r>
      <w:r>
        <w:rPr>
          <w:rFonts w:hint="cs"/>
          <w:rtl/>
        </w:rPr>
        <w:t>אמוראים</w:t>
      </w:r>
      <w:r>
        <w:t xml:space="preserve">) we follow the ruling of the later </w:t>
      </w:r>
      <w:r>
        <w:rPr>
          <w:rFonts w:hint="cs"/>
          <w:rtl/>
        </w:rPr>
        <w:t>אמוראים</w:t>
      </w:r>
      <w:r>
        <w:t xml:space="preserve"> (for they have seen the views of their predecessors and decided how to rule).</w:t>
      </w:r>
    </w:p>
  </w:footnote>
  <w:footnote w:id="11">
    <w:p w:rsidR="00AA4E9A" w:rsidRDefault="00AA4E9A" w:rsidP="00956A3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ברייתא</w:t>
      </w:r>
      <w:r>
        <w:t xml:space="preserve"> mentions two (different) </w:t>
      </w:r>
      <w:r>
        <w:rPr>
          <w:rFonts w:hint="cs"/>
          <w:rtl/>
        </w:rPr>
        <w:t>מנהגים</w:t>
      </w:r>
      <w:r>
        <w:t xml:space="preserve"> in </w:t>
      </w:r>
      <w:r>
        <w:rPr>
          <w:rFonts w:hint="cs"/>
          <w:rtl/>
        </w:rPr>
        <w:t>יהודה וגליל</w:t>
      </w:r>
      <w:r>
        <w:t xml:space="preserve">. 1. In </w:t>
      </w:r>
      <w:r>
        <w:rPr>
          <w:rFonts w:hint="cs"/>
          <w:rtl/>
        </w:rPr>
        <w:t>יהודה</w:t>
      </w:r>
      <w:r>
        <w:t xml:space="preserve"> they secluded the </w:t>
      </w:r>
      <w:r>
        <w:rPr>
          <w:rFonts w:hint="cs"/>
          <w:rtl/>
        </w:rPr>
        <w:t>חתן וכלה</w:t>
      </w:r>
      <w:r>
        <w:t xml:space="preserve"> </w:t>
      </w:r>
      <w:r w:rsidR="00266B90">
        <w:t xml:space="preserve">together </w:t>
      </w:r>
      <w:r>
        <w:t xml:space="preserve">before the </w:t>
      </w:r>
      <w:r w:rsidR="00CD2BF6">
        <w:rPr>
          <w:rFonts w:hint="cs"/>
          <w:rtl/>
        </w:rPr>
        <w:t>חופה</w:t>
      </w:r>
      <w:r w:rsidR="00CD2BF6">
        <w:t>,</w:t>
      </w:r>
      <w:r>
        <w:t xml:space="preserve"> but not in </w:t>
      </w:r>
      <w:r>
        <w:rPr>
          <w:rFonts w:hint="cs"/>
          <w:rtl/>
        </w:rPr>
        <w:t>גליל</w:t>
      </w:r>
      <w:r>
        <w:t xml:space="preserve">. 2. Initially in </w:t>
      </w:r>
      <w:r>
        <w:rPr>
          <w:rFonts w:hint="cs"/>
          <w:rtl/>
        </w:rPr>
        <w:t>יהודה</w:t>
      </w:r>
      <w:r>
        <w:t xml:space="preserve"> they would appoint two chaperons (</w:t>
      </w:r>
      <w:r>
        <w:rPr>
          <w:rFonts w:hint="cs"/>
          <w:rtl/>
        </w:rPr>
        <w:t>שושבינין</w:t>
      </w:r>
      <w:r>
        <w:t xml:space="preserve">) one for the </w:t>
      </w:r>
      <w:r>
        <w:rPr>
          <w:rFonts w:hint="cs"/>
          <w:rtl/>
        </w:rPr>
        <w:t>חתן</w:t>
      </w:r>
      <w:r>
        <w:t xml:space="preserve"> and one for the </w:t>
      </w:r>
      <w:r>
        <w:rPr>
          <w:rFonts w:hint="cs"/>
          <w:rtl/>
        </w:rPr>
        <w:t>כלה</w:t>
      </w:r>
      <w:r>
        <w:t xml:space="preserve"> when they would enter the </w:t>
      </w:r>
      <w:r>
        <w:rPr>
          <w:rFonts w:hint="cs"/>
          <w:rtl/>
        </w:rPr>
        <w:t>חופה</w:t>
      </w:r>
      <w:r>
        <w:t xml:space="preserve"> (to assure that any claim or rebuttal of </w:t>
      </w:r>
      <w:r>
        <w:rPr>
          <w:rFonts w:hint="cs"/>
          <w:rtl/>
        </w:rPr>
        <w:t>טענת בתולים</w:t>
      </w:r>
      <w:r>
        <w:t xml:space="preserve"> could not be falsified [</w:t>
      </w:r>
      <w:r>
        <w:rPr>
          <w:rFonts w:hint="cs"/>
          <w:rtl/>
        </w:rPr>
        <w:t>עיי"ש ברש"י ד"ה למשמש</w:t>
      </w:r>
      <w:r>
        <w:t xml:space="preserve">]), but not in </w:t>
      </w:r>
      <w:r>
        <w:rPr>
          <w:rFonts w:hint="cs"/>
          <w:rtl/>
        </w:rPr>
        <w:t>גליל</w:t>
      </w:r>
      <w:r>
        <w:t xml:space="preserve">. The </w:t>
      </w:r>
      <w:r>
        <w:rPr>
          <w:rFonts w:hint="cs"/>
          <w:rtl/>
        </w:rPr>
        <w:t>ברייתא</w:t>
      </w:r>
      <w:r>
        <w:t xml:space="preserve"> concludes</w:t>
      </w:r>
      <w:r w:rsidR="009001EF">
        <w:t>,</w:t>
      </w:r>
      <w:r>
        <w:t xml:space="preserve"> </w:t>
      </w:r>
      <w:r w:rsidR="009001EF">
        <w:t>‘</w:t>
      </w:r>
      <w:r>
        <w:t xml:space="preserve">and whoever did not follow this custom does not have the rights of </w:t>
      </w:r>
      <w:r>
        <w:rPr>
          <w:rFonts w:hint="cs"/>
          <w:rtl/>
        </w:rPr>
        <w:t xml:space="preserve">טענת </w:t>
      </w:r>
      <w:r>
        <w:rPr>
          <w:rFonts w:hint="cs"/>
          <w:rtl/>
        </w:rPr>
        <w:t>בתולים</w:t>
      </w:r>
      <w:r w:rsidR="009001EF">
        <w:t>’</w:t>
      </w:r>
      <w:bookmarkStart w:id="0" w:name="_GoBack"/>
      <w:bookmarkEnd w:id="0"/>
      <w:r>
        <w:t xml:space="preserve">. The </w:t>
      </w:r>
      <w:r>
        <w:rPr>
          <w:rFonts w:hint="cs"/>
          <w:rtl/>
        </w:rPr>
        <w:t>גמרא</w:t>
      </w:r>
      <w:r>
        <w:t xml:space="preserve"> asks i</w:t>
      </w:r>
      <w:r w:rsidR="00956A3D">
        <w:t>f</w:t>
      </w:r>
      <w:r>
        <w:t xml:space="preserve"> this referring to the first custom (of being </w:t>
      </w:r>
      <w:r>
        <w:rPr>
          <w:rFonts w:hint="cs"/>
          <w:rtl/>
        </w:rPr>
        <w:t>מייחד</w:t>
      </w:r>
      <w:r>
        <w:t xml:space="preserve"> the </w:t>
      </w:r>
      <w:r>
        <w:rPr>
          <w:rFonts w:hint="cs"/>
          <w:rtl/>
        </w:rPr>
        <w:t>חתן וכלה</w:t>
      </w:r>
      <w:r>
        <w:t>)</w:t>
      </w:r>
      <w:r w:rsidR="00956A3D">
        <w:t>,</w:t>
      </w:r>
      <w:r>
        <w:t xml:space="preserve"> it should state the opposite that whoever follows this custom cannot have </w:t>
      </w:r>
      <w:r>
        <w:rPr>
          <w:rFonts w:hint="cs"/>
          <w:rtl/>
        </w:rPr>
        <w:t>טענת בתולים</w:t>
      </w:r>
      <w:r>
        <w:t xml:space="preserve"> (since they were </w:t>
      </w:r>
      <w:r>
        <w:rPr>
          <w:rFonts w:hint="cs"/>
          <w:rtl/>
        </w:rPr>
        <w:t>מתייחד</w:t>
      </w:r>
      <w:r>
        <w:t xml:space="preserve"> before the </w:t>
      </w:r>
      <w:r>
        <w:rPr>
          <w:rFonts w:hint="cs"/>
          <w:rtl/>
        </w:rPr>
        <w:t>חופה</w:t>
      </w:r>
      <w:r>
        <w:t xml:space="preserve">); if it is referring to the second custom (regarding the </w:t>
      </w:r>
      <w:r>
        <w:rPr>
          <w:rFonts w:hint="cs"/>
          <w:rtl/>
        </w:rPr>
        <w:t>שושבינין</w:t>
      </w:r>
      <w:r>
        <w:t xml:space="preserve">) the </w:t>
      </w:r>
      <w:r>
        <w:rPr>
          <w:rFonts w:hint="cs"/>
          <w:rtl/>
        </w:rPr>
        <w:t>ברייתא</w:t>
      </w:r>
      <w:r>
        <w:t xml:space="preserve"> should have rather said whoever </w:t>
      </w:r>
      <w:r w:rsidRPr="00956A3D">
        <w:rPr>
          <w:i/>
          <w:iCs/>
        </w:rPr>
        <w:t>was not checked</w:t>
      </w:r>
      <w:r>
        <w:t xml:space="preserve"> (that he did not hide the </w:t>
      </w:r>
      <w:r>
        <w:rPr>
          <w:rFonts w:hint="cs"/>
          <w:rtl/>
        </w:rPr>
        <w:t>דם בתולים</w:t>
      </w:r>
      <w:r>
        <w:t xml:space="preserve">) cannot have </w:t>
      </w:r>
      <w:r>
        <w:rPr>
          <w:rFonts w:hint="cs"/>
          <w:rtl/>
        </w:rPr>
        <w:t>טענת בתולים</w:t>
      </w:r>
      <w:r>
        <w:t xml:space="preserve">, not whoever </w:t>
      </w:r>
      <w:r w:rsidRPr="00956A3D">
        <w:rPr>
          <w:i/>
          <w:iCs/>
        </w:rPr>
        <w:t>did not check</w:t>
      </w:r>
      <w:r>
        <w:t xml:space="preserve"> </w:t>
      </w:r>
      <w:r w:rsidRPr="0031453C">
        <w:t>(</w:t>
      </w:r>
      <w:r w:rsidRPr="0031453C">
        <w:rPr>
          <w:rtl/>
        </w:rPr>
        <w:t>עיי"ש ברש"י ד"ה כל</w:t>
      </w:r>
      <w:r w:rsidRPr="0031453C">
        <w:t>)</w:t>
      </w:r>
      <w:r>
        <w:t xml:space="preserve">,  </w:t>
      </w:r>
    </w:p>
  </w:footnote>
  <w:footnote w:id="12">
    <w:p w:rsidR="00AA4E9A" w:rsidRDefault="00AA4E9A" w:rsidP="00472BC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According to </w:t>
      </w:r>
      <w:r>
        <w:rPr>
          <w:rFonts w:hint="cs"/>
          <w:rtl/>
        </w:rPr>
        <w:t>ר"נ</w:t>
      </w:r>
      <w:r>
        <w:t xml:space="preserve"> even if the husband was not checked he should have </w:t>
      </w:r>
      <w:r>
        <w:rPr>
          <w:rFonts w:hint="cs"/>
          <w:rtl/>
        </w:rPr>
        <w:t>טענת בתולים</w:t>
      </w:r>
      <w:r>
        <w:t xml:space="preserve">, since </w:t>
      </w:r>
      <w:r>
        <w:rPr>
          <w:rFonts w:hint="cs"/>
          <w:rtl/>
        </w:rPr>
        <w:t>א"א טורח בסעודה ומפסידה</w:t>
      </w:r>
      <w:r>
        <w:t>.</w:t>
      </w:r>
      <w:proofErr w:type="gramEnd"/>
      <w:r>
        <w:t xml:space="preserve"> </w:t>
      </w:r>
    </w:p>
  </w:footnote>
  <w:footnote w:id="13">
    <w:p w:rsidR="00AA4E9A" w:rsidRDefault="00AA4E9A" w:rsidP="004F6F18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רשב"א</w:t>
      </w:r>
      <w:r>
        <w:t xml:space="preserve"> who explains that the reason </w:t>
      </w:r>
      <w:r w:rsidR="00C0524E">
        <w:t>why</w:t>
      </w:r>
      <w:r>
        <w:t xml:space="preserve"> </w:t>
      </w:r>
      <w:r>
        <w:rPr>
          <w:rFonts w:hint="cs"/>
          <w:rtl/>
        </w:rPr>
        <w:t>א"א טורח בסעודה ומפסידה</w:t>
      </w:r>
      <w:r>
        <w:t xml:space="preserve"> is effective that we believe</w:t>
      </w:r>
      <w:r w:rsidR="00C0524E">
        <w:t xml:space="preserve"> the husband;</w:t>
      </w:r>
      <w:r>
        <w:t xml:space="preserve"> is only in combination with the ruling of </w:t>
      </w:r>
      <w:r>
        <w:rPr>
          <w:rFonts w:hint="cs"/>
          <w:rtl/>
        </w:rPr>
        <w:t>ר"נ</w:t>
      </w:r>
      <w:r>
        <w:t xml:space="preserve"> that </w:t>
      </w:r>
      <w:r>
        <w:rPr>
          <w:rFonts w:hint="cs"/>
          <w:rtl/>
        </w:rPr>
        <w:t>כתובה</w:t>
      </w:r>
      <w:r>
        <w:t xml:space="preserve"> is </w:t>
      </w:r>
      <w:r>
        <w:rPr>
          <w:rFonts w:hint="cs"/>
          <w:rtl/>
        </w:rPr>
        <w:t>מדרבנן</w:t>
      </w:r>
      <w:r>
        <w:t xml:space="preserve">. However if </w:t>
      </w:r>
      <w:r w:rsidR="00C0524E">
        <w:t>w</w:t>
      </w:r>
      <w:r>
        <w:t xml:space="preserve">e maintain </w:t>
      </w:r>
      <w:r>
        <w:rPr>
          <w:rFonts w:hint="cs"/>
          <w:rtl/>
        </w:rPr>
        <w:t>כתובה דאורייתא</w:t>
      </w:r>
      <w:r>
        <w:t xml:space="preserve"> then the </w:t>
      </w:r>
      <w:r>
        <w:rPr>
          <w:rFonts w:hint="cs"/>
          <w:rtl/>
        </w:rPr>
        <w:t>חזקה</w:t>
      </w:r>
      <w:r>
        <w:t xml:space="preserve"> of </w:t>
      </w:r>
      <w:r>
        <w:rPr>
          <w:rFonts w:hint="cs"/>
          <w:rtl/>
        </w:rPr>
        <w:t>א"א טורח וכו'</w:t>
      </w:r>
      <w:r>
        <w:t xml:space="preserve"> will be ineffective </w:t>
      </w:r>
      <w:r w:rsidR="00CD2BF6">
        <w:t xml:space="preserve">(for perhaps it is not that strong of a </w:t>
      </w:r>
      <w:r w:rsidR="00CD2BF6">
        <w:rPr>
          <w:rFonts w:hint="cs"/>
          <w:rtl/>
        </w:rPr>
        <w:t>חזקה</w:t>
      </w:r>
      <w:r w:rsidR="004F6F18">
        <w:t xml:space="preserve"> [see end of this footnote]</w:t>
      </w:r>
      <w:r w:rsidR="00CD2BF6">
        <w:t xml:space="preserve">) </w:t>
      </w:r>
      <w:r>
        <w:t xml:space="preserve">and the husband will not be believed (even though he is a </w:t>
      </w:r>
      <w:r>
        <w:rPr>
          <w:rFonts w:hint="cs"/>
          <w:rtl/>
        </w:rPr>
        <w:t>מוחזק</w:t>
      </w:r>
      <w:r>
        <w:t xml:space="preserve">), since there is a </w:t>
      </w:r>
      <w:r>
        <w:rPr>
          <w:rFonts w:hint="cs"/>
          <w:rtl/>
        </w:rPr>
        <w:t>חיוב כתובה מדאורייתא</w:t>
      </w:r>
      <w:r>
        <w:t xml:space="preserve">. Since </w:t>
      </w:r>
      <w:r>
        <w:rPr>
          <w:rFonts w:hint="cs"/>
          <w:rtl/>
        </w:rPr>
        <w:t>רב אשי</w:t>
      </w:r>
      <w:r>
        <w:t xml:space="preserve"> reads in the </w:t>
      </w:r>
      <w:r>
        <w:rPr>
          <w:rFonts w:hint="cs"/>
          <w:rtl/>
        </w:rPr>
        <w:t>ברייתא</w:t>
      </w:r>
      <w:r>
        <w:t xml:space="preserve"> that if he was no</w:t>
      </w:r>
      <w:r w:rsidR="00C0524E">
        <w:t>t</w:t>
      </w:r>
      <w:r>
        <w:t xml:space="preserve"> </w:t>
      </w:r>
      <w:r>
        <w:rPr>
          <w:rFonts w:hint="cs"/>
          <w:rtl/>
        </w:rPr>
        <w:t>מושמש</w:t>
      </w:r>
      <w:r>
        <w:t xml:space="preserve"> he is not believed (even though there is the </w:t>
      </w:r>
      <w:r>
        <w:rPr>
          <w:rFonts w:hint="cs"/>
          <w:rtl/>
        </w:rPr>
        <w:t>חזקה</w:t>
      </w:r>
      <w:r>
        <w:t xml:space="preserve"> of </w:t>
      </w:r>
      <w:r>
        <w:rPr>
          <w:rFonts w:hint="cs"/>
          <w:rtl/>
        </w:rPr>
        <w:t>א"א טורח וכו'</w:t>
      </w:r>
      <w:r>
        <w:t xml:space="preserve">), this proves that </w:t>
      </w:r>
      <w:r>
        <w:rPr>
          <w:rFonts w:hint="cs"/>
          <w:rtl/>
        </w:rPr>
        <w:t>ר"א</w:t>
      </w:r>
      <w:r>
        <w:t xml:space="preserve"> maintains </w:t>
      </w:r>
      <w:r>
        <w:rPr>
          <w:rFonts w:hint="cs"/>
          <w:rtl/>
        </w:rPr>
        <w:t>כתובה דאורייתא</w:t>
      </w:r>
      <w:r>
        <w:t>.</w:t>
      </w:r>
      <w:r w:rsidR="00C0524E">
        <w:t xml:space="preserve"> [This is a preferable way of explaining their </w:t>
      </w:r>
      <w:r w:rsidR="00C0524E">
        <w:rPr>
          <w:rFonts w:hint="cs"/>
          <w:rtl/>
        </w:rPr>
        <w:t>מחלוקת</w:t>
      </w:r>
      <w:r w:rsidR="00C0524E">
        <w:t xml:space="preserve"> as opposed to saying that </w:t>
      </w:r>
      <w:r w:rsidR="00C0524E">
        <w:rPr>
          <w:rFonts w:hint="cs"/>
          <w:rtl/>
        </w:rPr>
        <w:t>ר"נ ור"א</w:t>
      </w:r>
      <w:r w:rsidR="00C0524E">
        <w:t xml:space="preserve"> argue whether or not </w:t>
      </w:r>
      <w:r w:rsidR="00C0524E">
        <w:rPr>
          <w:rFonts w:hint="cs"/>
          <w:rtl/>
        </w:rPr>
        <w:t>א"א טורח בסעודה וכו'</w:t>
      </w:r>
      <w:r w:rsidR="00C0524E">
        <w:t>.</w:t>
      </w:r>
      <w:r w:rsidR="00CD2BF6">
        <w:t xml:space="preserve"> See (however) </w:t>
      </w:r>
      <w:r w:rsidR="00CD2BF6">
        <w:rPr>
          <w:rFonts w:hint="cs"/>
          <w:rtl/>
        </w:rPr>
        <w:t>תוס' ט,ב ד"ה לא</w:t>
      </w:r>
      <w:r w:rsidR="00CD2BF6">
        <w:t xml:space="preserve"> TIE footnote # 17</w:t>
      </w:r>
      <w:r w:rsidR="00C0524E">
        <w:t>]</w:t>
      </w:r>
    </w:p>
  </w:footnote>
  <w:footnote w:id="14">
    <w:p w:rsidR="00AA4E9A" w:rsidRDefault="00AA4E9A" w:rsidP="00B968D0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ריב"ם</w:t>
      </w:r>
      <w:r>
        <w:t xml:space="preserve"> and the </w:t>
      </w:r>
      <w:r>
        <w:rPr>
          <w:rFonts w:hint="cs"/>
          <w:rtl/>
        </w:rPr>
        <w:t>ר"י</w:t>
      </w:r>
      <w:r>
        <w:t xml:space="preserve"> are seemingly just answering why we do not rule like </w:t>
      </w:r>
      <w:r>
        <w:rPr>
          <w:rFonts w:hint="cs"/>
          <w:rtl/>
        </w:rPr>
        <w:t>ר"נ</w:t>
      </w:r>
      <w:r>
        <w:t>, but th</w:t>
      </w:r>
      <w:r w:rsidR="00B968D0">
        <w:t>is</w:t>
      </w:r>
      <w:r>
        <w:t xml:space="preserve"> do</w:t>
      </w:r>
      <w:r w:rsidR="00B968D0">
        <w:t>es</w:t>
      </w:r>
      <w:r>
        <w:t xml:space="preserve"> not explain why the </w:t>
      </w:r>
      <w:r>
        <w:rPr>
          <w:rFonts w:hint="cs"/>
          <w:rtl/>
        </w:rPr>
        <w:t>סתמא דגמרא</w:t>
      </w:r>
      <w:r>
        <w:t xml:space="preserve"> in </w:t>
      </w:r>
      <w:r>
        <w:rPr>
          <w:rFonts w:hint="cs"/>
          <w:rtl/>
        </w:rPr>
        <w:t>יבמות</w:t>
      </w:r>
      <w:r>
        <w:t xml:space="preserve"> states </w:t>
      </w:r>
      <w:r>
        <w:rPr>
          <w:rFonts w:hint="cs"/>
          <w:rtl/>
        </w:rPr>
        <w:t>מ"ט תקינו רבנן כתובה וכו'</w:t>
      </w:r>
      <w:r>
        <w:t xml:space="preserve">, until the </w:t>
      </w:r>
      <w:r>
        <w:rPr>
          <w:rFonts w:hint="cs"/>
          <w:rtl/>
        </w:rPr>
        <w:t>ה"פ</w:t>
      </w:r>
      <w:r>
        <w:t xml:space="preserve"> of </w:t>
      </w:r>
      <w:r>
        <w:rPr>
          <w:rFonts w:hint="cs"/>
          <w:rtl/>
        </w:rPr>
        <w:t>תוספות</w:t>
      </w:r>
      <w:r>
        <w:t xml:space="preserve"> later.</w:t>
      </w:r>
    </w:p>
  </w:footnote>
  <w:footnote w:id="15">
    <w:p w:rsidR="00B968D0" w:rsidRDefault="00B968D0">
      <w:pPr>
        <w:pStyle w:val="FootnoteText"/>
      </w:pPr>
      <w:r>
        <w:rPr>
          <w:rStyle w:val="FootnoteReference"/>
        </w:rPr>
        <w:footnoteRef/>
      </w:r>
      <w:r>
        <w:t xml:space="preserve"> All agree that a </w:t>
      </w:r>
      <w:r>
        <w:rPr>
          <w:rFonts w:hint="cs"/>
          <w:rtl/>
        </w:rPr>
        <w:t>כתובת אלמנה</w:t>
      </w:r>
      <w:r>
        <w:t xml:space="preserve"> is </w:t>
      </w:r>
      <w:r>
        <w:rPr>
          <w:rFonts w:hint="cs"/>
          <w:rtl/>
        </w:rPr>
        <w:t>מדרבנן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9A" w:rsidRPr="00B3449A" w:rsidRDefault="00AA4E9A" w:rsidP="009F7729">
    <w:pPr>
      <w:pStyle w:val="Header"/>
      <w:bidi/>
      <w:rPr>
        <w:sz w:val="24"/>
        <w:szCs w:val="24"/>
      </w:rPr>
    </w:pPr>
    <w:r w:rsidRPr="00B3449A">
      <w:rPr>
        <w:rFonts w:hint="cs"/>
        <w:sz w:val="24"/>
        <w:szCs w:val="24"/>
        <w:rtl/>
      </w:rPr>
      <w:t>בס"ד. כתובות י,א תוס' ד"ה 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CA"/>
    <w:rsid w:val="00187819"/>
    <w:rsid w:val="001D24A9"/>
    <w:rsid w:val="00266B90"/>
    <w:rsid w:val="0031453C"/>
    <w:rsid w:val="00381F7A"/>
    <w:rsid w:val="003D4453"/>
    <w:rsid w:val="00472BC8"/>
    <w:rsid w:val="004762CA"/>
    <w:rsid w:val="004F6F18"/>
    <w:rsid w:val="00530176"/>
    <w:rsid w:val="00681C24"/>
    <w:rsid w:val="0070644A"/>
    <w:rsid w:val="007A38E9"/>
    <w:rsid w:val="008E5C87"/>
    <w:rsid w:val="009001EF"/>
    <w:rsid w:val="00956A3D"/>
    <w:rsid w:val="009F7729"/>
    <w:rsid w:val="00AA3AD5"/>
    <w:rsid w:val="00AA4E9A"/>
    <w:rsid w:val="00B3449A"/>
    <w:rsid w:val="00B968D0"/>
    <w:rsid w:val="00C0524E"/>
    <w:rsid w:val="00C22A03"/>
    <w:rsid w:val="00CD2BF6"/>
    <w:rsid w:val="00CE1D2C"/>
    <w:rsid w:val="00D54E50"/>
    <w:rsid w:val="00E416AC"/>
    <w:rsid w:val="00E5512E"/>
    <w:rsid w:val="00F76ED3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7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29"/>
  </w:style>
  <w:style w:type="paragraph" w:styleId="Footer">
    <w:name w:val="footer"/>
    <w:basedOn w:val="Normal"/>
    <w:link w:val="FooterChar"/>
    <w:uiPriority w:val="99"/>
    <w:unhideWhenUsed/>
    <w:rsid w:val="009F77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29"/>
  </w:style>
  <w:style w:type="paragraph" w:styleId="FootnoteText">
    <w:name w:val="footnote text"/>
    <w:basedOn w:val="Normal"/>
    <w:link w:val="FootnoteTextChar"/>
    <w:uiPriority w:val="99"/>
    <w:semiHidden/>
    <w:unhideWhenUsed/>
    <w:rsid w:val="00B344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4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4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7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29"/>
  </w:style>
  <w:style w:type="paragraph" w:styleId="Footer">
    <w:name w:val="footer"/>
    <w:basedOn w:val="Normal"/>
    <w:link w:val="FooterChar"/>
    <w:uiPriority w:val="99"/>
    <w:unhideWhenUsed/>
    <w:rsid w:val="009F77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29"/>
  </w:style>
  <w:style w:type="paragraph" w:styleId="FootnoteText">
    <w:name w:val="footnote text"/>
    <w:basedOn w:val="Normal"/>
    <w:link w:val="FootnoteTextChar"/>
    <w:uiPriority w:val="99"/>
    <w:semiHidden/>
    <w:unhideWhenUsed/>
    <w:rsid w:val="00B344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4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7163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11</cp:revision>
  <dcterms:created xsi:type="dcterms:W3CDTF">2016-01-15T02:58:00Z</dcterms:created>
  <dcterms:modified xsi:type="dcterms:W3CDTF">2017-06-07T23:47:00Z</dcterms:modified>
</cp:coreProperties>
</file>