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C9" w:rsidRPr="000909C9" w:rsidRDefault="00E11077" w:rsidP="000909C9">
      <w:pPr>
        <w:bidi/>
        <w:rPr>
          <w:b w:val="0"/>
          <w:bCs w:val="0"/>
        </w:rPr>
      </w:pPr>
      <w:r w:rsidRPr="000909C9">
        <w:rPr>
          <w:sz w:val="36"/>
          <w:szCs w:val="36"/>
          <w:rtl/>
        </w:rPr>
        <w:t>אמר</w:t>
      </w:r>
      <w:r w:rsidR="000909C9">
        <w:rPr>
          <w:rFonts w:hint="cs"/>
          <w:rtl/>
        </w:rPr>
        <w:t xml:space="preserve"> </w:t>
      </w:r>
      <w:r w:rsidRPr="000909C9">
        <w:rPr>
          <w:sz w:val="32"/>
          <w:szCs w:val="32"/>
          <w:rtl/>
        </w:rPr>
        <w:t>רב אכל תמרים אל יורה</w:t>
      </w:r>
      <w:r w:rsidR="000909C9">
        <w:rPr>
          <w:rFonts w:hint="cs"/>
          <w:sz w:val="32"/>
          <w:szCs w:val="32"/>
          <w:rtl/>
        </w:rPr>
        <w:t xml:space="preserve"> - </w:t>
      </w:r>
      <w:r w:rsidR="000909C9">
        <w:rPr>
          <w:sz w:val="16"/>
          <w:szCs w:val="16"/>
        </w:rPr>
        <w:t xml:space="preserve"> </w:t>
      </w:r>
      <w:r w:rsidR="000909C9">
        <w:rPr>
          <w:sz w:val="32"/>
          <w:szCs w:val="32"/>
        </w:rPr>
        <w:t xml:space="preserve">said; </w:t>
      </w:r>
      <w:r w:rsidR="000909C9">
        <w:rPr>
          <w:b w:val="0"/>
          <w:bCs w:val="0"/>
          <w:sz w:val="32"/>
          <w:szCs w:val="32"/>
        </w:rPr>
        <w:t xml:space="preserve">if </w:t>
      </w:r>
      <w:r w:rsidR="000909C9">
        <w:rPr>
          <w:sz w:val="32"/>
          <w:szCs w:val="32"/>
        </w:rPr>
        <w:t xml:space="preserve">he ate dates, he should not rule </w:t>
      </w:r>
      <w:r w:rsidR="000909C9">
        <w:rPr>
          <w:sz w:val="16"/>
          <w:szCs w:val="16"/>
        </w:rPr>
        <w:t xml:space="preserve">  </w:t>
      </w:r>
      <w:r w:rsidR="000909C9">
        <w:rPr>
          <w:sz w:val="32"/>
          <w:szCs w:val="32"/>
        </w:rPr>
        <w:t xml:space="preserve"> </w:t>
      </w:r>
      <w:r w:rsidR="000909C9">
        <w:rPr>
          <w:rFonts w:hint="cs"/>
          <w:sz w:val="32"/>
          <w:szCs w:val="32"/>
          <w:rtl/>
        </w:rPr>
        <w:t>רב</w:t>
      </w:r>
    </w:p>
    <w:p w:rsidR="000909C9" w:rsidRDefault="000909C9" w:rsidP="000909C9">
      <w:pPr>
        <w:bidi/>
        <w:rPr>
          <w:b w:val="0"/>
          <w:bCs w:val="0"/>
          <w:sz w:val="24"/>
          <w:szCs w:val="24"/>
          <w:rtl/>
        </w:rPr>
      </w:pPr>
    </w:p>
    <w:p w:rsidR="000909C9" w:rsidRPr="000909C9" w:rsidRDefault="000909C9" w:rsidP="000909C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0909C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0909C9" w:rsidRPr="000909C9" w:rsidRDefault="007D36E8" w:rsidP="000909C9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said if someone ate dates he should not offer any </w:t>
      </w:r>
      <w:r>
        <w:rPr>
          <w:rFonts w:hint="cs"/>
          <w:b w:val="0"/>
          <w:bCs w:val="0"/>
          <w:rtl/>
        </w:rPr>
        <w:t>תורה</w:t>
      </w:r>
      <w:r>
        <w:rPr>
          <w:b w:val="0"/>
          <w:bCs w:val="0"/>
        </w:rPr>
        <w:t xml:space="preserve"> ruling since the dates confuse him as if he were intoxicated.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reconciles this statement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with a seemingly contradictory statement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>.</w:t>
      </w:r>
    </w:p>
    <w:p w:rsidR="000909C9" w:rsidRDefault="00E738C3" w:rsidP="00E738C3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0909C9" w:rsidRDefault="00482EB7" w:rsidP="00482EB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482EB7" w:rsidRPr="00E738C3" w:rsidRDefault="00E11077" w:rsidP="00E738C3">
      <w:pPr>
        <w:bidi/>
        <w:rPr>
          <w:rFonts w:cs="David"/>
        </w:rPr>
      </w:pPr>
      <w:r w:rsidRPr="00E738C3">
        <w:rPr>
          <w:rFonts w:cs="David"/>
          <w:rtl/>
        </w:rPr>
        <w:t>ואם תאמר דבפ</w:t>
      </w:r>
      <w:r w:rsidR="00482EB7" w:rsidRPr="00E738C3">
        <w:rPr>
          <w:rFonts w:cs="David" w:hint="cs"/>
          <w:rtl/>
        </w:rPr>
        <w:t xml:space="preserve">רק </w:t>
      </w:r>
      <w:r w:rsidRPr="00E738C3">
        <w:rPr>
          <w:rFonts w:cs="David"/>
          <w:rtl/>
        </w:rPr>
        <w:t>ג</w:t>
      </w:r>
      <w:r w:rsidR="00482EB7" w:rsidRPr="00E738C3">
        <w:rPr>
          <w:rFonts w:cs="David" w:hint="cs"/>
          <w:rtl/>
        </w:rPr>
        <w:t>'</w:t>
      </w:r>
      <w:r w:rsidRPr="00E738C3">
        <w:rPr>
          <w:rFonts w:cs="David"/>
          <w:rtl/>
        </w:rPr>
        <w:t xml:space="preserve"> דכריתות </w:t>
      </w:r>
      <w:r w:rsidRPr="00E738C3">
        <w:rPr>
          <w:rFonts w:cs="David"/>
          <w:sz w:val="20"/>
          <w:szCs w:val="20"/>
          <w:rtl/>
        </w:rPr>
        <w:t>(דף יג</w:t>
      </w:r>
      <w:r w:rsidR="00482EB7" w:rsidRPr="00E738C3">
        <w:rPr>
          <w:rFonts w:cs="David" w:hint="cs"/>
          <w:sz w:val="20"/>
          <w:szCs w:val="20"/>
          <w:rtl/>
        </w:rPr>
        <w:t>,ב</w:t>
      </w:r>
      <w:r w:rsidRPr="00E738C3">
        <w:rPr>
          <w:rFonts w:cs="David"/>
          <w:sz w:val="20"/>
          <w:szCs w:val="20"/>
          <w:rtl/>
        </w:rPr>
        <w:t xml:space="preserve"> ושם)</w:t>
      </w:r>
      <w:r w:rsidRPr="00E738C3">
        <w:rPr>
          <w:rFonts w:cs="David"/>
          <w:rtl/>
        </w:rPr>
        <w:t xml:space="preserve"> (אמר רב הונא)</w:t>
      </w:r>
      <w:r w:rsidR="00482EB7" w:rsidRPr="00E738C3">
        <w:rPr>
          <w:rStyle w:val="FootnoteReference"/>
          <w:rFonts w:cs="David"/>
          <w:rtl/>
        </w:rPr>
        <w:footnoteReference w:id="2"/>
      </w:r>
      <w:r w:rsidRPr="00E738C3">
        <w:rPr>
          <w:rFonts w:cs="David"/>
          <w:rtl/>
        </w:rPr>
        <w:t xml:space="preserve"> אמר רב הלכה כר</w:t>
      </w:r>
      <w:r w:rsidR="00482EB7" w:rsidRPr="00E738C3">
        <w:rPr>
          <w:rFonts w:cs="David" w:hint="cs"/>
          <w:rtl/>
        </w:rPr>
        <w:t>בי</w:t>
      </w:r>
      <w:r w:rsidRPr="00E738C3">
        <w:rPr>
          <w:rFonts w:cs="David"/>
          <w:rtl/>
        </w:rPr>
        <w:t xml:space="preserve"> אלעזר </w:t>
      </w:r>
      <w:r w:rsidR="00E738C3">
        <w:rPr>
          <w:rFonts w:cs="David" w:hint="cs"/>
          <w:rtl/>
        </w:rPr>
        <w:t>-</w:t>
      </w:r>
    </w:p>
    <w:p w:rsidR="00482EB7" w:rsidRPr="00E738C3" w:rsidRDefault="00482EB7" w:rsidP="00482EB7">
      <w:pPr>
        <w:rPr>
          <w:spacing w:val="-2"/>
        </w:rPr>
      </w:pPr>
      <w:r w:rsidRPr="00E738C3">
        <w:rPr>
          <w:spacing w:val="-2"/>
        </w:rPr>
        <w:t xml:space="preserve">And if you will say; that in third </w:t>
      </w:r>
      <w:r w:rsidRPr="00E738C3">
        <w:rPr>
          <w:rFonts w:hint="cs"/>
          <w:spacing w:val="-2"/>
          <w:rtl/>
        </w:rPr>
        <w:t>פרק</w:t>
      </w:r>
      <w:r w:rsidRPr="00E738C3">
        <w:rPr>
          <w:spacing w:val="-2"/>
        </w:rPr>
        <w:t xml:space="preserve"> of</w:t>
      </w:r>
      <w:r w:rsidRPr="00E738C3">
        <w:rPr>
          <w:b w:val="0"/>
          <w:bCs w:val="0"/>
          <w:spacing w:val="-2"/>
        </w:rPr>
        <w:t xml:space="preserve"> </w:t>
      </w:r>
      <w:r w:rsidRPr="00E738C3">
        <w:rPr>
          <w:rFonts w:hint="cs"/>
          <w:b w:val="0"/>
          <w:bCs w:val="0"/>
          <w:spacing w:val="-2"/>
          <w:rtl/>
        </w:rPr>
        <w:t xml:space="preserve">מסכת </w:t>
      </w:r>
      <w:r w:rsidRPr="00E738C3">
        <w:rPr>
          <w:rFonts w:hint="cs"/>
          <w:spacing w:val="-2"/>
          <w:rtl/>
        </w:rPr>
        <w:t>כריתות</w:t>
      </w:r>
      <w:r w:rsidRPr="00E738C3">
        <w:rPr>
          <w:spacing w:val="-2"/>
        </w:rPr>
        <w:t xml:space="preserve">, </w:t>
      </w:r>
      <w:r w:rsidRPr="00E738C3">
        <w:rPr>
          <w:rFonts w:hint="cs"/>
          <w:spacing w:val="-2"/>
          <w:rtl/>
        </w:rPr>
        <w:t>רב</w:t>
      </w:r>
      <w:r w:rsidRPr="00E738C3">
        <w:rPr>
          <w:spacing w:val="-2"/>
        </w:rPr>
        <w:t xml:space="preserve"> said the </w:t>
      </w:r>
      <w:r w:rsidRPr="00E738C3">
        <w:rPr>
          <w:rFonts w:hint="cs"/>
          <w:spacing w:val="-2"/>
          <w:rtl/>
        </w:rPr>
        <w:t>הלכה</w:t>
      </w:r>
      <w:r w:rsidRPr="00E738C3">
        <w:rPr>
          <w:spacing w:val="-2"/>
        </w:rPr>
        <w:t xml:space="preserve"> is like </w:t>
      </w:r>
      <w:r w:rsidRPr="00E738C3">
        <w:rPr>
          <w:rFonts w:hint="cs"/>
          <w:spacing w:val="-2"/>
          <w:rtl/>
        </w:rPr>
        <w:t>ר"א</w:t>
      </w:r>
      <w:r w:rsidRPr="00E738C3">
        <w:rPr>
          <w:spacing w:val="-2"/>
        </w:rPr>
        <w:t xml:space="preserve"> -</w:t>
      </w:r>
    </w:p>
    <w:p w:rsidR="00482EB7" w:rsidRPr="00E738C3" w:rsidRDefault="00E11077" w:rsidP="00E738C3">
      <w:pPr>
        <w:bidi/>
        <w:rPr>
          <w:rFonts w:cs="David"/>
        </w:rPr>
      </w:pPr>
      <w:r w:rsidRPr="00E738C3">
        <w:rPr>
          <w:rFonts w:cs="David"/>
          <w:rtl/>
        </w:rPr>
        <w:t xml:space="preserve">דאינו מחייב על שאר משכרין אלא על היין בלבד </w:t>
      </w:r>
      <w:r w:rsidR="00E738C3">
        <w:rPr>
          <w:rFonts w:cs="David" w:hint="cs"/>
          <w:rtl/>
        </w:rPr>
        <w:t>-</w:t>
      </w:r>
    </w:p>
    <w:p w:rsidR="00482EB7" w:rsidRPr="00C8054F" w:rsidRDefault="00482EB7" w:rsidP="001347D4">
      <w:pPr>
        <w:rPr>
          <w:sz w:val="24"/>
          <w:szCs w:val="24"/>
        </w:rPr>
      </w:pPr>
      <w:r>
        <w:t xml:space="preserve">Who </w:t>
      </w:r>
      <w:r>
        <w:rPr>
          <w:b w:val="0"/>
          <w:bCs w:val="0"/>
        </w:rPr>
        <w:t xml:space="preserve">rules that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is not liable for </w:t>
      </w:r>
      <w:r>
        <w:rPr>
          <w:rFonts w:hint="cs"/>
          <w:b w:val="0"/>
          <w:bCs w:val="0"/>
          <w:rtl/>
        </w:rPr>
        <w:t>מיתה</w:t>
      </w:r>
      <w:r>
        <w:rPr>
          <w:b w:val="0"/>
          <w:bCs w:val="0"/>
        </w:rPr>
        <w:t xml:space="preserve"> if he does the </w:t>
      </w:r>
      <w:r>
        <w:rPr>
          <w:rFonts w:hint="cs"/>
          <w:b w:val="0"/>
          <w:bCs w:val="0"/>
          <w:rtl/>
        </w:rPr>
        <w:t>עבודה</w:t>
      </w:r>
      <w:r>
        <w:rPr>
          <w:b w:val="0"/>
          <w:bCs w:val="0"/>
        </w:rPr>
        <w:t xml:space="preserve"> while drinking </w:t>
      </w:r>
      <w:r>
        <w:t>other intoxicants, except for wine</w:t>
      </w:r>
      <w:r w:rsidR="001347D4">
        <w:t>;</w:t>
      </w:r>
      <w:r w:rsidR="001347D4">
        <w:rPr>
          <w:b w:val="0"/>
          <w:bCs w:val="0"/>
        </w:rPr>
        <w:t xml:space="preserve"> </w:t>
      </w:r>
      <w:r w:rsidR="001347D4" w:rsidRPr="00C8054F">
        <w:rPr>
          <w:b w:val="0"/>
          <w:bCs w:val="0"/>
          <w:sz w:val="24"/>
          <w:szCs w:val="24"/>
        </w:rPr>
        <w:t xml:space="preserve">he is liable only if he drank wine and did the </w:t>
      </w:r>
      <w:r w:rsidR="001347D4" w:rsidRPr="00C8054F">
        <w:rPr>
          <w:rFonts w:hint="cs"/>
          <w:b w:val="0"/>
          <w:bCs w:val="0"/>
          <w:sz w:val="24"/>
          <w:szCs w:val="24"/>
          <w:rtl/>
        </w:rPr>
        <w:t>עבודה</w:t>
      </w:r>
      <w:r w:rsidR="001347D4" w:rsidRPr="00C8054F">
        <w:rPr>
          <w:b w:val="0"/>
          <w:bCs w:val="0"/>
          <w:sz w:val="24"/>
          <w:szCs w:val="24"/>
        </w:rPr>
        <w:t xml:space="preserve">. Why does </w:t>
      </w:r>
      <w:r w:rsidR="001347D4" w:rsidRPr="00C8054F">
        <w:rPr>
          <w:rFonts w:hint="cs"/>
          <w:b w:val="0"/>
          <w:bCs w:val="0"/>
          <w:sz w:val="24"/>
          <w:szCs w:val="24"/>
          <w:rtl/>
        </w:rPr>
        <w:t>רב</w:t>
      </w:r>
      <w:r w:rsidR="001347D4" w:rsidRPr="00C8054F">
        <w:rPr>
          <w:b w:val="0"/>
          <w:bCs w:val="0"/>
          <w:sz w:val="24"/>
          <w:szCs w:val="24"/>
        </w:rPr>
        <w:t xml:space="preserve"> say that if one eats dates one cannot offer a halachic ruling?</w:t>
      </w:r>
      <w:r w:rsidR="001347D4" w:rsidRPr="00C8054F">
        <w:rPr>
          <w:rStyle w:val="FootnoteReference"/>
          <w:b w:val="0"/>
          <w:bCs w:val="0"/>
          <w:sz w:val="24"/>
          <w:szCs w:val="24"/>
        </w:rPr>
        <w:footnoteReference w:id="3"/>
      </w:r>
      <w:r w:rsidRPr="00C8054F">
        <w:rPr>
          <w:sz w:val="24"/>
          <w:szCs w:val="24"/>
        </w:rPr>
        <w:t xml:space="preserve"> </w:t>
      </w:r>
    </w:p>
    <w:p w:rsidR="001347D4" w:rsidRPr="00C8054F" w:rsidRDefault="001347D4" w:rsidP="001347D4">
      <w:pPr>
        <w:rPr>
          <w:sz w:val="24"/>
          <w:szCs w:val="24"/>
        </w:rPr>
      </w:pPr>
    </w:p>
    <w:p w:rsidR="001347D4" w:rsidRPr="00C8054F" w:rsidRDefault="001347D4" w:rsidP="001347D4">
      <w:pPr>
        <w:rPr>
          <w:b w:val="0"/>
          <w:bCs w:val="0"/>
          <w:sz w:val="24"/>
          <w:szCs w:val="24"/>
        </w:rPr>
      </w:pPr>
      <w:r w:rsidRPr="00C8054F">
        <w:rPr>
          <w:rFonts w:hint="cs"/>
          <w:b w:val="0"/>
          <w:bCs w:val="0"/>
          <w:sz w:val="24"/>
          <w:szCs w:val="24"/>
          <w:rtl/>
        </w:rPr>
        <w:t>תוספות</w:t>
      </w:r>
      <w:r w:rsidRPr="00C8054F">
        <w:rPr>
          <w:b w:val="0"/>
          <w:bCs w:val="0"/>
          <w:sz w:val="24"/>
          <w:szCs w:val="24"/>
        </w:rPr>
        <w:t xml:space="preserve"> answers:</w:t>
      </w:r>
    </w:p>
    <w:p w:rsidR="00482EB7" w:rsidRPr="00C8054F" w:rsidRDefault="00E11077" w:rsidP="00C8054F">
      <w:pPr>
        <w:bidi/>
        <w:rPr>
          <w:rFonts w:cs="David"/>
        </w:rPr>
      </w:pPr>
      <w:r w:rsidRPr="00C8054F">
        <w:rPr>
          <w:rFonts w:cs="David"/>
          <w:rtl/>
        </w:rPr>
        <w:t>וי</w:t>
      </w:r>
      <w:r w:rsidR="00482EB7" w:rsidRPr="00C8054F">
        <w:rPr>
          <w:rFonts w:cs="David" w:hint="cs"/>
          <w:rtl/>
        </w:rPr>
        <w:t xml:space="preserve">ש </w:t>
      </w:r>
      <w:r w:rsidRPr="00C8054F">
        <w:rPr>
          <w:rFonts w:cs="David"/>
          <w:rtl/>
        </w:rPr>
        <w:t>ל</w:t>
      </w:r>
      <w:r w:rsidR="00482EB7" w:rsidRPr="00C8054F">
        <w:rPr>
          <w:rFonts w:cs="David" w:hint="cs"/>
          <w:rtl/>
        </w:rPr>
        <w:t>ומר</w:t>
      </w:r>
      <w:r w:rsidRPr="00C8054F">
        <w:rPr>
          <w:rFonts w:cs="David"/>
          <w:rtl/>
        </w:rPr>
        <w:t xml:space="preserve"> א</w:t>
      </w:r>
      <w:r w:rsidR="00482EB7" w:rsidRPr="00C8054F">
        <w:rPr>
          <w:rFonts w:cs="David" w:hint="cs"/>
          <w:rtl/>
        </w:rPr>
        <w:t xml:space="preserve">ף </w:t>
      </w:r>
      <w:r w:rsidRPr="00C8054F">
        <w:rPr>
          <w:rFonts w:cs="David"/>
          <w:rtl/>
        </w:rPr>
        <w:t>ע</w:t>
      </w:r>
      <w:r w:rsidR="00482EB7" w:rsidRPr="00C8054F">
        <w:rPr>
          <w:rFonts w:cs="David" w:hint="cs"/>
          <w:rtl/>
        </w:rPr>
        <w:t xml:space="preserve">ל </w:t>
      </w:r>
      <w:r w:rsidRPr="00C8054F">
        <w:rPr>
          <w:rFonts w:cs="David"/>
          <w:rtl/>
        </w:rPr>
        <w:t>ג</w:t>
      </w:r>
      <w:r w:rsidR="00482EB7" w:rsidRPr="00C8054F">
        <w:rPr>
          <w:rFonts w:cs="David" w:hint="cs"/>
          <w:rtl/>
        </w:rPr>
        <w:t>ב</w:t>
      </w:r>
      <w:r w:rsidRPr="00C8054F">
        <w:rPr>
          <w:rFonts w:cs="David"/>
          <w:rtl/>
        </w:rPr>
        <w:t xml:space="preserve"> דלא מחייב על ביאת מקדש אסור להורות</w:t>
      </w:r>
      <w:r w:rsidR="007D36E8" w:rsidRPr="00C8054F">
        <w:rPr>
          <w:rStyle w:val="FootnoteReference"/>
          <w:rFonts w:cs="David"/>
          <w:rtl/>
        </w:rPr>
        <w:footnoteReference w:id="4"/>
      </w:r>
      <w:r w:rsidRPr="00C8054F">
        <w:rPr>
          <w:rFonts w:cs="David"/>
          <w:rtl/>
        </w:rPr>
        <w:t xml:space="preserve"> </w:t>
      </w:r>
      <w:r w:rsidR="00C8054F">
        <w:rPr>
          <w:rFonts w:cs="David" w:hint="cs"/>
          <w:rtl/>
        </w:rPr>
        <w:t>-</w:t>
      </w:r>
    </w:p>
    <w:p w:rsidR="001347D4" w:rsidRPr="00C8054F" w:rsidRDefault="001347D4" w:rsidP="001347D4">
      <w:pPr>
        <w:rPr>
          <w:b w:val="0"/>
          <w:bCs w:val="0"/>
          <w:sz w:val="24"/>
          <w:szCs w:val="24"/>
        </w:rPr>
      </w:pPr>
      <w:r>
        <w:t xml:space="preserve">And one can say; even though one is not liable </w:t>
      </w:r>
      <w:r w:rsidR="00E738C3">
        <w:rPr>
          <w:b w:val="0"/>
          <w:bCs w:val="0"/>
        </w:rPr>
        <w:t xml:space="preserve">(a </w:t>
      </w:r>
      <w:r w:rsidR="00E738C3">
        <w:rPr>
          <w:rFonts w:hint="cs"/>
          <w:b w:val="0"/>
          <w:bCs w:val="0"/>
          <w:rtl/>
        </w:rPr>
        <w:t>חיוב מיתה</w:t>
      </w:r>
      <w:r w:rsidR="00E738C3">
        <w:rPr>
          <w:b w:val="0"/>
          <w:bCs w:val="0"/>
        </w:rPr>
        <w:t xml:space="preserve">) </w:t>
      </w:r>
      <w:r>
        <w:t xml:space="preserve">for entering the </w:t>
      </w:r>
      <w:r>
        <w:rPr>
          <w:rFonts w:hint="cs"/>
          <w:rtl/>
        </w:rPr>
        <w:t>מקדש</w:t>
      </w:r>
      <w:r>
        <w:t xml:space="preserve"> </w:t>
      </w:r>
      <w:r>
        <w:rPr>
          <w:b w:val="0"/>
          <w:bCs w:val="0"/>
        </w:rPr>
        <w:t xml:space="preserve">(unless he drank wine), nevertheless </w:t>
      </w:r>
      <w:r>
        <w:t xml:space="preserve">he is forbidden to rule </w:t>
      </w:r>
      <w:r w:rsidR="00E738C3" w:rsidRPr="00C8054F">
        <w:rPr>
          <w:b w:val="0"/>
          <w:bCs w:val="0"/>
          <w:sz w:val="24"/>
          <w:szCs w:val="24"/>
        </w:rPr>
        <w:t xml:space="preserve">(and to enter the </w:t>
      </w:r>
      <w:r w:rsidR="00E738C3" w:rsidRPr="00C8054F">
        <w:rPr>
          <w:rFonts w:hint="cs"/>
          <w:b w:val="0"/>
          <w:bCs w:val="0"/>
          <w:sz w:val="24"/>
          <w:szCs w:val="24"/>
          <w:rtl/>
        </w:rPr>
        <w:t>מקדש</w:t>
      </w:r>
      <w:r w:rsidR="00E738C3" w:rsidRPr="00C8054F">
        <w:rPr>
          <w:b w:val="0"/>
          <w:bCs w:val="0"/>
          <w:sz w:val="24"/>
          <w:szCs w:val="24"/>
        </w:rPr>
        <w:t>)</w:t>
      </w:r>
      <w:r w:rsidR="00E738C3" w:rsidRPr="00C8054F">
        <w:rPr>
          <w:sz w:val="24"/>
          <w:szCs w:val="24"/>
        </w:rPr>
        <w:t xml:space="preserve"> </w:t>
      </w:r>
      <w:r w:rsidRPr="00C8054F">
        <w:rPr>
          <w:b w:val="0"/>
          <w:bCs w:val="0"/>
          <w:sz w:val="24"/>
          <w:szCs w:val="24"/>
        </w:rPr>
        <w:t>even if he had other intoxicants -</w:t>
      </w:r>
    </w:p>
    <w:p w:rsidR="007D36E8" w:rsidRPr="00C8054F" w:rsidRDefault="007D36E8" w:rsidP="00482EB7">
      <w:pPr>
        <w:bidi/>
        <w:rPr>
          <w:sz w:val="24"/>
          <w:szCs w:val="24"/>
        </w:rPr>
      </w:pPr>
    </w:p>
    <w:p w:rsidR="007D36E8" w:rsidRPr="00C8054F" w:rsidRDefault="007D36E8" w:rsidP="007D36E8">
      <w:pPr>
        <w:rPr>
          <w:b w:val="0"/>
          <w:bCs w:val="0"/>
          <w:sz w:val="24"/>
          <w:szCs w:val="24"/>
        </w:rPr>
      </w:pPr>
      <w:r w:rsidRPr="00C8054F">
        <w:rPr>
          <w:rFonts w:hint="cs"/>
          <w:b w:val="0"/>
          <w:bCs w:val="0"/>
          <w:sz w:val="24"/>
          <w:szCs w:val="24"/>
          <w:rtl/>
        </w:rPr>
        <w:t>תוספות</w:t>
      </w:r>
      <w:r w:rsidRPr="00C8054F">
        <w:rPr>
          <w:b w:val="0"/>
          <w:bCs w:val="0"/>
          <w:sz w:val="24"/>
          <w:szCs w:val="24"/>
        </w:rPr>
        <w:t xml:space="preserve"> proves that there is a difference between </w:t>
      </w:r>
      <w:r w:rsidRPr="00C8054F">
        <w:rPr>
          <w:rFonts w:hint="cs"/>
          <w:b w:val="0"/>
          <w:bCs w:val="0"/>
          <w:sz w:val="24"/>
          <w:szCs w:val="24"/>
          <w:rtl/>
        </w:rPr>
        <w:t>לכתחלה</w:t>
      </w:r>
      <w:r w:rsidRPr="00C8054F">
        <w:rPr>
          <w:b w:val="0"/>
          <w:bCs w:val="0"/>
          <w:sz w:val="24"/>
          <w:szCs w:val="24"/>
        </w:rPr>
        <w:t xml:space="preserve"> and </w:t>
      </w:r>
      <w:r w:rsidRPr="00C8054F">
        <w:rPr>
          <w:rFonts w:hint="cs"/>
          <w:b w:val="0"/>
          <w:bCs w:val="0"/>
          <w:sz w:val="24"/>
          <w:szCs w:val="24"/>
          <w:rtl/>
        </w:rPr>
        <w:t>בדיעבד</w:t>
      </w:r>
      <w:r w:rsidRPr="00C8054F">
        <w:rPr>
          <w:b w:val="0"/>
          <w:bCs w:val="0"/>
          <w:sz w:val="24"/>
          <w:szCs w:val="24"/>
        </w:rPr>
        <w:t>:</w:t>
      </w:r>
    </w:p>
    <w:p w:rsidR="00482EB7" w:rsidRPr="00C8054F" w:rsidRDefault="00E11077" w:rsidP="00C8054F">
      <w:pPr>
        <w:bidi/>
        <w:rPr>
          <w:rFonts w:cs="David"/>
        </w:rPr>
      </w:pPr>
      <w:r w:rsidRPr="00C8054F">
        <w:rPr>
          <w:rFonts w:cs="David"/>
          <w:rtl/>
        </w:rPr>
        <w:t>וה</w:t>
      </w:r>
      <w:r w:rsidR="00482EB7" w:rsidRPr="00C8054F">
        <w:rPr>
          <w:rFonts w:cs="David" w:hint="cs"/>
          <w:rtl/>
        </w:rPr>
        <w:t xml:space="preserve">כי </w:t>
      </w:r>
      <w:r w:rsidRPr="00C8054F">
        <w:rPr>
          <w:rFonts w:cs="David"/>
          <w:rtl/>
        </w:rPr>
        <w:t>נ</w:t>
      </w:r>
      <w:r w:rsidR="00482EB7" w:rsidRPr="00C8054F">
        <w:rPr>
          <w:rFonts w:cs="David" w:hint="cs"/>
          <w:rtl/>
        </w:rPr>
        <w:t>מי</w:t>
      </w:r>
      <w:r w:rsidRPr="00C8054F">
        <w:rPr>
          <w:rFonts w:cs="David"/>
          <w:rtl/>
        </w:rPr>
        <w:t xml:space="preserve"> משמע בס</w:t>
      </w:r>
      <w:r w:rsidR="00482EB7" w:rsidRPr="00C8054F">
        <w:rPr>
          <w:rFonts w:cs="David" w:hint="cs"/>
          <w:rtl/>
        </w:rPr>
        <w:t xml:space="preserve">וף </w:t>
      </w:r>
      <w:r w:rsidRPr="00C8054F">
        <w:rPr>
          <w:rFonts w:cs="David"/>
          <w:rtl/>
        </w:rPr>
        <w:t>פ</w:t>
      </w:r>
      <w:r w:rsidR="00482EB7" w:rsidRPr="00C8054F">
        <w:rPr>
          <w:rFonts w:cs="David" w:hint="cs"/>
          <w:rtl/>
        </w:rPr>
        <w:t>רק</w:t>
      </w:r>
      <w:r w:rsidRPr="00C8054F">
        <w:rPr>
          <w:rFonts w:cs="David"/>
          <w:rtl/>
        </w:rPr>
        <w:t xml:space="preserve"> אלו מומין </w:t>
      </w:r>
      <w:r w:rsidRPr="00C8054F">
        <w:rPr>
          <w:rFonts w:cs="David"/>
          <w:sz w:val="20"/>
          <w:szCs w:val="20"/>
          <w:rtl/>
        </w:rPr>
        <w:t>(בכורות מה</w:t>
      </w:r>
      <w:r w:rsidR="00482EB7" w:rsidRPr="00C8054F">
        <w:rPr>
          <w:rFonts w:cs="David" w:hint="cs"/>
          <w:sz w:val="20"/>
          <w:szCs w:val="20"/>
          <w:rtl/>
        </w:rPr>
        <w:t>,ב</w:t>
      </w:r>
      <w:r w:rsidRPr="00C8054F">
        <w:rPr>
          <w:rFonts w:cs="David"/>
          <w:sz w:val="20"/>
          <w:szCs w:val="20"/>
          <w:rtl/>
        </w:rPr>
        <w:t>)</w:t>
      </w:r>
      <w:r w:rsidRPr="00C8054F">
        <w:rPr>
          <w:rFonts w:cs="David"/>
          <w:rtl/>
        </w:rPr>
        <w:t xml:space="preserve"> </w:t>
      </w:r>
      <w:r w:rsidR="00C8054F">
        <w:rPr>
          <w:rFonts w:cs="David" w:hint="cs"/>
          <w:rtl/>
        </w:rPr>
        <w:t>-</w:t>
      </w:r>
    </w:p>
    <w:p w:rsidR="001347D4" w:rsidRDefault="001347D4" w:rsidP="001347D4">
      <w:r>
        <w:t xml:space="preserve">And this is also indicated in the end of </w:t>
      </w:r>
      <w:r>
        <w:rPr>
          <w:rFonts w:hint="cs"/>
          <w:rtl/>
        </w:rPr>
        <w:t>פרק אלו מומין</w:t>
      </w:r>
      <w:r>
        <w:t xml:space="preserve"> -</w:t>
      </w:r>
    </w:p>
    <w:p w:rsidR="00482EB7" w:rsidRPr="00C8054F" w:rsidRDefault="00E11077" w:rsidP="00C8054F">
      <w:pPr>
        <w:bidi/>
        <w:rPr>
          <w:rFonts w:cs="David"/>
        </w:rPr>
      </w:pPr>
      <w:r w:rsidRPr="00C8054F">
        <w:rPr>
          <w:rFonts w:cs="David"/>
          <w:rtl/>
        </w:rPr>
        <w:t>דפסול לעבודה למאן דלא מחייב אשאר משכרין אף על גב דעבודה לא אחיל</w:t>
      </w:r>
      <w:r w:rsidR="00C8054F">
        <w:rPr>
          <w:rStyle w:val="FootnoteReference"/>
          <w:rFonts w:cs="David"/>
          <w:rtl/>
        </w:rPr>
        <w:footnoteReference w:id="5"/>
      </w:r>
      <w:r w:rsidRPr="00C8054F">
        <w:rPr>
          <w:rFonts w:cs="David"/>
          <w:rtl/>
        </w:rPr>
        <w:t xml:space="preserve"> </w:t>
      </w:r>
      <w:r w:rsidR="00C8054F">
        <w:rPr>
          <w:rFonts w:cs="David" w:hint="cs"/>
          <w:rtl/>
        </w:rPr>
        <w:t>-</w:t>
      </w:r>
    </w:p>
    <w:p w:rsidR="001347D4" w:rsidRPr="001347D4" w:rsidRDefault="001347D4" w:rsidP="001347D4">
      <w:r>
        <w:t xml:space="preserve">That according to the one </w:t>
      </w:r>
      <w:r>
        <w:rPr>
          <w:b w:val="0"/>
          <w:bCs w:val="0"/>
        </w:rPr>
        <w:t xml:space="preserve">who maintains that a </w:t>
      </w:r>
      <w:r>
        <w:rPr>
          <w:rFonts w:hint="cs"/>
          <w:b w:val="0"/>
          <w:bCs w:val="0"/>
          <w:rtl/>
        </w:rPr>
        <w:t>כהן</w:t>
      </w:r>
      <w:r>
        <w:rPr>
          <w:b w:val="0"/>
          <w:bCs w:val="0"/>
        </w:rPr>
        <w:t xml:space="preserve"> </w:t>
      </w:r>
      <w:r>
        <w:t xml:space="preserve">is not liable for other </w:t>
      </w:r>
      <w:r w:rsidR="007D36E8">
        <w:t>intoxicants;</w:t>
      </w:r>
      <w:r>
        <w:t xml:space="preserve"> he is </w:t>
      </w:r>
      <w:r>
        <w:rPr>
          <w:b w:val="0"/>
          <w:bCs w:val="0"/>
        </w:rPr>
        <w:t xml:space="preserve">nevertheless </w:t>
      </w:r>
      <w:r>
        <w:t xml:space="preserve">disqualified for </w:t>
      </w:r>
      <w:r>
        <w:rPr>
          <w:rFonts w:hint="cs"/>
          <w:rtl/>
        </w:rPr>
        <w:t>עבודה</w:t>
      </w:r>
      <w:r>
        <w:t xml:space="preserve">, even though he does not desecrate the </w:t>
      </w:r>
      <w:r>
        <w:rPr>
          <w:rFonts w:hint="cs"/>
          <w:rtl/>
        </w:rPr>
        <w:t>עבודה</w:t>
      </w:r>
      <w:r>
        <w:t xml:space="preserve"> - </w:t>
      </w:r>
    </w:p>
    <w:p w:rsidR="00E11077" w:rsidRPr="00C8054F" w:rsidRDefault="00E11077" w:rsidP="00C8054F">
      <w:pPr>
        <w:bidi/>
        <w:rPr>
          <w:rFonts w:cs="David"/>
        </w:rPr>
      </w:pPr>
      <w:r w:rsidRPr="00C8054F">
        <w:rPr>
          <w:rFonts w:cs="David"/>
          <w:rtl/>
        </w:rPr>
        <w:t>הוא הדין נמי דאל יורה</w:t>
      </w:r>
      <w:r w:rsidR="00C8054F">
        <w:rPr>
          <w:rFonts w:cs="David" w:hint="cs"/>
          <w:rtl/>
        </w:rPr>
        <w:t>:</w:t>
      </w:r>
      <w:bookmarkStart w:id="0" w:name="_GoBack"/>
      <w:bookmarkEnd w:id="0"/>
    </w:p>
    <w:p w:rsidR="001347D4" w:rsidRPr="00C8054F" w:rsidRDefault="001347D4" w:rsidP="001347D4">
      <w:pPr>
        <w:rPr>
          <w:b w:val="0"/>
          <w:bCs w:val="0"/>
          <w:sz w:val="24"/>
          <w:szCs w:val="24"/>
        </w:rPr>
      </w:pPr>
      <w:r>
        <w:lastRenderedPageBreak/>
        <w:t xml:space="preserve">The same ruling applies that he should not rule </w:t>
      </w:r>
      <w:r w:rsidRPr="00C8054F">
        <w:rPr>
          <w:b w:val="0"/>
          <w:bCs w:val="0"/>
          <w:sz w:val="24"/>
          <w:szCs w:val="24"/>
        </w:rPr>
        <w:t xml:space="preserve">if he had other </w:t>
      </w:r>
      <w:r w:rsidRPr="00C8054F">
        <w:rPr>
          <w:rFonts w:hint="cs"/>
          <w:b w:val="0"/>
          <w:bCs w:val="0"/>
          <w:sz w:val="24"/>
          <w:szCs w:val="24"/>
          <w:rtl/>
        </w:rPr>
        <w:t>משקין המשכרין</w:t>
      </w:r>
      <w:r w:rsidRPr="00C8054F">
        <w:rPr>
          <w:b w:val="0"/>
          <w:bCs w:val="0"/>
          <w:sz w:val="24"/>
          <w:szCs w:val="24"/>
        </w:rPr>
        <w:t>.</w:t>
      </w:r>
    </w:p>
    <w:p w:rsidR="003D4453" w:rsidRPr="00C8054F" w:rsidRDefault="003D4453" w:rsidP="00E11077">
      <w:pPr>
        <w:bidi/>
        <w:rPr>
          <w:sz w:val="24"/>
          <w:szCs w:val="24"/>
        </w:rPr>
      </w:pPr>
    </w:p>
    <w:p w:rsidR="000909C9" w:rsidRPr="000909C9" w:rsidRDefault="000909C9" w:rsidP="000909C9">
      <w:pPr>
        <w:rPr>
          <w:rFonts w:ascii="Copperplate Gothic Bold" w:hAnsi="Copperplate Gothic Bold"/>
          <w:b w:val="0"/>
          <w:bCs w:val="0"/>
          <w:u w:val="double"/>
        </w:rPr>
      </w:pPr>
      <w:r w:rsidRPr="000909C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909C9" w:rsidRDefault="00E738C3" w:rsidP="00E738C3">
      <w:pPr>
        <w:rPr>
          <w:b w:val="0"/>
          <w:bCs w:val="0"/>
        </w:rPr>
      </w:pPr>
      <w:r>
        <w:rPr>
          <w:b w:val="0"/>
          <w:bCs w:val="0"/>
        </w:rPr>
        <w:t xml:space="preserve">One may not </w:t>
      </w:r>
      <w:r>
        <w:rPr>
          <w:rFonts w:hint="cs"/>
          <w:b w:val="0"/>
          <w:bCs w:val="0"/>
          <w:rtl/>
        </w:rPr>
        <w:t>לכתחלה</w:t>
      </w:r>
      <w:r>
        <w:rPr>
          <w:b w:val="0"/>
          <w:bCs w:val="0"/>
        </w:rPr>
        <w:t xml:space="preserve"> do the </w:t>
      </w:r>
      <w:r>
        <w:rPr>
          <w:rFonts w:hint="cs"/>
          <w:b w:val="0"/>
          <w:bCs w:val="0"/>
          <w:rtl/>
        </w:rPr>
        <w:t>עבודה</w:t>
      </w:r>
      <w:r>
        <w:rPr>
          <w:b w:val="0"/>
          <w:bCs w:val="0"/>
        </w:rPr>
        <w:t xml:space="preserve"> or rule if he had </w:t>
      </w:r>
      <w:r>
        <w:rPr>
          <w:rFonts w:hint="cs"/>
          <w:b w:val="0"/>
          <w:bCs w:val="0"/>
          <w:rtl/>
        </w:rPr>
        <w:t>שאר משקין המשכרין</w:t>
      </w:r>
      <w:r>
        <w:rPr>
          <w:b w:val="0"/>
          <w:bCs w:val="0"/>
        </w:rPr>
        <w:t xml:space="preserve">, even according to the </w:t>
      </w:r>
      <w:r>
        <w:rPr>
          <w:rFonts w:hint="cs"/>
          <w:b w:val="0"/>
          <w:bCs w:val="0"/>
          <w:rtl/>
        </w:rPr>
        <w:t>מ"ד</w:t>
      </w:r>
      <w:r>
        <w:rPr>
          <w:b w:val="0"/>
          <w:bCs w:val="0"/>
        </w:rPr>
        <w:t xml:space="preserve"> who maintains that he is not </w:t>
      </w:r>
      <w:r>
        <w:rPr>
          <w:rFonts w:hint="cs"/>
          <w:b w:val="0"/>
          <w:bCs w:val="0"/>
          <w:rtl/>
        </w:rPr>
        <w:t>מחויב מיתה</w:t>
      </w:r>
      <w:r>
        <w:rPr>
          <w:b w:val="0"/>
          <w:bCs w:val="0"/>
        </w:rPr>
        <w:t xml:space="preserve"> for doing the </w:t>
      </w:r>
      <w:r>
        <w:rPr>
          <w:rFonts w:hint="cs"/>
          <w:b w:val="0"/>
          <w:bCs w:val="0"/>
          <w:rtl/>
        </w:rPr>
        <w:t>עבודה</w:t>
      </w:r>
      <w:r>
        <w:rPr>
          <w:b w:val="0"/>
          <w:bCs w:val="0"/>
        </w:rPr>
        <w:t xml:space="preserve"> unless he drinks wine </w:t>
      </w:r>
    </w:p>
    <w:p w:rsidR="000909C9" w:rsidRPr="00C8054F" w:rsidRDefault="000909C9" w:rsidP="000909C9">
      <w:pPr>
        <w:rPr>
          <w:b w:val="0"/>
          <w:bCs w:val="0"/>
          <w:sz w:val="24"/>
          <w:szCs w:val="24"/>
        </w:rPr>
      </w:pPr>
    </w:p>
    <w:p w:rsidR="000909C9" w:rsidRPr="000909C9" w:rsidRDefault="000909C9" w:rsidP="000909C9">
      <w:pPr>
        <w:rPr>
          <w:rFonts w:ascii="Copperplate Gothic Bold" w:hAnsi="Copperplate Gothic Bold"/>
          <w:b w:val="0"/>
          <w:bCs w:val="0"/>
          <w:u w:val="double"/>
        </w:rPr>
      </w:pPr>
      <w:r w:rsidRPr="000909C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909C9" w:rsidRPr="000909C9" w:rsidRDefault="00E738C3" w:rsidP="000909C9">
      <w:pPr>
        <w:rPr>
          <w:b w:val="0"/>
          <w:bCs w:val="0"/>
        </w:rPr>
      </w:pPr>
      <w:r>
        <w:rPr>
          <w:b w:val="0"/>
          <w:bCs w:val="0"/>
        </w:rPr>
        <w:t xml:space="preserve">When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says that (</w:t>
      </w:r>
      <w:r>
        <w:rPr>
          <w:rFonts w:hint="cs"/>
          <w:b w:val="0"/>
          <w:bCs w:val="0"/>
          <w:rtl/>
        </w:rPr>
        <w:t>לכתחלה</w:t>
      </w:r>
      <w:r>
        <w:rPr>
          <w:b w:val="0"/>
          <w:bCs w:val="0"/>
        </w:rPr>
        <w:t xml:space="preserve">) he may not rule (or do the </w:t>
      </w:r>
      <w:r>
        <w:rPr>
          <w:rFonts w:hint="cs"/>
          <w:b w:val="0"/>
          <w:bCs w:val="0"/>
          <w:rtl/>
        </w:rPr>
        <w:t>עבודה</w:t>
      </w:r>
      <w:r>
        <w:rPr>
          <w:b w:val="0"/>
          <w:bCs w:val="0"/>
        </w:rPr>
        <w:t xml:space="preserve">) if he had </w:t>
      </w:r>
      <w:r>
        <w:rPr>
          <w:rFonts w:hint="cs"/>
          <w:b w:val="0"/>
          <w:bCs w:val="0"/>
          <w:rtl/>
        </w:rPr>
        <w:t>שאר משקין המשכרין</w:t>
      </w:r>
      <w:r>
        <w:rPr>
          <w:b w:val="0"/>
          <w:bCs w:val="0"/>
        </w:rPr>
        <w:t>;</w:t>
      </w:r>
      <w:r w:rsidR="00581F94"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is that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איסור מדאורייתא</w:t>
      </w:r>
      <w:r>
        <w:rPr>
          <w:b w:val="0"/>
          <w:bCs w:val="0"/>
        </w:rPr>
        <w:t xml:space="preserve"> or only </w:t>
      </w:r>
      <w:r>
        <w:rPr>
          <w:rFonts w:hint="cs"/>
          <w:b w:val="0"/>
          <w:bCs w:val="0"/>
          <w:rtl/>
        </w:rPr>
        <w:t>מדרבנן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7"/>
      </w:r>
    </w:p>
    <w:sectPr w:rsidR="000909C9" w:rsidRPr="000909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19" w:rsidRDefault="00FE2919" w:rsidP="000909C9">
      <w:pPr>
        <w:spacing w:line="240" w:lineRule="auto"/>
      </w:pPr>
      <w:r>
        <w:separator/>
      </w:r>
    </w:p>
  </w:endnote>
  <w:endnote w:type="continuationSeparator" w:id="0">
    <w:p w:rsidR="00FE2919" w:rsidRDefault="00FE2919" w:rsidP="00090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 w:val="0"/>
        <w:bCs w:val="0"/>
        <w:sz w:val="20"/>
        <w:szCs w:val="20"/>
      </w:rPr>
      <w:id w:val="-495340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8C3" w:rsidRDefault="00E738C3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E738C3">
          <w:rPr>
            <w:b w:val="0"/>
            <w:bCs w:val="0"/>
            <w:sz w:val="20"/>
            <w:szCs w:val="20"/>
          </w:rPr>
          <w:fldChar w:fldCharType="begin"/>
        </w:r>
        <w:r w:rsidRPr="00E738C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E738C3">
          <w:rPr>
            <w:b w:val="0"/>
            <w:bCs w:val="0"/>
            <w:sz w:val="20"/>
            <w:szCs w:val="20"/>
          </w:rPr>
          <w:fldChar w:fldCharType="separate"/>
        </w:r>
        <w:r w:rsidR="00581F94">
          <w:rPr>
            <w:b w:val="0"/>
            <w:bCs w:val="0"/>
            <w:noProof/>
            <w:sz w:val="20"/>
            <w:szCs w:val="20"/>
          </w:rPr>
          <w:t>2</w:t>
        </w:r>
        <w:r w:rsidRPr="00E738C3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E738C3" w:rsidRPr="00E738C3" w:rsidRDefault="00E738C3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E738C3" w:rsidRDefault="00E738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19" w:rsidRDefault="00FE2919" w:rsidP="000909C9">
      <w:pPr>
        <w:spacing w:line="240" w:lineRule="auto"/>
      </w:pPr>
      <w:r>
        <w:separator/>
      </w:r>
    </w:p>
  </w:footnote>
  <w:footnote w:type="continuationSeparator" w:id="0">
    <w:p w:rsidR="00FE2919" w:rsidRDefault="00FE2919" w:rsidP="000909C9">
      <w:pPr>
        <w:spacing w:line="240" w:lineRule="auto"/>
      </w:pPr>
      <w:r>
        <w:continuationSeparator/>
      </w:r>
    </w:p>
  </w:footnote>
  <w:footnote w:id="1">
    <w:p w:rsidR="007D36E8" w:rsidRPr="00E738C3" w:rsidRDefault="007D36E8" w:rsidP="00581F94">
      <w:pPr>
        <w:pStyle w:val="FootnoteText"/>
        <w:widowControl w:val="0"/>
        <w:spacing w:line="264" w:lineRule="auto"/>
        <w:rPr>
          <w:b w:val="0"/>
          <w:bCs w:val="0"/>
        </w:rPr>
      </w:pPr>
      <w:r w:rsidRPr="00E738C3">
        <w:rPr>
          <w:rStyle w:val="FootnoteReference"/>
          <w:b w:val="0"/>
          <w:bCs w:val="0"/>
        </w:rPr>
        <w:footnoteRef/>
      </w:r>
      <w:r w:rsidRPr="00E738C3">
        <w:rPr>
          <w:b w:val="0"/>
          <w:bCs w:val="0"/>
        </w:rPr>
        <w:t xml:space="preserve"> See </w:t>
      </w:r>
      <w:r w:rsidRPr="00E738C3">
        <w:rPr>
          <w:rFonts w:hint="cs"/>
          <w:b w:val="0"/>
          <w:bCs w:val="0"/>
          <w:rtl/>
        </w:rPr>
        <w:t>רש"י ד"ה אל</w:t>
      </w:r>
      <w:r w:rsidRPr="00E738C3">
        <w:rPr>
          <w:b w:val="0"/>
          <w:bCs w:val="0"/>
        </w:rPr>
        <w:t>.</w:t>
      </w:r>
    </w:p>
  </w:footnote>
  <w:footnote w:id="2">
    <w:p w:rsidR="00482EB7" w:rsidRPr="00E738C3" w:rsidRDefault="00482EB7" w:rsidP="00581F94">
      <w:pPr>
        <w:pStyle w:val="FootnoteText"/>
        <w:widowControl w:val="0"/>
        <w:spacing w:line="264" w:lineRule="auto"/>
        <w:rPr>
          <w:b w:val="0"/>
          <w:bCs w:val="0"/>
        </w:rPr>
      </w:pPr>
      <w:r w:rsidRPr="00E738C3">
        <w:rPr>
          <w:rStyle w:val="FootnoteReference"/>
          <w:b w:val="0"/>
          <w:bCs w:val="0"/>
        </w:rPr>
        <w:footnoteRef/>
      </w:r>
      <w:r w:rsidRPr="00E738C3">
        <w:rPr>
          <w:b w:val="0"/>
          <w:bCs w:val="0"/>
        </w:rPr>
        <w:t xml:space="preserve"> In our </w:t>
      </w:r>
      <w:r w:rsidRPr="00E738C3">
        <w:rPr>
          <w:rFonts w:hint="cs"/>
          <w:b w:val="0"/>
          <w:bCs w:val="0"/>
          <w:rtl/>
        </w:rPr>
        <w:t>גמרות</w:t>
      </w:r>
      <w:r w:rsidRPr="00E738C3">
        <w:rPr>
          <w:b w:val="0"/>
          <w:bCs w:val="0"/>
        </w:rPr>
        <w:t xml:space="preserve"> in </w:t>
      </w:r>
      <w:r w:rsidRPr="00E738C3">
        <w:rPr>
          <w:rFonts w:hint="cs"/>
          <w:b w:val="0"/>
          <w:bCs w:val="0"/>
          <w:rtl/>
        </w:rPr>
        <w:t>כריתות</w:t>
      </w:r>
      <w:r w:rsidRPr="00E738C3">
        <w:rPr>
          <w:b w:val="0"/>
          <w:bCs w:val="0"/>
        </w:rPr>
        <w:t xml:space="preserve"> the words </w:t>
      </w:r>
      <w:r w:rsidRPr="00E738C3">
        <w:rPr>
          <w:rFonts w:hint="cs"/>
          <w:b w:val="0"/>
          <w:bCs w:val="0"/>
          <w:rtl/>
        </w:rPr>
        <w:t>אמר רב הונא</w:t>
      </w:r>
      <w:r w:rsidRPr="00E738C3">
        <w:rPr>
          <w:b w:val="0"/>
          <w:bCs w:val="0"/>
        </w:rPr>
        <w:t xml:space="preserve"> do not appear.</w:t>
      </w:r>
    </w:p>
  </w:footnote>
  <w:footnote w:id="3">
    <w:p w:rsidR="001347D4" w:rsidRPr="00E738C3" w:rsidRDefault="001347D4" w:rsidP="00581F94">
      <w:pPr>
        <w:pStyle w:val="FootnoteText"/>
        <w:widowControl w:val="0"/>
        <w:spacing w:line="264" w:lineRule="auto"/>
        <w:rPr>
          <w:b w:val="0"/>
          <w:bCs w:val="0"/>
        </w:rPr>
      </w:pPr>
      <w:r w:rsidRPr="00E738C3">
        <w:rPr>
          <w:rStyle w:val="FootnoteReference"/>
          <w:b w:val="0"/>
          <w:bCs w:val="0"/>
        </w:rPr>
        <w:footnoteRef/>
      </w:r>
      <w:r w:rsidRPr="00E738C3">
        <w:rPr>
          <w:b w:val="0"/>
          <w:bCs w:val="0"/>
        </w:rPr>
        <w:t xml:space="preserve"> We derive the law that one is prohibited from ruling while intoxicated since by the prohibition of doing the </w:t>
      </w:r>
      <w:r w:rsidRPr="00E738C3">
        <w:rPr>
          <w:rFonts w:hint="cs"/>
          <w:b w:val="0"/>
          <w:bCs w:val="0"/>
          <w:rtl/>
        </w:rPr>
        <w:t>עבודה</w:t>
      </w:r>
      <w:r w:rsidRPr="00E738C3">
        <w:rPr>
          <w:b w:val="0"/>
          <w:bCs w:val="0"/>
        </w:rPr>
        <w:t xml:space="preserve"> while intoxicated the </w:t>
      </w:r>
      <w:r w:rsidRPr="00E738C3">
        <w:rPr>
          <w:rFonts w:hint="cs"/>
          <w:b w:val="0"/>
          <w:bCs w:val="0"/>
          <w:rtl/>
        </w:rPr>
        <w:t>תורה</w:t>
      </w:r>
      <w:r w:rsidRPr="00E738C3">
        <w:rPr>
          <w:b w:val="0"/>
          <w:bCs w:val="0"/>
        </w:rPr>
        <w:t xml:space="preserve"> (also) writes (</w:t>
      </w:r>
      <w:r w:rsidRPr="00E738C3">
        <w:rPr>
          <w:rFonts w:hint="cs"/>
          <w:b w:val="0"/>
          <w:bCs w:val="0"/>
          <w:rtl/>
        </w:rPr>
        <w:t>ויקרא [שמיני] י,יא</w:t>
      </w:r>
      <w:r w:rsidRPr="00E738C3">
        <w:rPr>
          <w:b w:val="0"/>
          <w:bCs w:val="0"/>
        </w:rPr>
        <w:t xml:space="preserve">) that </w:t>
      </w:r>
      <w:r w:rsidRPr="00E738C3">
        <w:rPr>
          <w:rFonts w:hint="cs"/>
          <w:b w:val="0"/>
          <w:bCs w:val="0"/>
          <w:rtl/>
        </w:rPr>
        <w:t>ולהורות את בנ"י וגו'</w:t>
      </w:r>
      <w:r w:rsidRPr="00E738C3">
        <w:rPr>
          <w:b w:val="0"/>
          <w:bCs w:val="0"/>
        </w:rPr>
        <w:t xml:space="preserve">. It would seem that the rules regarding </w:t>
      </w:r>
      <w:r w:rsidRPr="00E738C3">
        <w:rPr>
          <w:rFonts w:hint="cs"/>
          <w:b w:val="0"/>
          <w:bCs w:val="0"/>
          <w:rtl/>
        </w:rPr>
        <w:t>הוראה</w:t>
      </w:r>
      <w:r w:rsidRPr="00E738C3">
        <w:rPr>
          <w:b w:val="0"/>
          <w:bCs w:val="0"/>
        </w:rPr>
        <w:t xml:space="preserve"> are similar to those regarding </w:t>
      </w:r>
      <w:r w:rsidRPr="00E738C3">
        <w:rPr>
          <w:rFonts w:hint="cs"/>
          <w:b w:val="0"/>
          <w:bCs w:val="0"/>
          <w:rtl/>
        </w:rPr>
        <w:t>עבודה</w:t>
      </w:r>
      <w:r w:rsidRPr="00E738C3">
        <w:rPr>
          <w:b w:val="0"/>
          <w:bCs w:val="0"/>
        </w:rPr>
        <w:t xml:space="preserve">, and since by </w:t>
      </w:r>
      <w:r w:rsidRPr="00E738C3">
        <w:rPr>
          <w:rFonts w:hint="cs"/>
          <w:b w:val="0"/>
          <w:bCs w:val="0"/>
          <w:rtl/>
        </w:rPr>
        <w:t>עבודה</w:t>
      </w:r>
      <w:r w:rsidRPr="00E738C3">
        <w:rPr>
          <w:b w:val="0"/>
          <w:bCs w:val="0"/>
        </w:rPr>
        <w:t xml:space="preserve"> the prohibition is only by wine</w:t>
      </w:r>
      <w:r w:rsidR="00C8054F">
        <w:rPr>
          <w:b w:val="0"/>
          <w:bCs w:val="0"/>
        </w:rPr>
        <w:t>,</w:t>
      </w:r>
      <w:r w:rsidRPr="00E738C3">
        <w:rPr>
          <w:b w:val="0"/>
          <w:bCs w:val="0"/>
        </w:rPr>
        <w:t xml:space="preserve"> the same should apply by </w:t>
      </w:r>
      <w:r w:rsidRPr="00E738C3">
        <w:rPr>
          <w:rFonts w:hint="cs"/>
          <w:b w:val="0"/>
          <w:bCs w:val="0"/>
          <w:rtl/>
        </w:rPr>
        <w:t>הוראה</w:t>
      </w:r>
      <w:r w:rsidRPr="00E738C3">
        <w:rPr>
          <w:b w:val="0"/>
          <w:bCs w:val="0"/>
        </w:rPr>
        <w:t xml:space="preserve">. </w:t>
      </w:r>
    </w:p>
  </w:footnote>
  <w:footnote w:id="4">
    <w:p w:rsidR="007D36E8" w:rsidRPr="00E738C3" w:rsidRDefault="007D36E8" w:rsidP="00581F94">
      <w:pPr>
        <w:pStyle w:val="FootnoteText"/>
        <w:widowControl w:val="0"/>
        <w:spacing w:line="264" w:lineRule="auto"/>
        <w:rPr>
          <w:b w:val="0"/>
          <w:bCs w:val="0"/>
        </w:rPr>
      </w:pPr>
      <w:r w:rsidRPr="00E738C3">
        <w:rPr>
          <w:rStyle w:val="FootnoteReference"/>
          <w:b w:val="0"/>
          <w:bCs w:val="0"/>
        </w:rPr>
        <w:footnoteRef/>
      </w:r>
      <w:r w:rsidRPr="00E738C3">
        <w:rPr>
          <w:b w:val="0"/>
          <w:bCs w:val="0"/>
        </w:rPr>
        <w:t xml:space="preserve"> </w:t>
      </w:r>
      <w:r w:rsidRPr="00E738C3">
        <w:rPr>
          <w:rFonts w:hint="cs"/>
          <w:b w:val="0"/>
          <w:bCs w:val="0"/>
          <w:rtl/>
        </w:rPr>
        <w:t>תוספות</w:t>
      </w:r>
      <w:r w:rsidRPr="00E738C3">
        <w:rPr>
          <w:b w:val="0"/>
          <w:bCs w:val="0"/>
        </w:rPr>
        <w:t xml:space="preserve"> is (seemingly) differentiating between </w:t>
      </w:r>
      <w:r w:rsidRPr="00E738C3">
        <w:rPr>
          <w:rFonts w:hint="cs"/>
          <w:b w:val="0"/>
          <w:bCs w:val="0"/>
          <w:rtl/>
        </w:rPr>
        <w:t>לכתחלה</w:t>
      </w:r>
      <w:r w:rsidRPr="00E738C3">
        <w:rPr>
          <w:b w:val="0"/>
          <w:bCs w:val="0"/>
        </w:rPr>
        <w:t xml:space="preserve"> and </w:t>
      </w:r>
      <w:r w:rsidRPr="00E738C3">
        <w:rPr>
          <w:rFonts w:hint="cs"/>
          <w:b w:val="0"/>
          <w:bCs w:val="0"/>
          <w:rtl/>
        </w:rPr>
        <w:t>בדיעבד</w:t>
      </w:r>
      <w:r w:rsidRPr="00E738C3">
        <w:rPr>
          <w:b w:val="0"/>
          <w:bCs w:val="0"/>
        </w:rPr>
        <w:t xml:space="preserve">. Initially one may not teach or do the </w:t>
      </w:r>
      <w:r w:rsidRPr="00E738C3">
        <w:rPr>
          <w:rFonts w:hint="cs"/>
          <w:b w:val="0"/>
          <w:bCs w:val="0"/>
          <w:rtl/>
        </w:rPr>
        <w:t>עבודה</w:t>
      </w:r>
      <w:r w:rsidRPr="00E738C3">
        <w:rPr>
          <w:b w:val="0"/>
          <w:bCs w:val="0"/>
        </w:rPr>
        <w:t xml:space="preserve"> if he had </w:t>
      </w:r>
      <w:r w:rsidRPr="00E738C3">
        <w:rPr>
          <w:rFonts w:hint="cs"/>
          <w:b w:val="0"/>
          <w:bCs w:val="0"/>
          <w:rtl/>
        </w:rPr>
        <w:t>שאר משקין המשכרין</w:t>
      </w:r>
      <w:r w:rsidRPr="00E738C3">
        <w:rPr>
          <w:b w:val="0"/>
          <w:bCs w:val="0"/>
        </w:rPr>
        <w:t>; however i</w:t>
      </w:r>
      <w:r w:rsidR="00E738C3" w:rsidRPr="00E738C3">
        <w:rPr>
          <w:b w:val="0"/>
          <w:bCs w:val="0"/>
        </w:rPr>
        <w:t>f</w:t>
      </w:r>
      <w:r w:rsidRPr="00E738C3">
        <w:rPr>
          <w:b w:val="0"/>
          <w:bCs w:val="0"/>
        </w:rPr>
        <w:t xml:space="preserve"> one did the </w:t>
      </w:r>
      <w:r w:rsidRPr="00E738C3">
        <w:rPr>
          <w:rFonts w:hint="cs"/>
          <w:b w:val="0"/>
          <w:bCs w:val="0"/>
          <w:rtl/>
        </w:rPr>
        <w:t>עבודה</w:t>
      </w:r>
      <w:r w:rsidRPr="00E738C3">
        <w:rPr>
          <w:b w:val="0"/>
          <w:bCs w:val="0"/>
        </w:rPr>
        <w:t xml:space="preserve"> after having these </w:t>
      </w:r>
      <w:r w:rsidRPr="00E738C3">
        <w:rPr>
          <w:rFonts w:hint="cs"/>
          <w:b w:val="0"/>
          <w:bCs w:val="0"/>
          <w:rtl/>
        </w:rPr>
        <w:t>שאר משקין</w:t>
      </w:r>
      <w:r w:rsidRPr="00E738C3">
        <w:rPr>
          <w:b w:val="0"/>
          <w:bCs w:val="0"/>
        </w:rPr>
        <w:t xml:space="preserve"> he will not be </w:t>
      </w:r>
      <w:r w:rsidRPr="00E738C3">
        <w:rPr>
          <w:rFonts w:hint="cs"/>
          <w:b w:val="0"/>
          <w:bCs w:val="0"/>
          <w:rtl/>
        </w:rPr>
        <w:t>מחויב מיתה בידי שמים</w:t>
      </w:r>
      <w:r w:rsidRPr="00E738C3">
        <w:rPr>
          <w:b w:val="0"/>
          <w:bCs w:val="0"/>
        </w:rPr>
        <w:t>.</w:t>
      </w:r>
    </w:p>
  </w:footnote>
  <w:footnote w:id="5">
    <w:p w:rsidR="00C8054F" w:rsidRPr="00C8054F" w:rsidRDefault="00C8054F" w:rsidP="00581F94">
      <w:pPr>
        <w:pStyle w:val="FootnoteText"/>
        <w:widowControl w:val="0"/>
        <w:spacing w:line="264" w:lineRule="auto"/>
        <w:rPr>
          <w:b w:val="0"/>
          <w:bCs w:val="0"/>
        </w:rPr>
      </w:pPr>
      <w:r w:rsidRPr="00C8054F">
        <w:rPr>
          <w:rStyle w:val="FootnoteReference"/>
          <w:b w:val="0"/>
          <w:bCs w:val="0"/>
        </w:rPr>
        <w:footnoteRef/>
      </w:r>
      <w:r w:rsidRPr="00C8054F">
        <w:rPr>
          <w:b w:val="0"/>
          <w:bCs w:val="0"/>
        </w:rPr>
        <w:t xml:space="preserve"> If one does the </w:t>
      </w:r>
      <w:r w:rsidRPr="00C8054F">
        <w:rPr>
          <w:rFonts w:hint="cs"/>
          <w:b w:val="0"/>
          <w:bCs w:val="0"/>
          <w:rtl/>
        </w:rPr>
        <w:t>עבודה</w:t>
      </w:r>
      <w:r w:rsidRPr="00C8054F">
        <w:rPr>
          <w:b w:val="0"/>
          <w:bCs w:val="0"/>
        </w:rPr>
        <w:t xml:space="preserve"> after drinking wine he is </w:t>
      </w:r>
      <w:r w:rsidRPr="00C8054F">
        <w:rPr>
          <w:rFonts w:hint="cs"/>
          <w:b w:val="0"/>
          <w:bCs w:val="0"/>
          <w:rtl/>
        </w:rPr>
        <w:t>מחלל</w:t>
      </w:r>
      <w:r w:rsidRPr="00C8054F">
        <w:rPr>
          <w:b w:val="0"/>
          <w:bCs w:val="0"/>
        </w:rPr>
        <w:t xml:space="preserve"> the </w:t>
      </w:r>
      <w:r w:rsidRPr="00C8054F">
        <w:rPr>
          <w:rFonts w:hint="cs"/>
          <w:b w:val="0"/>
          <w:bCs w:val="0"/>
          <w:rtl/>
        </w:rPr>
        <w:t>עבודה</w:t>
      </w:r>
      <w:r w:rsidRPr="00C8054F">
        <w:rPr>
          <w:b w:val="0"/>
          <w:bCs w:val="0"/>
        </w:rPr>
        <w:t xml:space="preserve"> and </w:t>
      </w:r>
      <w:r w:rsidRPr="00C8054F">
        <w:rPr>
          <w:rFonts w:hint="cs"/>
          <w:b w:val="0"/>
          <w:bCs w:val="0"/>
          <w:rtl/>
        </w:rPr>
        <w:t>מחויב מיתה</w:t>
      </w:r>
      <w:r w:rsidRPr="00C8054F">
        <w:rPr>
          <w:b w:val="0"/>
          <w:bCs w:val="0"/>
        </w:rPr>
        <w:t xml:space="preserve">; however by </w:t>
      </w:r>
      <w:r w:rsidRPr="00C8054F">
        <w:rPr>
          <w:rFonts w:hint="cs"/>
          <w:b w:val="0"/>
          <w:bCs w:val="0"/>
          <w:rtl/>
        </w:rPr>
        <w:t>שאר משקין המש</w:t>
      </w:r>
      <w:r>
        <w:rPr>
          <w:rFonts w:hint="cs"/>
          <w:b w:val="0"/>
          <w:bCs w:val="0"/>
          <w:rtl/>
        </w:rPr>
        <w:t>כ</w:t>
      </w:r>
      <w:r w:rsidRPr="00C8054F">
        <w:rPr>
          <w:rFonts w:hint="cs"/>
          <w:b w:val="0"/>
          <w:bCs w:val="0"/>
          <w:rtl/>
        </w:rPr>
        <w:t>רין</w:t>
      </w:r>
      <w:r w:rsidRPr="00C8054F">
        <w:rPr>
          <w:b w:val="0"/>
          <w:bCs w:val="0"/>
        </w:rPr>
        <w:t xml:space="preserve"> he is not </w:t>
      </w:r>
      <w:r w:rsidRPr="00C8054F">
        <w:rPr>
          <w:rFonts w:hint="cs"/>
          <w:b w:val="0"/>
          <w:bCs w:val="0"/>
          <w:rtl/>
        </w:rPr>
        <w:t>מחלל</w:t>
      </w:r>
      <w:r w:rsidRPr="00C8054F">
        <w:rPr>
          <w:b w:val="0"/>
          <w:bCs w:val="0"/>
        </w:rPr>
        <w:t xml:space="preserve"> the </w:t>
      </w:r>
      <w:r w:rsidRPr="00C8054F">
        <w:rPr>
          <w:rFonts w:hint="cs"/>
          <w:b w:val="0"/>
          <w:bCs w:val="0"/>
          <w:rtl/>
        </w:rPr>
        <w:t>עבודה</w:t>
      </w:r>
      <w:r w:rsidRPr="00C8054F">
        <w:rPr>
          <w:b w:val="0"/>
          <w:bCs w:val="0"/>
        </w:rPr>
        <w:t xml:space="preserve"> and not </w:t>
      </w:r>
      <w:r w:rsidRPr="00C8054F">
        <w:rPr>
          <w:rFonts w:hint="cs"/>
          <w:b w:val="0"/>
          <w:bCs w:val="0"/>
          <w:rtl/>
        </w:rPr>
        <w:t>מחויב מיתה</w:t>
      </w:r>
      <w:r w:rsidRPr="00C8054F">
        <w:rPr>
          <w:b w:val="0"/>
          <w:bCs w:val="0"/>
        </w:rPr>
        <w:t xml:space="preserve">, but nevertheless he is </w:t>
      </w:r>
      <w:r w:rsidRPr="00C8054F">
        <w:rPr>
          <w:rFonts w:hint="cs"/>
          <w:b w:val="0"/>
          <w:bCs w:val="0"/>
          <w:rtl/>
        </w:rPr>
        <w:t>פסול לעבודה (לכתחלה)</w:t>
      </w:r>
      <w:r w:rsidRPr="00C8054F">
        <w:rPr>
          <w:b w:val="0"/>
          <w:bCs w:val="0"/>
        </w:rPr>
        <w:t>.</w:t>
      </w:r>
      <w:r w:rsidR="00581F94">
        <w:rPr>
          <w:b w:val="0"/>
          <w:bCs w:val="0"/>
        </w:rPr>
        <w:t xml:space="preserve"> </w:t>
      </w:r>
      <w:proofErr w:type="gramStart"/>
      <w:r w:rsidR="00581F94">
        <w:rPr>
          <w:b w:val="0"/>
          <w:bCs w:val="0"/>
        </w:rPr>
        <w:t>See ‘Thinking it over’.</w:t>
      </w:r>
      <w:proofErr w:type="gramEnd"/>
    </w:p>
  </w:footnote>
  <w:footnote w:id="6">
    <w:p w:rsidR="00581F94" w:rsidRPr="00581F94" w:rsidRDefault="00581F94" w:rsidP="00581F94">
      <w:pPr>
        <w:pStyle w:val="FootnoteText"/>
        <w:widowControl w:val="0"/>
        <w:spacing w:line="264" w:lineRule="auto"/>
        <w:rPr>
          <w:b w:val="0"/>
          <w:bCs w:val="0"/>
        </w:rPr>
      </w:pPr>
      <w:r w:rsidRPr="00581F94">
        <w:rPr>
          <w:rStyle w:val="FootnoteReference"/>
          <w:b w:val="0"/>
          <w:bCs w:val="0"/>
        </w:rPr>
        <w:footnoteRef/>
      </w:r>
      <w:r w:rsidRPr="00581F94">
        <w:rPr>
          <w:b w:val="0"/>
          <w:bCs w:val="0"/>
        </w:rPr>
        <w:t xml:space="preserve"> See footnote # 5.</w:t>
      </w:r>
    </w:p>
  </w:footnote>
  <w:footnote w:id="7">
    <w:p w:rsidR="00E738C3" w:rsidRPr="00E738C3" w:rsidRDefault="00E738C3" w:rsidP="00581F94">
      <w:pPr>
        <w:pStyle w:val="FootnoteText"/>
        <w:widowControl w:val="0"/>
        <w:spacing w:line="264" w:lineRule="auto"/>
        <w:rPr>
          <w:b w:val="0"/>
          <w:bCs w:val="0"/>
        </w:rPr>
      </w:pPr>
      <w:r w:rsidRPr="00E738C3">
        <w:rPr>
          <w:rStyle w:val="FootnoteReference"/>
          <w:b w:val="0"/>
          <w:bCs w:val="0"/>
        </w:rPr>
        <w:footnoteRef/>
      </w:r>
      <w:r w:rsidRPr="00E738C3">
        <w:rPr>
          <w:b w:val="0"/>
          <w:bCs w:val="0"/>
        </w:rPr>
        <w:t xml:space="preserve"> See </w:t>
      </w:r>
      <w:r w:rsidRPr="00E738C3">
        <w:rPr>
          <w:rFonts w:hint="cs"/>
          <w:b w:val="0"/>
          <w:bCs w:val="0"/>
          <w:rtl/>
        </w:rPr>
        <w:t>תוס' כריתות יג</w:t>
      </w:r>
      <w:proofErr w:type="gramStart"/>
      <w:r w:rsidRPr="00E738C3">
        <w:rPr>
          <w:rFonts w:hint="cs"/>
          <w:b w:val="0"/>
          <w:bCs w:val="0"/>
          <w:rtl/>
        </w:rPr>
        <w:t>,ב</w:t>
      </w:r>
      <w:proofErr w:type="gramEnd"/>
      <w:r w:rsidRPr="00E738C3">
        <w:rPr>
          <w:rFonts w:hint="cs"/>
          <w:b w:val="0"/>
          <w:bCs w:val="0"/>
          <w:rtl/>
        </w:rPr>
        <w:t xml:space="preserve"> ד"ה אמר</w:t>
      </w:r>
      <w:r w:rsidRPr="00E738C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9C9" w:rsidRPr="000909C9" w:rsidRDefault="000909C9" w:rsidP="000909C9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י,ב תוס' ד"ה אמר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77"/>
    <w:rsid w:val="000909C9"/>
    <w:rsid w:val="001347D4"/>
    <w:rsid w:val="003348FD"/>
    <w:rsid w:val="003D4453"/>
    <w:rsid w:val="003F56F7"/>
    <w:rsid w:val="00482EB7"/>
    <w:rsid w:val="004C1582"/>
    <w:rsid w:val="00581F94"/>
    <w:rsid w:val="007D36E8"/>
    <w:rsid w:val="009B5F62"/>
    <w:rsid w:val="00C8054F"/>
    <w:rsid w:val="00E11077"/>
    <w:rsid w:val="00E738C3"/>
    <w:rsid w:val="00F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9C9"/>
  </w:style>
  <w:style w:type="paragraph" w:styleId="Footer">
    <w:name w:val="footer"/>
    <w:basedOn w:val="Normal"/>
    <w:link w:val="FooterChar"/>
    <w:uiPriority w:val="99"/>
    <w:unhideWhenUsed/>
    <w:rsid w:val="00090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9C9"/>
  </w:style>
  <w:style w:type="paragraph" w:styleId="FootnoteText">
    <w:name w:val="footnote text"/>
    <w:basedOn w:val="Normal"/>
    <w:link w:val="FootnoteTextChar"/>
    <w:uiPriority w:val="99"/>
    <w:semiHidden/>
    <w:unhideWhenUsed/>
    <w:rsid w:val="00482EB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E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EB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9C9"/>
  </w:style>
  <w:style w:type="paragraph" w:styleId="Footer">
    <w:name w:val="footer"/>
    <w:basedOn w:val="Normal"/>
    <w:link w:val="FooterChar"/>
    <w:uiPriority w:val="99"/>
    <w:unhideWhenUsed/>
    <w:rsid w:val="00090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9C9"/>
  </w:style>
  <w:style w:type="paragraph" w:styleId="FootnoteText">
    <w:name w:val="footnote text"/>
    <w:basedOn w:val="Normal"/>
    <w:link w:val="FootnoteTextChar"/>
    <w:uiPriority w:val="99"/>
    <w:semiHidden/>
    <w:unhideWhenUsed/>
    <w:rsid w:val="00482EB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2E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2E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71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89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0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58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21C5B-E207-4BF5-9F3A-4ECC68FE5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2016-01-25T18:54:00Z</dcterms:created>
  <dcterms:modified xsi:type="dcterms:W3CDTF">2016-05-12T22:09:00Z</dcterms:modified>
</cp:coreProperties>
</file>