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87" w:rsidRPr="00970187" w:rsidRDefault="00BB78E1" w:rsidP="00970187">
      <w:pPr>
        <w:bidi/>
        <w:rPr>
          <w:sz w:val="24"/>
          <w:szCs w:val="24"/>
          <w:rtl/>
          <w:lang w:bidi="he-IL"/>
        </w:rPr>
      </w:pPr>
      <w:r w:rsidRPr="00970187">
        <w:rPr>
          <w:b/>
          <w:bCs/>
          <w:sz w:val="36"/>
          <w:szCs w:val="36"/>
          <w:rtl/>
          <w:lang w:bidi="he-IL"/>
        </w:rPr>
        <w:t>שתי</w:t>
      </w:r>
      <w:r w:rsidR="00970187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970187">
        <w:rPr>
          <w:b/>
          <w:bCs/>
          <w:sz w:val="32"/>
          <w:szCs w:val="32"/>
          <w:rtl/>
          <w:lang w:bidi="he-IL"/>
        </w:rPr>
        <w:t>תקנות הוו</w:t>
      </w:r>
      <w:r w:rsidR="0097018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970187">
        <w:rPr>
          <w:b/>
          <w:bCs/>
          <w:sz w:val="32"/>
          <w:szCs w:val="32"/>
          <w:rtl/>
          <w:lang w:bidi="he-IL"/>
        </w:rPr>
        <w:t>–</w:t>
      </w:r>
      <w:r w:rsidR="0097018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970187">
        <w:rPr>
          <w:b/>
          <w:bCs/>
          <w:sz w:val="32"/>
          <w:szCs w:val="32"/>
          <w:lang w:bidi="he-IL"/>
        </w:rPr>
        <w:t xml:space="preserve">There were two enactments                  </w:t>
      </w:r>
      <w:r w:rsidR="00C7730E">
        <w:rPr>
          <w:b/>
          <w:bCs/>
          <w:sz w:val="32"/>
          <w:szCs w:val="32"/>
          <w:lang w:bidi="he-IL"/>
        </w:rPr>
        <w:t xml:space="preserve">            </w:t>
      </w:r>
      <w:r w:rsidR="00970187">
        <w:rPr>
          <w:b/>
          <w:bCs/>
          <w:sz w:val="32"/>
          <w:szCs w:val="32"/>
          <w:lang w:bidi="he-IL"/>
        </w:rPr>
        <w:t xml:space="preserve">                    </w:t>
      </w:r>
      <w:r w:rsidR="00970187">
        <w:rPr>
          <w:b/>
          <w:bCs/>
          <w:sz w:val="16"/>
          <w:szCs w:val="16"/>
          <w:lang w:bidi="he-IL"/>
        </w:rPr>
        <w:t xml:space="preserve">    </w:t>
      </w:r>
      <w:r w:rsidR="00970187">
        <w:rPr>
          <w:b/>
          <w:bCs/>
          <w:sz w:val="32"/>
          <w:szCs w:val="32"/>
          <w:lang w:bidi="he-IL"/>
        </w:rPr>
        <w:t xml:space="preserve">    </w:t>
      </w:r>
      <w:r w:rsidR="00970187" w:rsidRPr="00C7730E">
        <w:rPr>
          <w:b/>
          <w:bCs/>
          <w:sz w:val="24"/>
          <w:szCs w:val="24"/>
          <w:lang w:bidi="he-IL"/>
        </w:rPr>
        <w:t xml:space="preserve">   </w:t>
      </w:r>
    </w:p>
    <w:p w:rsidR="00970187" w:rsidRPr="00970187" w:rsidRDefault="00970187" w:rsidP="00970187">
      <w:pPr>
        <w:rPr>
          <w:rFonts w:ascii="Copperplate Gothic Bold" w:hAnsi="Copperplate Gothic Bold"/>
          <w:sz w:val="28"/>
          <w:szCs w:val="28"/>
          <w:u w:val="double"/>
          <w:lang w:bidi="he-IL"/>
        </w:rPr>
      </w:pPr>
      <w:r w:rsidRPr="00970187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970187" w:rsidRPr="00970187" w:rsidRDefault="003D72ED" w:rsidP="003D72ED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resolves the contradiction between 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(which states that the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sz w:val="28"/>
          <w:szCs w:val="28"/>
          <w:rtl/>
          <w:lang w:bidi="he-IL"/>
        </w:rPr>
        <w:t>אלמנת כהנים</w:t>
      </w:r>
      <w:r>
        <w:rPr>
          <w:sz w:val="28"/>
          <w:szCs w:val="28"/>
          <w:lang w:bidi="he-IL"/>
        </w:rPr>
        <w:t xml:space="preserve"> is </w:t>
      </w:r>
      <w:r>
        <w:rPr>
          <w:rFonts w:hint="cs"/>
          <w:sz w:val="28"/>
          <w:szCs w:val="28"/>
          <w:rtl/>
          <w:lang w:bidi="he-IL"/>
        </w:rPr>
        <w:t>מאתיים</w:t>
      </w:r>
      <w:r>
        <w:rPr>
          <w:sz w:val="28"/>
          <w:szCs w:val="28"/>
          <w:lang w:bidi="he-IL"/>
        </w:rPr>
        <w:t xml:space="preserve">) and our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(which gives her a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 of 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) by saying there were two </w:t>
      </w:r>
      <w:r>
        <w:rPr>
          <w:rFonts w:hint="cs"/>
          <w:sz w:val="28"/>
          <w:szCs w:val="28"/>
          <w:rtl/>
          <w:lang w:bidi="he-IL"/>
        </w:rPr>
        <w:t>תקנות</w:t>
      </w:r>
      <w:r>
        <w:rPr>
          <w:sz w:val="28"/>
          <w:szCs w:val="28"/>
          <w:lang w:bidi="he-IL"/>
        </w:rPr>
        <w:t xml:space="preserve"> for an </w:t>
      </w:r>
      <w:r>
        <w:rPr>
          <w:rFonts w:hint="cs"/>
          <w:sz w:val="28"/>
          <w:szCs w:val="28"/>
          <w:rtl/>
          <w:lang w:bidi="he-IL"/>
        </w:rPr>
        <w:t>אלמנת כהן</w:t>
      </w:r>
      <w:r>
        <w:rPr>
          <w:sz w:val="28"/>
          <w:szCs w:val="28"/>
          <w:lang w:bidi="he-IL"/>
        </w:rPr>
        <w:t xml:space="preserve"> (which were instituted after the original ruling that an </w:t>
      </w:r>
      <w:r>
        <w:rPr>
          <w:rFonts w:hint="cs"/>
          <w:sz w:val="28"/>
          <w:szCs w:val="28"/>
          <w:rtl/>
          <w:lang w:bidi="he-IL"/>
        </w:rPr>
        <w:t>אלמנת כהן</w:t>
      </w:r>
      <w:r>
        <w:rPr>
          <w:sz w:val="28"/>
          <w:szCs w:val="28"/>
          <w:lang w:bidi="he-IL"/>
        </w:rPr>
        <w:t xml:space="preserve"> receives 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); one that she should receive </w:t>
      </w:r>
      <w:r>
        <w:rPr>
          <w:rFonts w:hint="cs"/>
          <w:sz w:val="28"/>
          <w:szCs w:val="28"/>
          <w:rtl/>
          <w:lang w:bidi="he-IL"/>
        </w:rPr>
        <w:t>מאתיים</w:t>
      </w:r>
      <w:r>
        <w:rPr>
          <w:sz w:val="28"/>
          <w:szCs w:val="28"/>
          <w:lang w:bidi="he-IL"/>
        </w:rPr>
        <w:t xml:space="preserve"> (the view of 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) and the second to revert back to 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 (like our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>).</w:t>
      </w:r>
      <w:r w:rsidR="00D31B0E">
        <w:rPr>
          <w:rStyle w:val="FootnoteReference"/>
          <w:sz w:val="28"/>
          <w:szCs w:val="28"/>
          <w:lang w:bidi="he-IL"/>
        </w:rPr>
        <w:footnoteReference w:id="1"/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explains why we could not have resolved this contradiction differently.</w:t>
      </w:r>
    </w:p>
    <w:p w:rsidR="00970187" w:rsidRDefault="0099286B" w:rsidP="0099286B">
      <w:pPr>
        <w:bidi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----------------------------</w:t>
      </w:r>
    </w:p>
    <w:p w:rsidR="00C75E25" w:rsidRPr="00970187" w:rsidRDefault="00C75E25" w:rsidP="00C75E25">
      <w:pPr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mentions and negates an </w:t>
      </w:r>
      <w:r w:rsidR="007F1846">
        <w:rPr>
          <w:sz w:val="24"/>
          <w:szCs w:val="24"/>
          <w:lang w:bidi="he-IL"/>
        </w:rPr>
        <w:t>alternate resolution to the contradiction:</w:t>
      </w:r>
    </w:p>
    <w:p w:rsidR="00970187" w:rsidRPr="0006507E" w:rsidRDefault="00BB78E1" w:rsidP="0006507E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>וליכא למימר דחדא תקנה הואי</w:t>
      </w:r>
      <w:r w:rsidR="00D31B0E" w:rsidRPr="0006507E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2"/>
      </w: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06507E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3D72ED" w:rsidRPr="0006507E" w:rsidRDefault="003D72ED" w:rsidP="003D72ED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could not have answered that there was one </w:t>
      </w:r>
      <w:r>
        <w:rPr>
          <w:rFonts w:hint="cs"/>
          <w:b/>
          <w:bCs/>
          <w:sz w:val="28"/>
          <w:szCs w:val="28"/>
          <w:rtl/>
          <w:lang w:bidi="he-IL"/>
        </w:rPr>
        <w:t>תקנה</w:t>
      </w:r>
      <w:r>
        <w:rPr>
          <w:b/>
          <w:bCs/>
          <w:sz w:val="28"/>
          <w:szCs w:val="28"/>
          <w:lang w:bidi="he-IL"/>
        </w:rPr>
        <w:t xml:space="preserve"> </w:t>
      </w:r>
      <w:r w:rsidRPr="0006507E">
        <w:rPr>
          <w:sz w:val="24"/>
          <w:szCs w:val="24"/>
          <w:lang w:bidi="he-IL"/>
        </w:rPr>
        <w:t>only -</w:t>
      </w:r>
    </w:p>
    <w:p w:rsidR="00970187" w:rsidRPr="0006507E" w:rsidRDefault="00BB78E1" w:rsidP="0006507E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>ומתני</w:t>
      </w:r>
      <w:r w:rsidR="00970187"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>תין</w:t>
      </w: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קודם תקנה וברייתא לאחר תקנה שתיקנו לאלמנה מאתים </w:t>
      </w:r>
      <w:r w:rsidR="0006507E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3D72ED" w:rsidRPr="0006507E" w:rsidRDefault="003D72ED" w:rsidP="003D72ED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our </w:t>
      </w:r>
      <w:r>
        <w:rPr>
          <w:rFonts w:hint="cs"/>
          <w:b/>
          <w:bCs/>
          <w:sz w:val="28"/>
          <w:szCs w:val="28"/>
          <w:rtl/>
          <w:lang w:bidi="he-IL"/>
        </w:rPr>
        <w:t>משנה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is discussing the situation </w:t>
      </w:r>
      <w:r>
        <w:rPr>
          <w:b/>
          <w:bCs/>
          <w:sz w:val="28"/>
          <w:szCs w:val="28"/>
          <w:lang w:bidi="he-IL"/>
        </w:rPr>
        <w:t xml:space="preserve">before the </w:t>
      </w:r>
      <w:r>
        <w:rPr>
          <w:rFonts w:hint="cs"/>
          <w:b/>
          <w:bCs/>
          <w:sz w:val="28"/>
          <w:szCs w:val="28"/>
          <w:rtl/>
          <w:lang w:bidi="he-IL"/>
        </w:rPr>
        <w:t>תקנה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(where the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 of all </w:t>
      </w:r>
      <w:r>
        <w:rPr>
          <w:rFonts w:hint="cs"/>
          <w:sz w:val="28"/>
          <w:szCs w:val="28"/>
          <w:rtl/>
          <w:lang w:bidi="he-IL"/>
        </w:rPr>
        <w:t>אלמנות</w:t>
      </w:r>
      <w:r>
        <w:rPr>
          <w:sz w:val="28"/>
          <w:szCs w:val="28"/>
          <w:lang w:bidi="he-IL"/>
        </w:rPr>
        <w:t xml:space="preserve"> is 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) </w:t>
      </w:r>
      <w:r>
        <w:rPr>
          <w:b/>
          <w:bCs/>
          <w:sz w:val="28"/>
          <w:szCs w:val="28"/>
          <w:lang w:bidi="he-IL"/>
        </w:rPr>
        <w:t xml:space="preserve">and the </w:t>
      </w:r>
      <w:r>
        <w:rPr>
          <w:rFonts w:hint="cs"/>
          <w:b/>
          <w:bCs/>
          <w:sz w:val="28"/>
          <w:szCs w:val="28"/>
          <w:rtl/>
          <w:lang w:bidi="he-IL"/>
        </w:rPr>
        <w:t>ברייתא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is discussing </w:t>
      </w:r>
      <w:r>
        <w:rPr>
          <w:b/>
          <w:bCs/>
          <w:sz w:val="28"/>
          <w:szCs w:val="28"/>
          <w:lang w:bidi="he-IL"/>
        </w:rPr>
        <w:t xml:space="preserve">after the </w:t>
      </w:r>
      <w:r>
        <w:rPr>
          <w:rFonts w:hint="cs"/>
          <w:b/>
          <w:bCs/>
          <w:sz w:val="28"/>
          <w:szCs w:val="28"/>
          <w:rtl/>
          <w:lang w:bidi="he-IL"/>
        </w:rPr>
        <w:t>תקנה</w:t>
      </w:r>
      <w:r>
        <w:rPr>
          <w:b/>
          <w:bCs/>
          <w:sz w:val="28"/>
          <w:szCs w:val="28"/>
          <w:lang w:bidi="he-IL"/>
        </w:rPr>
        <w:t xml:space="preserve"> where they instituted </w:t>
      </w:r>
      <w:r>
        <w:rPr>
          <w:sz w:val="28"/>
          <w:szCs w:val="28"/>
          <w:lang w:bidi="he-IL"/>
        </w:rPr>
        <w:t xml:space="preserve">a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b/>
          <w:bCs/>
          <w:sz w:val="28"/>
          <w:szCs w:val="28"/>
          <w:rtl/>
          <w:lang w:bidi="he-IL"/>
        </w:rPr>
        <w:t>מאתיים</w:t>
      </w:r>
      <w:r>
        <w:rPr>
          <w:b/>
          <w:bCs/>
          <w:sz w:val="28"/>
          <w:szCs w:val="28"/>
          <w:lang w:bidi="he-IL"/>
        </w:rPr>
        <w:t xml:space="preserve"> for 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אלמנת </w:t>
      </w:r>
      <w:r>
        <w:rPr>
          <w:rFonts w:hint="cs"/>
          <w:sz w:val="28"/>
          <w:szCs w:val="28"/>
          <w:rtl/>
          <w:lang w:bidi="he-IL"/>
        </w:rPr>
        <w:t>כהנים</w:t>
      </w:r>
      <w:r>
        <w:rPr>
          <w:sz w:val="28"/>
          <w:szCs w:val="28"/>
          <w:lang w:bidi="he-IL"/>
        </w:rPr>
        <w:t xml:space="preserve"> </w:t>
      </w:r>
      <w:r w:rsidRPr="0006507E">
        <w:rPr>
          <w:sz w:val="24"/>
          <w:szCs w:val="24"/>
          <w:lang w:bidi="he-IL"/>
        </w:rPr>
        <w:t xml:space="preserve">(and there was no second </w:t>
      </w:r>
      <w:r w:rsidRPr="0006507E">
        <w:rPr>
          <w:rFonts w:hint="cs"/>
          <w:sz w:val="24"/>
          <w:szCs w:val="24"/>
          <w:rtl/>
          <w:lang w:bidi="he-IL"/>
        </w:rPr>
        <w:t>תקנה</w:t>
      </w:r>
      <w:r w:rsidRPr="0006507E">
        <w:rPr>
          <w:sz w:val="24"/>
          <w:szCs w:val="24"/>
          <w:lang w:bidi="he-IL"/>
        </w:rPr>
        <w:t xml:space="preserve"> to revert back to a </w:t>
      </w:r>
      <w:r w:rsidRPr="0006507E">
        <w:rPr>
          <w:rFonts w:hint="cs"/>
          <w:sz w:val="24"/>
          <w:szCs w:val="24"/>
          <w:rtl/>
          <w:lang w:bidi="he-IL"/>
        </w:rPr>
        <w:t>מנה</w:t>
      </w:r>
      <w:r w:rsidRPr="0006507E">
        <w:rPr>
          <w:sz w:val="24"/>
          <w:szCs w:val="24"/>
          <w:lang w:bidi="he-IL"/>
        </w:rPr>
        <w:t>)</w:t>
      </w:r>
      <w:r w:rsidR="00CD53FE" w:rsidRPr="0006507E">
        <w:rPr>
          <w:rStyle w:val="FootnoteReference"/>
          <w:sz w:val="24"/>
          <w:szCs w:val="24"/>
          <w:lang w:bidi="he-IL"/>
        </w:rPr>
        <w:footnoteReference w:id="3"/>
      </w:r>
      <w:r w:rsidRPr="0006507E">
        <w:rPr>
          <w:sz w:val="24"/>
          <w:szCs w:val="24"/>
          <w:lang w:bidi="he-IL"/>
        </w:rPr>
        <w:t xml:space="preserve"> -</w:t>
      </w:r>
      <w:r w:rsidRPr="0006507E">
        <w:rPr>
          <w:b/>
          <w:bCs/>
          <w:sz w:val="24"/>
          <w:szCs w:val="24"/>
          <w:lang w:bidi="he-IL"/>
        </w:rPr>
        <w:t xml:space="preserve"> </w:t>
      </w:r>
      <w:r w:rsidRPr="0006507E">
        <w:rPr>
          <w:sz w:val="24"/>
          <w:szCs w:val="24"/>
          <w:lang w:bidi="he-IL"/>
        </w:rPr>
        <w:t xml:space="preserve"> </w:t>
      </w:r>
    </w:p>
    <w:p w:rsidR="00CD53FE" w:rsidRPr="0006507E" w:rsidRDefault="00CD53FE" w:rsidP="003D72ED">
      <w:pPr>
        <w:rPr>
          <w:sz w:val="24"/>
          <w:szCs w:val="24"/>
          <w:lang w:bidi="he-IL"/>
        </w:rPr>
      </w:pPr>
    </w:p>
    <w:p w:rsidR="00CD53FE" w:rsidRPr="0006507E" w:rsidRDefault="00CD53FE" w:rsidP="003D72ED">
      <w:pPr>
        <w:rPr>
          <w:sz w:val="24"/>
          <w:szCs w:val="24"/>
          <w:lang w:bidi="he-IL"/>
        </w:rPr>
      </w:pPr>
      <w:r w:rsidRPr="0006507E">
        <w:rPr>
          <w:sz w:val="24"/>
          <w:szCs w:val="24"/>
          <w:lang w:bidi="he-IL"/>
        </w:rPr>
        <w:t>The reason this explanation is unacceptable is -</w:t>
      </w:r>
    </w:p>
    <w:p w:rsidR="00970187" w:rsidRPr="0006507E" w:rsidRDefault="00BB78E1" w:rsidP="0006507E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דהא חזינן השתא דלית להו מאתים </w:t>
      </w:r>
      <w:r w:rsidR="0006507E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CD53FE" w:rsidRDefault="00CD53FE" w:rsidP="00CD53FE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Because we see nowadays that </w:t>
      </w:r>
      <w:r>
        <w:rPr>
          <w:rFonts w:hint="cs"/>
          <w:sz w:val="28"/>
          <w:szCs w:val="28"/>
          <w:rtl/>
          <w:lang w:bidi="he-IL"/>
        </w:rPr>
        <w:t>אלמנת כהנים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do not have a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b/>
          <w:bCs/>
          <w:sz w:val="28"/>
          <w:szCs w:val="28"/>
          <w:rtl/>
          <w:lang w:bidi="he-IL"/>
        </w:rPr>
        <w:t>מאתיים</w:t>
      </w:r>
      <w:r>
        <w:rPr>
          <w:b/>
          <w:bCs/>
          <w:sz w:val="28"/>
          <w:szCs w:val="28"/>
          <w:lang w:bidi="he-IL"/>
        </w:rPr>
        <w:t xml:space="preserve"> –</w:t>
      </w:r>
    </w:p>
    <w:p w:rsidR="00CD53FE" w:rsidRPr="0006507E" w:rsidRDefault="00CD53FE" w:rsidP="00CD53FE">
      <w:pPr>
        <w:rPr>
          <w:b/>
          <w:bCs/>
          <w:sz w:val="24"/>
          <w:szCs w:val="24"/>
          <w:lang w:bidi="he-IL"/>
        </w:rPr>
      </w:pPr>
    </w:p>
    <w:p w:rsidR="00CD53FE" w:rsidRPr="0006507E" w:rsidRDefault="00CD53FE" w:rsidP="00CD53FE">
      <w:pPr>
        <w:rPr>
          <w:sz w:val="24"/>
          <w:szCs w:val="24"/>
          <w:lang w:bidi="he-IL"/>
        </w:rPr>
      </w:pPr>
      <w:r w:rsidRPr="0006507E">
        <w:rPr>
          <w:rFonts w:hint="cs"/>
          <w:sz w:val="24"/>
          <w:szCs w:val="24"/>
          <w:rtl/>
          <w:lang w:bidi="he-IL"/>
        </w:rPr>
        <w:t>תוספות</w:t>
      </w:r>
      <w:r w:rsidRPr="0006507E">
        <w:rPr>
          <w:sz w:val="24"/>
          <w:szCs w:val="24"/>
          <w:lang w:bidi="he-IL"/>
        </w:rPr>
        <w:t xml:space="preserve"> offers (and negates</w:t>
      </w:r>
      <w:r w:rsidR="00B11FC1" w:rsidRPr="0006507E">
        <w:rPr>
          <w:sz w:val="24"/>
          <w:szCs w:val="24"/>
          <w:lang w:bidi="he-IL"/>
        </w:rPr>
        <w:t>)</w:t>
      </w:r>
      <w:r w:rsidRPr="0006507E">
        <w:rPr>
          <w:sz w:val="24"/>
          <w:szCs w:val="24"/>
          <w:lang w:bidi="he-IL"/>
        </w:rPr>
        <w:t xml:space="preserve"> an additional resolution to the contradiction:</w:t>
      </w:r>
    </w:p>
    <w:p w:rsidR="00970187" w:rsidRPr="0006507E" w:rsidRDefault="00BB78E1" w:rsidP="0006507E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>וליכא למימר נמי דמעיקרא כי תקינו לבתולה ארבע מאות תקינו גם כן לאלמנה</w:t>
      </w:r>
      <w:r w:rsidR="006B3C24" w:rsidRPr="0006507E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4"/>
      </w: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מאתים</w:t>
      </w:r>
      <w:r w:rsidR="006B3C24" w:rsidRPr="0006507E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5"/>
      </w: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06507E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CD53FE" w:rsidRDefault="00CD53FE" w:rsidP="00CD53FE">
      <w:pPr>
        <w:rPr>
          <w:b/>
          <w:bCs/>
          <w:sz w:val="24"/>
          <w:szCs w:val="24"/>
          <w:rtl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we cannot also answer that initially when they enacted for a </w:t>
      </w:r>
      <w:r>
        <w:rPr>
          <w:rFonts w:hint="cs"/>
          <w:b/>
          <w:bCs/>
          <w:sz w:val="28"/>
          <w:szCs w:val="28"/>
          <w:rtl/>
          <w:lang w:bidi="he-IL"/>
        </w:rPr>
        <w:t>בתולה</w:t>
      </w:r>
      <w:r w:rsidR="001B7F3C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1B7F3C">
        <w:rPr>
          <w:rFonts w:hint="cs"/>
          <w:sz w:val="28"/>
          <w:szCs w:val="28"/>
          <w:rtl/>
          <w:lang w:bidi="he-IL"/>
        </w:rPr>
        <w:t>בת כהן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a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b/>
          <w:bCs/>
          <w:sz w:val="28"/>
          <w:szCs w:val="28"/>
          <w:rtl/>
          <w:lang w:bidi="he-IL"/>
        </w:rPr>
        <w:t>ד' מאות</w:t>
      </w:r>
      <w:r>
        <w:rPr>
          <w:b/>
          <w:bCs/>
          <w:sz w:val="28"/>
          <w:szCs w:val="28"/>
          <w:lang w:bidi="he-IL"/>
        </w:rPr>
        <w:t>, the</w:t>
      </w:r>
      <w:r w:rsidR="00B11FC1">
        <w:rPr>
          <w:b/>
          <w:bCs/>
          <w:sz w:val="28"/>
          <w:szCs w:val="28"/>
          <w:lang w:bidi="he-IL"/>
        </w:rPr>
        <w:t>y</w:t>
      </w:r>
      <w:r>
        <w:rPr>
          <w:b/>
          <w:bCs/>
          <w:sz w:val="28"/>
          <w:szCs w:val="28"/>
          <w:lang w:bidi="he-IL"/>
        </w:rPr>
        <w:t xml:space="preserve"> also institu</w:t>
      </w:r>
      <w:r w:rsidR="007B2FB2">
        <w:rPr>
          <w:b/>
          <w:bCs/>
          <w:sz w:val="28"/>
          <w:szCs w:val="28"/>
          <w:lang w:bidi="he-IL"/>
        </w:rPr>
        <w:t xml:space="preserve">ted for an </w:t>
      </w:r>
      <w:r w:rsidR="007B2FB2">
        <w:rPr>
          <w:rFonts w:hint="cs"/>
          <w:b/>
          <w:bCs/>
          <w:sz w:val="28"/>
          <w:szCs w:val="28"/>
          <w:rtl/>
          <w:lang w:bidi="he-IL"/>
        </w:rPr>
        <w:t>אלמנה</w:t>
      </w:r>
      <w:r w:rsidR="001B7F3C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1B7F3C">
        <w:rPr>
          <w:rFonts w:hint="cs"/>
          <w:sz w:val="28"/>
          <w:szCs w:val="28"/>
          <w:rtl/>
          <w:lang w:bidi="he-IL"/>
        </w:rPr>
        <w:t>בת כהן</w:t>
      </w:r>
      <w:r w:rsidR="007B2FB2">
        <w:rPr>
          <w:b/>
          <w:bCs/>
          <w:sz w:val="28"/>
          <w:szCs w:val="28"/>
          <w:lang w:bidi="he-IL"/>
        </w:rPr>
        <w:t xml:space="preserve"> </w:t>
      </w:r>
      <w:r w:rsidR="007B2FB2">
        <w:rPr>
          <w:sz w:val="28"/>
          <w:szCs w:val="28"/>
          <w:lang w:bidi="he-IL"/>
        </w:rPr>
        <w:t xml:space="preserve">a </w:t>
      </w:r>
      <w:r w:rsidR="007B2FB2">
        <w:rPr>
          <w:rFonts w:hint="cs"/>
          <w:sz w:val="28"/>
          <w:szCs w:val="28"/>
          <w:rtl/>
          <w:lang w:bidi="he-IL"/>
        </w:rPr>
        <w:t>כתובה</w:t>
      </w:r>
      <w:r w:rsidR="007B2FB2">
        <w:rPr>
          <w:sz w:val="28"/>
          <w:szCs w:val="28"/>
          <w:lang w:bidi="he-IL"/>
        </w:rPr>
        <w:t xml:space="preserve"> of </w:t>
      </w:r>
      <w:r w:rsidR="007B2FB2">
        <w:rPr>
          <w:rFonts w:hint="cs"/>
          <w:b/>
          <w:bCs/>
          <w:sz w:val="28"/>
          <w:szCs w:val="28"/>
          <w:rtl/>
          <w:lang w:bidi="he-IL"/>
        </w:rPr>
        <w:t>מאתיים</w:t>
      </w:r>
      <w:r w:rsidR="007B2FB2">
        <w:rPr>
          <w:b/>
          <w:bCs/>
          <w:sz w:val="28"/>
          <w:szCs w:val="28"/>
          <w:lang w:bidi="he-IL"/>
        </w:rPr>
        <w:t xml:space="preserve"> </w:t>
      </w:r>
      <w:r w:rsidR="00A17BF4">
        <w:rPr>
          <w:b/>
          <w:bCs/>
          <w:sz w:val="28"/>
          <w:szCs w:val="28"/>
          <w:lang w:bidi="he-IL"/>
        </w:rPr>
        <w:t>–</w:t>
      </w:r>
    </w:p>
    <w:p w:rsidR="00486D25" w:rsidRPr="00486D25" w:rsidRDefault="00486D25" w:rsidP="00CD53FE">
      <w:pPr>
        <w:rPr>
          <w:b/>
          <w:bCs/>
          <w:sz w:val="24"/>
          <w:szCs w:val="24"/>
          <w:lang w:bidi="he-IL"/>
        </w:rPr>
      </w:pPr>
    </w:p>
    <w:p w:rsidR="00A17BF4" w:rsidRPr="0006507E" w:rsidRDefault="00A17BF4" w:rsidP="00A17BF4">
      <w:pPr>
        <w:rPr>
          <w:sz w:val="24"/>
          <w:szCs w:val="24"/>
          <w:lang w:bidi="he-IL"/>
        </w:rPr>
      </w:pPr>
      <w:r w:rsidRPr="0006507E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06507E">
        <w:rPr>
          <w:sz w:val="24"/>
          <w:szCs w:val="24"/>
          <w:lang w:bidi="he-IL"/>
        </w:rPr>
        <w:t xml:space="preserve"> negates this suggestion:</w:t>
      </w:r>
    </w:p>
    <w:p w:rsidR="00970187" w:rsidRPr="0006507E" w:rsidRDefault="00BB78E1" w:rsidP="0006507E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>דאין סברא לתקן לאלמנה מאתים אם לא אחר שראו צורך דמזלזלי בהו</w:t>
      </w:r>
      <w:r w:rsidR="0015292C" w:rsidRPr="0006507E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6"/>
      </w: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06507E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A17BF4" w:rsidRPr="0006507E" w:rsidRDefault="00A17BF4" w:rsidP="00A17BF4">
      <w:pPr>
        <w:rPr>
          <w:b/>
          <w:bCs/>
          <w:spacing w:val="-2"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For it is not logical to enact that an </w:t>
      </w:r>
      <w:r>
        <w:rPr>
          <w:rFonts w:hint="cs"/>
          <w:b/>
          <w:bCs/>
          <w:sz w:val="28"/>
          <w:szCs w:val="28"/>
          <w:rtl/>
          <w:lang w:bidi="he-IL"/>
        </w:rPr>
        <w:t>אלמנה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receive </w:t>
      </w:r>
      <w:r>
        <w:rPr>
          <w:rFonts w:hint="cs"/>
          <w:b/>
          <w:bCs/>
          <w:sz w:val="28"/>
          <w:szCs w:val="28"/>
          <w:rtl/>
          <w:lang w:bidi="he-IL"/>
        </w:rPr>
        <w:t>מאתיים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(for no apparent </w:t>
      </w:r>
      <w:r w:rsidRPr="0006507E">
        <w:rPr>
          <w:spacing w:val="-2"/>
          <w:sz w:val="28"/>
          <w:szCs w:val="28"/>
          <w:lang w:bidi="he-IL"/>
        </w:rPr>
        <w:t xml:space="preserve">reason), </w:t>
      </w:r>
      <w:r w:rsidRPr="0006507E">
        <w:rPr>
          <w:b/>
          <w:bCs/>
          <w:spacing w:val="-2"/>
          <w:sz w:val="28"/>
          <w:szCs w:val="28"/>
          <w:lang w:bidi="he-IL"/>
        </w:rPr>
        <w:t xml:space="preserve">unless </w:t>
      </w:r>
      <w:r w:rsidRPr="0006507E">
        <w:rPr>
          <w:spacing w:val="-2"/>
          <w:sz w:val="28"/>
          <w:szCs w:val="28"/>
          <w:lang w:bidi="he-IL"/>
        </w:rPr>
        <w:t xml:space="preserve">the </w:t>
      </w:r>
      <w:r w:rsidRPr="0006507E">
        <w:rPr>
          <w:rFonts w:hint="cs"/>
          <w:spacing w:val="-2"/>
          <w:sz w:val="28"/>
          <w:szCs w:val="28"/>
          <w:rtl/>
          <w:lang w:bidi="he-IL"/>
        </w:rPr>
        <w:t>חכמים</w:t>
      </w:r>
      <w:r w:rsidRPr="0006507E">
        <w:rPr>
          <w:spacing w:val="-2"/>
          <w:sz w:val="28"/>
          <w:szCs w:val="28"/>
          <w:lang w:bidi="he-IL"/>
        </w:rPr>
        <w:t xml:space="preserve"> </w:t>
      </w:r>
      <w:r w:rsidRPr="0006507E">
        <w:rPr>
          <w:b/>
          <w:bCs/>
          <w:spacing w:val="-2"/>
          <w:sz w:val="28"/>
          <w:szCs w:val="28"/>
          <w:lang w:bidi="he-IL"/>
        </w:rPr>
        <w:t xml:space="preserve">saw a need </w:t>
      </w:r>
      <w:r w:rsidRPr="0006507E">
        <w:rPr>
          <w:spacing w:val="-2"/>
          <w:sz w:val="28"/>
          <w:szCs w:val="28"/>
          <w:lang w:bidi="he-IL"/>
        </w:rPr>
        <w:t xml:space="preserve">(to give her </w:t>
      </w:r>
      <w:r w:rsidRPr="0006507E">
        <w:rPr>
          <w:rFonts w:hint="cs"/>
          <w:spacing w:val="-2"/>
          <w:sz w:val="28"/>
          <w:szCs w:val="28"/>
          <w:rtl/>
          <w:lang w:bidi="he-IL"/>
        </w:rPr>
        <w:t>מאתיים</w:t>
      </w:r>
      <w:r w:rsidRPr="0006507E">
        <w:rPr>
          <w:spacing w:val="-2"/>
          <w:sz w:val="28"/>
          <w:szCs w:val="28"/>
          <w:lang w:bidi="he-IL"/>
        </w:rPr>
        <w:t xml:space="preserve">) </w:t>
      </w:r>
      <w:r w:rsidRPr="0006507E">
        <w:rPr>
          <w:b/>
          <w:bCs/>
          <w:spacing w:val="-2"/>
          <w:sz w:val="28"/>
          <w:szCs w:val="28"/>
          <w:lang w:bidi="he-IL"/>
        </w:rPr>
        <w:t xml:space="preserve">since </w:t>
      </w:r>
      <w:r w:rsidR="0072202B" w:rsidRPr="0006507E">
        <w:rPr>
          <w:b/>
          <w:bCs/>
          <w:spacing w:val="-2"/>
          <w:sz w:val="28"/>
          <w:szCs w:val="28"/>
          <w:lang w:bidi="he-IL"/>
        </w:rPr>
        <w:t>they were scorned -</w:t>
      </w:r>
      <w:r w:rsidRPr="0006507E">
        <w:rPr>
          <w:b/>
          <w:bCs/>
          <w:spacing w:val="-2"/>
          <w:sz w:val="28"/>
          <w:szCs w:val="28"/>
          <w:lang w:bidi="he-IL"/>
        </w:rPr>
        <w:t xml:space="preserve"> </w:t>
      </w:r>
    </w:p>
    <w:p w:rsidR="00970187" w:rsidRPr="0006507E" w:rsidRDefault="00BB78E1" w:rsidP="0006507E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[הילכך מעיקרא לא רצו לשנותה משאר אלמנה </w:t>
      </w:r>
      <w:r w:rsidR="0006507E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72202B" w:rsidRPr="0006507E" w:rsidRDefault="0072202B" w:rsidP="0072202B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[Therefore </w:t>
      </w:r>
      <w:r>
        <w:rPr>
          <w:sz w:val="28"/>
          <w:szCs w:val="28"/>
          <w:lang w:bidi="he-IL"/>
        </w:rPr>
        <w:t xml:space="preserve">we must conclude that </w:t>
      </w:r>
      <w:r>
        <w:rPr>
          <w:b/>
          <w:bCs/>
          <w:sz w:val="28"/>
          <w:szCs w:val="28"/>
          <w:lang w:bidi="he-IL"/>
        </w:rPr>
        <w:t xml:space="preserve">initially they did not want </w:t>
      </w:r>
      <w:r>
        <w:rPr>
          <w:sz w:val="28"/>
          <w:szCs w:val="28"/>
          <w:lang w:bidi="he-IL"/>
        </w:rPr>
        <w:t xml:space="preserve">that </w:t>
      </w:r>
      <w:r>
        <w:rPr>
          <w:rFonts w:hint="cs"/>
          <w:sz w:val="28"/>
          <w:szCs w:val="28"/>
          <w:rtl/>
          <w:lang w:bidi="he-IL"/>
        </w:rPr>
        <w:t>אלמנת כהן</w:t>
      </w:r>
      <w:r>
        <w:rPr>
          <w:sz w:val="28"/>
          <w:szCs w:val="28"/>
          <w:lang w:bidi="he-IL"/>
        </w:rPr>
        <w:t xml:space="preserve"> should </w:t>
      </w:r>
      <w:r>
        <w:rPr>
          <w:b/>
          <w:bCs/>
          <w:sz w:val="28"/>
          <w:szCs w:val="28"/>
          <w:lang w:bidi="he-IL"/>
        </w:rPr>
        <w:t xml:space="preserve">be different from the other 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אלמנות </w:t>
      </w:r>
      <w:r>
        <w:rPr>
          <w:rFonts w:hint="cs"/>
          <w:sz w:val="28"/>
          <w:szCs w:val="28"/>
          <w:rtl/>
          <w:lang w:bidi="he-IL"/>
        </w:rPr>
        <w:t>ישראל</w:t>
      </w:r>
      <w:r>
        <w:rPr>
          <w:sz w:val="28"/>
          <w:szCs w:val="28"/>
          <w:lang w:bidi="he-IL"/>
        </w:rPr>
        <w:t xml:space="preserve"> </w:t>
      </w:r>
      <w:r w:rsidRPr="0006507E">
        <w:rPr>
          <w:sz w:val="24"/>
          <w:szCs w:val="24"/>
          <w:lang w:bidi="he-IL"/>
        </w:rPr>
        <w:t xml:space="preserve">and all received a </w:t>
      </w:r>
      <w:r w:rsidRPr="0006507E">
        <w:rPr>
          <w:rFonts w:hint="cs"/>
          <w:sz w:val="24"/>
          <w:szCs w:val="24"/>
          <w:rtl/>
          <w:lang w:bidi="he-IL"/>
        </w:rPr>
        <w:t>מנה</w:t>
      </w:r>
      <w:r w:rsidRPr="0006507E">
        <w:rPr>
          <w:sz w:val="24"/>
          <w:szCs w:val="24"/>
          <w:lang w:bidi="he-IL"/>
        </w:rPr>
        <w:t xml:space="preserve"> – </w:t>
      </w:r>
    </w:p>
    <w:p w:rsidR="00970187" w:rsidRPr="0006507E" w:rsidRDefault="00BB78E1" w:rsidP="0006507E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וכיון דחזו דקא מזלזלי בהו ראו שהיה צורך תקון להם מאתן </w:t>
      </w:r>
      <w:r w:rsidR="0006507E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72202B" w:rsidRPr="0072202B" w:rsidRDefault="0072202B" w:rsidP="0072202B">
      <w:pPr>
        <w:rPr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But once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חכמים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saw that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אלמנ</w:t>
      </w:r>
      <w:r w:rsidR="001B7F3C">
        <w:rPr>
          <w:rFonts w:hint="cs"/>
          <w:sz w:val="28"/>
          <w:szCs w:val="28"/>
          <w:rtl/>
          <w:lang w:bidi="he-IL"/>
        </w:rPr>
        <w:t>ו</w:t>
      </w:r>
      <w:r>
        <w:rPr>
          <w:rFonts w:hint="cs"/>
          <w:sz w:val="28"/>
          <w:szCs w:val="28"/>
          <w:rtl/>
          <w:lang w:bidi="he-IL"/>
        </w:rPr>
        <w:t>ת כהנים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>were scorned</w:t>
      </w:r>
      <w:r w:rsidR="001B7F3C">
        <w:rPr>
          <w:b/>
          <w:bCs/>
          <w:sz w:val="28"/>
          <w:szCs w:val="28"/>
          <w:lang w:bidi="he-IL"/>
        </w:rPr>
        <w:t>,</w:t>
      </w:r>
      <w:bookmarkStart w:id="0" w:name="_GoBack"/>
      <w:bookmarkEnd w:id="0"/>
      <w:r>
        <w:rPr>
          <w:b/>
          <w:bCs/>
          <w:sz w:val="28"/>
          <w:szCs w:val="28"/>
          <w:lang w:bidi="he-IL"/>
        </w:rPr>
        <w:t xml:space="preserve"> they realized there is a need </w:t>
      </w:r>
      <w:r>
        <w:rPr>
          <w:sz w:val="28"/>
          <w:szCs w:val="28"/>
          <w:lang w:bidi="he-IL"/>
        </w:rPr>
        <w:t xml:space="preserve">to protect them </w:t>
      </w:r>
      <w:r>
        <w:rPr>
          <w:b/>
          <w:bCs/>
          <w:sz w:val="28"/>
          <w:szCs w:val="28"/>
          <w:lang w:bidi="he-IL"/>
        </w:rPr>
        <w:t xml:space="preserve">and they instituted for them </w:t>
      </w:r>
      <w:r>
        <w:rPr>
          <w:sz w:val="28"/>
          <w:szCs w:val="28"/>
          <w:lang w:bidi="he-IL"/>
        </w:rPr>
        <w:t xml:space="preserve">a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 of </w:t>
      </w:r>
      <w:r w:rsidRPr="0072202B">
        <w:rPr>
          <w:rFonts w:hint="cs"/>
          <w:b/>
          <w:bCs/>
          <w:sz w:val="28"/>
          <w:szCs w:val="28"/>
          <w:rtl/>
          <w:lang w:bidi="he-IL"/>
        </w:rPr>
        <w:t>מאתן</w:t>
      </w:r>
      <w:r>
        <w:rPr>
          <w:b/>
          <w:bCs/>
          <w:sz w:val="28"/>
          <w:szCs w:val="28"/>
          <w:lang w:bidi="he-IL"/>
        </w:rPr>
        <w:t xml:space="preserve"> –</w:t>
      </w:r>
    </w:p>
    <w:p w:rsidR="00970187" w:rsidRPr="0006507E" w:rsidRDefault="00BB78E1" w:rsidP="0006507E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וכיון דחזו דפרשי מינייהו אהדרינהו למילתייהו] </w:t>
      </w:r>
      <w:r w:rsidR="0006507E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72202B" w:rsidRPr="0072202B" w:rsidRDefault="0072202B" w:rsidP="0006507E">
      <w:pPr>
        <w:rPr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>B</w:t>
      </w:r>
      <w:r w:rsidR="0006507E">
        <w:rPr>
          <w:b/>
          <w:bCs/>
          <w:sz w:val="28"/>
          <w:szCs w:val="28"/>
          <w:lang w:bidi="he-IL"/>
        </w:rPr>
        <w:t>u</w:t>
      </w:r>
      <w:r>
        <w:rPr>
          <w:b/>
          <w:bCs/>
          <w:sz w:val="28"/>
          <w:szCs w:val="28"/>
          <w:lang w:bidi="he-IL"/>
        </w:rPr>
        <w:t>t one they saw that people are avoiding them</w:t>
      </w:r>
      <w:r w:rsidR="0006507E">
        <w:rPr>
          <w:b/>
          <w:bCs/>
          <w:sz w:val="28"/>
          <w:szCs w:val="28"/>
          <w:lang w:bidi="he-IL"/>
        </w:rPr>
        <w:t>,</w:t>
      </w:r>
      <w:r>
        <w:rPr>
          <w:b/>
          <w:bCs/>
          <w:sz w:val="28"/>
          <w:szCs w:val="28"/>
          <w:lang w:bidi="he-IL"/>
        </w:rPr>
        <w:t xml:space="preserve"> they returned it to their </w:t>
      </w:r>
      <w:r>
        <w:rPr>
          <w:sz w:val="28"/>
          <w:szCs w:val="28"/>
          <w:lang w:bidi="he-IL"/>
        </w:rPr>
        <w:t xml:space="preserve">original </w:t>
      </w:r>
      <w:r>
        <w:rPr>
          <w:b/>
          <w:bCs/>
          <w:sz w:val="28"/>
          <w:szCs w:val="28"/>
          <w:lang w:bidi="he-IL"/>
        </w:rPr>
        <w:t xml:space="preserve">status </w:t>
      </w:r>
      <w:r>
        <w:rPr>
          <w:sz w:val="28"/>
          <w:szCs w:val="28"/>
          <w:lang w:bidi="he-IL"/>
        </w:rPr>
        <w:t xml:space="preserve">of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>] -</w:t>
      </w:r>
    </w:p>
    <w:p w:rsidR="005139AD" w:rsidRPr="0006507E" w:rsidRDefault="00BB78E1" w:rsidP="00970187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06507E">
        <w:rPr>
          <w:rFonts w:ascii="David" w:hAnsi="David" w:cs="David"/>
          <w:b/>
          <w:bCs/>
          <w:sz w:val="28"/>
          <w:szCs w:val="28"/>
          <w:rtl/>
          <w:lang w:bidi="he-IL"/>
        </w:rPr>
        <w:t>ולכך הוצרך לומר שתי תקנות הוו:</w:t>
      </w:r>
    </w:p>
    <w:p w:rsidR="0072202B" w:rsidRPr="0072202B" w:rsidRDefault="0072202B" w:rsidP="0072202B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So therefore it was necessary </w:t>
      </w:r>
      <w:r>
        <w:rPr>
          <w:sz w:val="28"/>
          <w:szCs w:val="28"/>
          <w:lang w:bidi="he-IL"/>
        </w:rPr>
        <w:t xml:space="preserve">for </w:t>
      </w:r>
      <w:r>
        <w:rPr>
          <w:rFonts w:hint="cs"/>
          <w:sz w:val="28"/>
          <w:szCs w:val="28"/>
          <w:rtl/>
          <w:lang w:bidi="he-IL"/>
        </w:rPr>
        <w:t>רב אשי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to state that there were two </w:t>
      </w:r>
      <w:r>
        <w:rPr>
          <w:rFonts w:hint="cs"/>
          <w:b/>
          <w:bCs/>
          <w:sz w:val="28"/>
          <w:szCs w:val="28"/>
          <w:rtl/>
          <w:lang w:bidi="he-IL"/>
        </w:rPr>
        <w:t>תקנות</w:t>
      </w:r>
      <w:r>
        <w:rPr>
          <w:b/>
          <w:bCs/>
          <w:sz w:val="28"/>
          <w:szCs w:val="28"/>
          <w:lang w:bidi="he-IL"/>
        </w:rPr>
        <w:t>.</w:t>
      </w:r>
    </w:p>
    <w:p w:rsidR="00970187" w:rsidRPr="0006507E" w:rsidRDefault="00970187" w:rsidP="00970187">
      <w:pPr>
        <w:bidi/>
        <w:rPr>
          <w:b/>
          <w:bCs/>
          <w:sz w:val="24"/>
          <w:szCs w:val="24"/>
          <w:lang w:bidi="he-IL"/>
        </w:rPr>
      </w:pPr>
    </w:p>
    <w:p w:rsidR="00970187" w:rsidRPr="00970187" w:rsidRDefault="00970187" w:rsidP="00970187">
      <w:pPr>
        <w:rPr>
          <w:rFonts w:ascii="Copperplate Gothic Bold" w:hAnsi="Copperplate Gothic Bold"/>
          <w:sz w:val="28"/>
          <w:szCs w:val="28"/>
          <w:u w:val="double"/>
          <w:lang w:bidi="he-IL"/>
        </w:rPr>
      </w:pPr>
      <w:r w:rsidRPr="00970187">
        <w:rPr>
          <w:rFonts w:ascii="Copperplate Gothic Bold" w:hAnsi="Copperplate Gothic Bold"/>
          <w:sz w:val="28"/>
          <w:szCs w:val="28"/>
          <w:u w:val="double"/>
          <w:lang w:bidi="he-IL"/>
        </w:rPr>
        <w:t>Summary</w:t>
      </w:r>
    </w:p>
    <w:p w:rsidR="00970187" w:rsidRPr="00970187" w:rsidRDefault="0015292C" w:rsidP="0015292C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We cannot say there was only one </w:t>
      </w:r>
      <w:r>
        <w:rPr>
          <w:rFonts w:hint="cs"/>
          <w:sz w:val="28"/>
          <w:szCs w:val="28"/>
          <w:rtl/>
          <w:lang w:bidi="he-IL"/>
        </w:rPr>
        <w:t>תקנה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sz w:val="28"/>
          <w:szCs w:val="28"/>
          <w:rtl/>
          <w:lang w:bidi="he-IL"/>
        </w:rPr>
        <w:t>מאתיים</w:t>
      </w:r>
      <w:r>
        <w:rPr>
          <w:sz w:val="28"/>
          <w:szCs w:val="28"/>
          <w:lang w:bidi="he-IL"/>
        </w:rPr>
        <w:t xml:space="preserve">, for today it is 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. We also cannot say that initially they gave her </w:t>
      </w:r>
      <w:r>
        <w:rPr>
          <w:rFonts w:hint="cs"/>
          <w:sz w:val="28"/>
          <w:szCs w:val="28"/>
          <w:rtl/>
          <w:lang w:bidi="he-IL"/>
        </w:rPr>
        <w:t>מאתיים</w:t>
      </w:r>
      <w:r>
        <w:rPr>
          <w:sz w:val="28"/>
          <w:szCs w:val="28"/>
          <w:lang w:bidi="he-IL"/>
        </w:rPr>
        <w:t xml:space="preserve"> without the reason of </w:t>
      </w:r>
      <w:r>
        <w:rPr>
          <w:rFonts w:hint="cs"/>
          <w:sz w:val="28"/>
          <w:szCs w:val="28"/>
          <w:rtl/>
          <w:lang w:bidi="he-IL"/>
        </w:rPr>
        <w:t>חזו דמזלזלי בהו</w:t>
      </w:r>
      <w:r>
        <w:rPr>
          <w:sz w:val="28"/>
          <w:szCs w:val="28"/>
          <w:lang w:bidi="he-IL"/>
        </w:rPr>
        <w:t>.</w:t>
      </w:r>
    </w:p>
    <w:p w:rsidR="00970187" w:rsidRPr="0006507E" w:rsidRDefault="00970187" w:rsidP="00970187">
      <w:pPr>
        <w:rPr>
          <w:sz w:val="24"/>
          <w:szCs w:val="24"/>
          <w:lang w:bidi="he-IL"/>
        </w:rPr>
      </w:pPr>
    </w:p>
    <w:p w:rsidR="00970187" w:rsidRPr="00970187" w:rsidRDefault="00970187" w:rsidP="00970187">
      <w:pPr>
        <w:rPr>
          <w:rFonts w:ascii="Copperplate Gothic Bold" w:hAnsi="Copperplate Gothic Bold"/>
          <w:sz w:val="28"/>
          <w:szCs w:val="28"/>
          <w:u w:val="double"/>
          <w:lang w:bidi="he-IL"/>
        </w:rPr>
      </w:pPr>
      <w:r w:rsidRPr="00970187">
        <w:rPr>
          <w:rFonts w:ascii="Copperplate Gothic Bold" w:hAnsi="Copperplate Gothic Bold"/>
          <w:sz w:val="28"/>
          <w:szCs w:val="28"/>
          <w:u w:val="double"/>
          <w:lang w:bidi="he-IL"/>
        </w:rPr>
        <w:t>Thinking it over</w:t>
      </w:r>
    </w:p>
    <w:p w:rsidR="00970187" w:rsidRPr="005E6E0A" w:rsidRDefault="005E6E0A" w:rsidP="00970187">
      <w:pPr>
        <w:rPr>
          <w:sz w:val="28"/>
          <w:szCs w:val="28"/>
          <w:lang w:bidi="he-IL"/>
        </w:rPr>
      </w:pPr>
      <w:r w:rsidRPr="005E6E0A"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suggested that initially (when they were </w:t>
      </w:r>
      <w:r>
        <w:rPr>
          <w:rFonts w:hint="cs"/>
          <w:sz w:val="28"/>
          <w:szCs w:val="28"/>
          <w:rtl/>
          <w:lang w:bidi="he-IL"/>
        </w:rPr>
        <w:t>גובה ד' מאות</w:t>
      </w:r>
      <w:r>
        <w:rPr>
          <w:sz w:val="28"/>
          <w:szCs w:val="28"/>
          <w:lang w:bidi="he-IL"/>
        </w:rPr>
        <w:t xml:space="preserve"> for a </w:t>
      </w:r>
      <w:r>
        <w:rPr>
          <w:rFonts w:hint="cs"/>
          <w:sz w:val="28"/>
          <w:szCs w:val="28"/>
          <w:rtl/>
          <w:lang w:bidi="he-IL"/>
        </w:rPr>
        <w:t>בתולה</w:t>
      </w:r>
      <w:r>
        <w:rPr>
          <w:sz w:val="28"/>
          <w:szCs w:val="28"/>
          <w:lang w:bidi="he-IL"/>
        </w:rPr>
        <w:t xml:space="preserve">) they gave an </w:t>
      </w:r>
      <w:r>
        <w:rPr>
          <w:rFonts w:hint="cs"/>
          <w:sz w:val="28"/>
          <w:szCs w:val="28"/>
          <w:rtl/>
          <w:lang w:bidi="he-IL"/>
        </w:rPr>
        <w:t>אלמנה מאתיים</w:t>
      </w:r>
      <w:r>
        <w:rPr>
          <w:sz w:val="28"/>
          <w:szCs w:val="28"/>
          <w:lang w:bidi="he-IL"/>
        </w:rPr>
        <w:t xml:space="preserve"> (which would explain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>).</w:t>
      </w:r>
      <w:r w:rsidR="00486D25">
        <w:rPr>
          <w:rStyle w:val="FootnoteReference"/>
          <w:sz w:val="28"/>
          <w:szCs w:val="28"/>
          <w:lang w:bidi="he-IL"/>
        </w:rPr>
        <w:footnoteReference w:id="7"/>
      </w:r>
      <w:r>
        <w:rPr>
          <w:sz w:val="28"/>
          <w:szCs w:val="28"/>
          <w:lang w:bidi="he-IL"/>
        </w:rPr>
        <w:t xml:space="preserve"> However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states </w:t>
      </w:r>
      <w:r>
        <w:rPr>
          <w:rFonts w:hint="cs"/>
          <w:sz w:val="28"/>
          <w:szCs w:val="28"/>
          <w:rtl/>
          <w:lang w:bidi="he-IL"/>
        </w:rPr>
        <w:t>אלמנת כהנים כתובת</w:t>
      </w:r>
      <w:r w:rsidR="00486D25">
        <w:rPr>
          <w:rFonts w:hint="cs"/>
          <w:sz w:val="28"/>
          <w:szCs w:val="28"/>
          <w:rtl/>
          <w:lang w:bidi="he-IL"/>
        </w:rPr>
        <w:t>ה</w:t>
      </w:r>
      <w:r>
        <w:rPr>
          <w:rFonts w:hint="cs"/>
          <w:sz w:val="28"/>
          <w:szCs w:val="28"/>
          <w:rtl/>
          <w:lang w:bidi="he-IL"/>
        </w:rPr>
        <w:t xml:space="preserve"> מנה</w:t>
      </w:r>
      <w:r>
        <w:rPr>
          <w:sz w:val="28"/>
          <w:szCs w:val="28"/>
          <w:lang w:bidi="he-IL"/>
        </w:rPr>
        <w:t xml:space="preserve"> and then concludes </w:t>
      </w:r>
      <w:r>
        <w:rPr>
          <w:rFonts w:hint="cs"/>
          <w:sz w:val="28"/>
          <w:szCs w:val="28"/>
          <w:rtl/>
          <w:lang w:bidi="he-IL"/>
        </w:rPr>
        <w:t>היו גובין לבתולה ד' מאות</w:t>
      </w:r>
      <w:r>
        <w:rPr>
          <w:sz w:val="28"/>
          <w:szCs w:val="28"/>
          <w:lang w:bidi="he-IL"/>
        </w:rPr>
        <w:t xml:space="preserve">; indicating that when </w:t>
      </w:r>
      <w:r>
        <w:rPr>
          <w:rFonts w:hint="cs"/>
          <w:sz w:val="28"/>
          <w:szCs w:val="28"/>
          <w:rtl/>
          <w:lang w:bidi="he-IL"/>
        </w:rPr>
        <w:t>גובין ד' מאות</w:t>
      </w:r>
      <w:r>
        <w:rPr>
          <w:sz w:val="28"/>
          <w:szCs w:val="28"/>
          <w:lang w:bidi="he-IL"/>
        </w:rPr>
        <w:t xml:space="preserve"> for a </w:t>
      </w:r>
      <w:r>
        <w:rPr>
          <w:rFonts w:hint="cs"/>
          <w:sz w:val="28"/>
          <w:szCs w:val="28"/>
          <w:rtl/>
          <w:lang w:bidi="he-IL"/>
        </w:rPr>
        <w:t>בתולה</w:t>
      </w:r>
      <w:r>
        <w:rPr>
          <w:sz w:val="28"/>
          <w:szCs w:val="28"/>
          <w:lang w:bidi="he-IL"/>
        </w:rPr>
        <w:t xml:space="preserve"> </w:t>
      </w:r>
      <w:proofErr w:type="gramStart"/>
      <w:r>
        <w:rPr>
          <w:sz w:val="28"/>
          <w:szCs w:val="28"/>
          <w:lang w:bidi="he-IL"/>
        </w:rPr>
        <w:t>an</w:t>
      </w:r>
      <w:proofErr w:type="gramEnd"/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אלמנה</w:t>
      </w:r>
      <w:r>
        <w:rPr>
          <w:sz w:val="28"/>
          <w:szCs w:val="28"/>
          <w:lang w:bidi="he-IL"/>
        </w:rPr>
        <w:t xml:space="preserve"> received only 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>!</w:t>
      </w:r>
      <w:r>
        <w:rPr>
          <w:rStyle w:val="FootnoteReference"/>
          <w:sz w:val="28"/>
          <w:szCs w:val="28"/>
          <w:lang w:bidi="he-IL"/>
        </w:rPr>
        <w:footnoteReference w:id="8"/>
      </w:r>
    </w:p>
    <w:sectPr w:rsidR="00970187" w:rsidRPr="005E6E0A" w:rsidSect="00642F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D79" w:rsidRDefault="002E7D79" w:rsidP="007F1846">
      <w:pPr>
        <w:spacing w:line="240" w:lineRule="auto"/>
      </w:pPr>
      <w:r>
        <w:separator/>
      </w:r>
    </w:p>
  </w:endnote>
  <w:endnote w:type="continuationSeparator" w:id="0">
    <w:p w:rsidR="002E7D79" w:rsidRDefault="002E7D79" w:rsidP="007F18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6542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0F63" w:rsidRDefault="00B20F63">
        <w:pPr>
          <w:pStyle w:val="Footer"/>
          <w:jc w:val="center"/>
          <w:rPr>
            <w:noProof/>
            <w:sz w:val="16"/>
            <w:szCs w:val="16"/>
            <w:rtl/>
            <w:lang w:bidi="he-IL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F3C">
          <w:rPr>
            <w:noProof/>
          </w:rPr>
          <w:t>2</w:t>
        </w:r>
        <w:r>
          <w:rPr>
            <w:noProof/>
          </w:rPr>
          <w:fldChar w:fldCharType="end"/>
        </w:r>
      </w:p>
      <w:p w:rsidR="00B20F63" w:rsidRDefault="00B20F63">
        <w:pPr>
          <w:pStyle w:val="Footer"/>
          <w:jc w:val="center"/>
        </w:pPr>
        <w:r>
          <w:rPr>
            <w:noProof/>
            <w:sz w:val="16"/>
            <w:szCs w:val="16"/>
            <w:lang w:bidi="he-IL"/>
          </w:rPr>
          <w:t>TosfosInEnglish.com</w:t>
        </w:r>
      </w:p>
    </w:sdtContent>
  </w:sdt>
  <w:p w:rsidR="00B20F63" w:rsidRDefault="00B20F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D79" w:rsidRDefault="002E7D79" w:rsidP="007F1846">
      <w:pPr>
        <w:spacing w:line="240" w:lineRule="auto"/>
      </w:pPr>
      <w:r>
        <w:separator/>
      </w:r>
    </w:p>
  </w:footnote>
  <w:footnote w:type="continuationSeparator" w:id="0">
    <w:p w:rsidR="002E7D79" w:rsidRDefault="002E7D79" w:rsidP="007F1846">
      <w:pPr>
        <w:spacing w:line="240" w:lineRule="auto"/>
      </w:pPr>
      <w:r>
        <w:continuationSeparator/>
      </w:r>
    </w:p>
  </w:footnote>
  <w:footnote w:id="1">
    <w:p w:rsidR="00D31B0E" w:rsidRDefault="00D31B0E" w:rsidP="0006507E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This (according to the </w:t>
      </w:r>
      <w:r>
        <w:rPr>
          <w:rFonts w:hint="cs"/>
          <w:rtl/>
          <w:lang w:bidi="he-IL"/>
        </w:rPr>
        <w:t>רדב"ז</w:t>
      </w:r>
      <w:r>
        <w:rPr>
          <w:lang w:bidi="he-IL"/>
        </w:rPr>
        <w:t xml:space="preserve">) is </w:t>
      </w:r>
      <w:r w:rsidR="007453EB">
        <w:rPr>
          <w:rFonts w:hint="cs"/>
          <w:rtl/>
          <w:lang w:bidi="he-IL"/>
        </w:rPr>
        <w:t>שיטת רש"י</w:t>
      </w:r>
      <w:r w:rsidR="007453EB">
        <w:rPr>
          <w:lang w:bidi="he-IL"/>
        </w:rPr>
        <w:t xml:space="preserve"> (that the original </w:t>
      </w:r>
      <w:r w:rsidR="007453EB">
        <w:rPr>
          <w:rFonts w:hint="cs"/>
          <w:rtl/>
          <w:lang w:bidi="he-IL"/>
        </w:rPr>
        <w:t>כתובת אלמנה מנה</w:t>
      </w:r>
      <w:r w:rsidR="007453EB">
        <w:rPr>
          <w:lang w:bidi="he-IL"/>
        </w:rPr>
        <w:t xml:space="preserve"> is not a </w:t>
      </w:r>
      <w:r w:rsidR="007453EB">
        <w:rPr>
          <w:rFonts w:hint="cs"/>
          <w:rtl/>
          <w:lang w:bidi="he-IL"/>
        </w:rPr>
        <w:t>תקנה</w:t>
      </w:r>
      <w:r w:rsidR="007453EB">
        <w:rPr>
          <w:lang w:bidi="he-IL"/>
        </w:rPr>
        <w:t xml:space="preserve"> but rather </w:t>
      </w:r>
      <w:r w:rsidR="007453EB">
        <w:rPr>
          <w:rFonts w:hint="cs"/>
          <w:rtl/>
          <w:lang w:bidi="he-IL"/>
        </w:rPr>
        <w:t>מעיקר הדין</w:t>
      </w:r>
      <w:r w:rsidR="007453EB">
        <w:rPr>
          <w:lang w:bidi="he-IL"/>
        </w:rPr>
        <w:t xml:space="preserve">). An alternate explanation is that the first </w:t>
      </w:r>
      <w:r w:rsidR="007453EB">
        <w:rPr>
          <w:rFonts w:hint="cs"/>
          <w:rtl/>
          <w:lang w:bidi="he-IL"/>
        </w:rPr>
        <w:t>תקנה</w:t>
      </w:r>
      <w:r w:rsidR="007453EB">
        <w:rPr>
          <w:lang w:bidi="he-IL"/>
        </w:rPr>
        <w:t xml:space="preserve"> was </w:t>
      </w:r>
      <w:r w:rsidR="007453EB">
        <w:rPr>
          <w:rFonts w:hint="cs"/>
          <w:rtl/>
          <w:lang w:bidi="he-IL"/>
        </w:rPr>
        <w:t>מנה</w:t>
      </w:r>
      <w:r w:rsidR="007453EB">
        <w:rPr>
          <w:lang w:bidi="he-IL"/>
        </w:rPr>
        <w:t xml:space="preserve"> and the second was </w:t>
      </w:r>
      <w:r w:rsidR="007453EB">
        <w:rPr>
          <w:rFonts w:hint="cs"/>
          <w:rtl/>
          <w:lang w:bidi="he-IL"/>
        </w:rPr>
        <w:t>מאתיים</w:t>
      </w:r>
      <w:r w:rsidR="007453EB">
        <w:rPr>
          <w:lang w:bidi="he-IL"/>
        </w:rPr>
        <w:t xml:space="preserve"> (and </w:t>
      </w:r>
      <w:r w:rsidR="007453EB">
        <w:rPr>
          <w:rFonts w:hint="cs"/>
          <w:rtl/>
          <w:lang w:bidi="he-IL"/>
        </w:rPr>
        <w:t>אהדרינהו למילתייהו</w:t>
      </w:r>
      <w:r w:rsidR="007453EB">
        <w:rPr>
          <w:lang w:bidi="he-IL"/>
        </w:rPr>
        <w:t xml:space="preserve"> is not considered a ‘new’ </w:t>
      </w:r>
      <w:r w:rsidR="007453EB">
        <w:rPr>
          <w:rFonts w:hint="cs"/>
          <w:rtl/>
          <w:lang w:bidi="he-IL"/>
        </w:rPr>
        <w:t>תקנה</w:t>
      </w:r>
      <w:r w:rsidR="007453EB">
        <w:rPr>
          <w:lang w:bidi="he-IL"/>
        </w:rPr>
        <w:t xml:space="preserve"> but rather reverting to the original </w:t>
      </w:r>
      <w:r w:rsidR="007453EB">
        <w:rPr>
          <w:rFonts w:hint="cs"/>
          <w:rtl/>
          <w:lang w:bidi="he-IL"/>
        </w:rPr>
        <w:t>תקנה</w:t>
      </w:r>
      <w:r w:rsidR="007453EB">
        <w:rPr>
          <w:lang w:bidi="he-IL"/>
        </w:rPr>
        <w:t>).</w:t>
      </w:r>
    </w:p>
  </w:footnote>
  <w:footnote w:id="2">
    <w:p w:rsidR="00D31B0E" w:rsidRDefault="00D31B0E" w:rsidP="0006507E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תקנה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מאתיים לאלמנת כהנים</w:t>
      </w:r>
      <w:r>
        <w:rPr>
          <w:lang w:bidi="he-IL"/>
        </w:rPr>
        <w:t xml:space="preserve"> since (as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states) </w:t>
      </w:r>
      <w:r w:rsidRPr="00D31B0E">
        <w:rPr>
          <w:rtl/>
          <w:lang w:bidi="he-IL"/>
        </w:rPr>
        <w:t>דחזו דמזלזלי בהו וכו</w:t>
      </w:r>
      <w:r>
        <w:rPr>
          <w:rFonts w:hint="cs"/>
          <w:rtl/>
          <w:lang w:bidi="he-IL"/>
        </w:rPr>
        <w:t>'</w:t>
      </w:r>
    </w:p>
  </w:footnote>
  <w:footnote w:id="3">
    <w:p w:rsidR="00CD53FE" w:rsidRDefault="00CD53FE" w:rsidP="0006507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advantage of this proposed answer is twofold; firstly that there is only one </w:t>
      </w:r>
      <w:r>
        <w:rPr>
          <w:rFonts w:hint="cs"/>
          <w:rtl/>
          <w:lang w:bidi="he-IL"/>
        </w:rPr>
        <w:t>תקנה</w:t>
      </w:r>
      <w:r>
        <w:rPr>
          <w:lang w:bidi="he-IL"/>
        </w:rPr>
        <w:t xml:space="preserve">, and secondly since presumably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is usually post-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therefore it is better to assume that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is discussing a later period than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>; however according to the s</w:t>
      </w:r>
      <w:r>
        <w:rPr>
          <w:rFonts w:hint="cs"/>
          <w:rtl/>
          <w:lang w:bidi="he-IL"/>
        </w:rPr>
        <w:t>גמרא'</w:t>
      </w:r>
      <w:r>
        <w:rPr>
          <w:lang w:bidi="he-IL"/>
        </w:rPr>
        <w:t xml:space="preserve"> answer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discussing the later period.</w:t>
      </w:r>
      <w:r>
        <w:t xml:space="preserve"> </w:t>
      </w:r>
    </w:p>
  </w:footnote>
  <w:footnote w:id="4">
    <w:p w:rsidR="006B3C24" w:rsidRPr="00A17BF4" w:rsidRDefault="006B3C24" w:rsidP="0006507E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This proposed solution is suggesting that instead of three phases [1) initially </w:t>
      </w:r>
      <w:r>
        <w:rPr>
          <w:rFonts w:hint="cs"/>
          <w:rtl/>
          <w:lang w:bidi="he-IL"/>
        </w:rPr>
        <w:t>תקנו לבתולה ד' מאות ולאלמנה מנה</w:t>
      </w:r>
      <w:r>
        <w:rPr>
          <w:lang w:bidi="he-IL"/>
        </w:rPr>
        <w:t xml:space="preserve">, 2) </w:t>
      </w:r>
      <w:r>
        <w:rPr>
          <w:rFonts w:hint="cs"/>
          <w:rtl/>
          <w:lang w:bidi="he-IL"/>
        </w:rPr>
        <w:t>כיון דחזו דמזלזלי בהו תקינו לה מאתן</w:t>
      </w:r>
      <w:r>
        <w:rPr>
          <w:lang w:bidi="he-IL"/>
        </w:rPr>
        <w:t xml:space="preserve">, and finally 3) </w:t>
      </w:r>
      <w:r>
        <w:rPr>
          <w:rFonts w:hint="cs"/>
          <w:rtl/>
          <w:lang w:bidi="he-IL"/>
        </w:rPr>
        <w:t>כיון דחזו דקא פרשין וכו' אהדרינהו למילתייהו</w:t>
      </w:r>
      <w:r>
        <w:rPr>
          <w:lang w:bidi="he-IL"/>
        </w:rPr>
        <w:t>]; there will only be two phases [1)</w:t>
      </w:r>
      <w:r>
        <w:rPr>
          <w:rFonts w:hint="cs"/>
          <w:rtl/>
          <w:lang w:bidi="he-IL"/>
        </w:rPr>
        <w:t xml:space="preserve"> תקנו לבתולה ד' מאות ולאלמנה </w:t>
      </w:r>
      <w:r>
        <w:rPr>
          <w:rFonts w:hint="cs"/>
          <w:u w:val="single"/>
          <w:rtl/>
          <w:lang w:bidi="he-IL"/>
        </w:rPr>
        <w:t>מאתיים</w:t>
      </w:r>
      <w:r>
        <w:rPr>
          <w:lang w:bidi="he-IL"/>
        </w:rPr>
        <w:t xml:space="preserve">, and 2) </w:t>
      </w:r>
      <w:r>
        <w:rPr>
          <w:rFonts w:hint="cs"/>
          <w:rtl/>
          <w:lang w:bidi="he-IL"/>
        </w:rPr>
        <w:t>אהדרינהו למילתייהו</w:t>
      </w:r>
      <w:r>
        <w:rPr>
          <w:lang w:bidi="he-IL"/>
        </w:rPr>
        <w:t xml:space="preserve">]. It will therefore be (considered as) one </w:t>
      </w:r>
      <w:r>
        <w:rPr>
          <w:rFonts w:hint="cs"/>
          <w:rtl/>
          <w:lang w:bidi="he-IL"/>
        </w:rPr>
        <w:t>תקנה</w:t>
      </w:r>
      <w:r>
        <w:rPr>
          <w:lang w:bidi="he-IL"/>
        </w:rPr>
        <w:t xml:space="preserve"> only. This proposed answer is better understood if we assume the alternate view in footnote # 1.</w:t>
      </w:r>
      <w:r w:rsidR="005E6E0A">
        <w:rPr>
          <w:lang w:bidi="he-IL"/>
        </w:rPr>
        <w:t xml:space="preserve"> </w:t>
      </w:r>
      <w:proofErr w:type="gramStart"/>
      <w:r w:rsidR="005E6E0A">
        <w:rPr>
          <w:lang w:bidi="he-IL"/>
        </w:rPr>
        <w:t>See ‘Thinking it over’.</w:t>
      </w:r>
      <w:proofErr w:type="gramEnd"/>
    </w:p>
  </w:footnote>
  <w:footnote w:id="5">
    <w:p w:rsidR="006B3C24" w:rsidRDefault="006B3C24" w:rsidP="0006507E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="0015292C">
        <w:rPr>
          <w:lang w:bidi="he-IL"/>
        </w:rPr>
        <w:t>According to this proposed solution, the reason the</w:t>
      </w:r>
      <w:r w:rsidR="005E6E0A">
        <w:rPr>
          <w:lang w:bidi="he-IL"/>
        </w:rPr>
        <w:t>y</w:t>
      </w:r>
      <w:r w:rsidR="0015292C">
        <w:rPr>
          <w:lang w:bidi="he-IL"/>
        </w:rPr>
        <w:t xml:space="preserve"> gave </w:t>
      </w:r>
      <w:r w:rsidR="0015292C">
        <w:rPr>
          <w:rFonts w:hint="cs"/>
          <w:rtl/>
          <w:lang w:bidi="he-IL"/>
        </w:rPr>
        <w:t>אלמנת כהנים מאתיים</w:t>
      </w:r>
      <w:r w:rsidR="0015292C">
        <w:rPr>
          <w:lang w:bidi="he-IL"/>
        </w:rPr>
        <w:t xml:space="preserve"> was not because of </w:t>
      </w:r>
      <w:r w:rsidR="0015292C">
        <w:rPr>
          <w:rFonts w:hint="cs"/>
          <w:rtl/>
          <w:lang w:bidi="he-IL"/>
        </w:rPr>
        <w:t>חזו דמזלזלי בהו</w:t>
      </w:r>
      <w:r w:rsidR="0015292C">
        <w:rPr>
          <w:lang w:bidi="he-IL"/>
        </w:rPr>
        <w:t xml:space="preserve"> (as is evident from later in this </w:t>
      </w:r>
      <w:r w:rsidR="0015292C" w:rsidRPr="0015292C">
        <w:rPr>
          <w:rtl/>
          <w:lang w:bidi="he-IL"/>
        </w:rPr>
        <w:t>תוסופות</w:t>
      </w:r>
      <w:r w:rsidR="0015292C">
        <w:rPr>
          <w:lang w:bidi="he-IL"/>
        </w:rPr>
        <w:t>, see footnote #</w:t>
      </w:r>
      <w:r w:rsidR="001B7F3C">
        <w:rPr>
          <w:rFonts w:hint="cs"/>
          <w:rtl/>
          <w:lang w:bidi="he-IL"/>
        </w:rPr>
        <w:t xml:space="preserve"> </w:t>
      </w:r>
      <w:r w:rsidR="0015292C">
        <w:rPr>
          <w:lang w:bidi="he-IL"/>
        </w:rPr>
        <w:t xml:space="preserve">6), but rather </w:t>
      </w:r>
      <w:r w:rsidR="0015292C">
        <w:rPr>
          <w:rFonts w:hint="cs"/>
          <w:rtl/>
          <w:lang w:bidi="he-IL"/>
        </w:rPr>
        <w:t>מעלה עשו בכהונה</w:t>
      </w:r>
      <w:r w:rsidR="0015292C">
        <w:rPr>
          <w:lang w:bidi="he-IL"/>
        </w:rPr>
        <w:t xml:space="preserve"> (as they did by </w:t>
      </w:r>
      <w:r w:rsidR="0015292C">
        <w:rPr>
          <w:rFonts w:hint="cs"/>
          <w:rtl/>
          <w:lang w:bidi="he-IL"/>
        </w:rPr>
        <w:t>בתולת כהן</w:t>
      </w:r>
      <w:r w:rsidR="0015292C">
        <w:rPr>
          <w:lang w:bidi="he-IL"/>
        </w:rPr>
        <w:t xml:space="preserve">). </w:t>
      </w:r>
    </w:p>
  </w:footnote>
  <w:footnote w:id="6">
    <w:p w:rsidR="0015292C" w:rsidRDefault="0015292C" w:rsidP="0006507E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footnote # 5.</w:t>
      </w:r>
    </w:p>
  </w:footnote>
  <w:footnote w:id="7">
    <w:p w:rsidR="00486D25" w:rsidRDefault="00486D25" w:rsidP="00486D25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footnote # 4.</w:t>
      </w:r>
    </w:p>
  </w:footnote>
  <w:footnote w:id="8">
    <w:p w:rsidR="005E6E0A" w:rsidRDefault="005E6E0A" w:rsidP="00486D25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F63" w:rsidRPr="00B20F63" w:rsidRDefault="00B20F63" w:rsidP="00B20F63">
    <w:pPr>
      <w:pStyle w:val="Header"/>
      <w:bidi/>
      <w:rPr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 יב,א תוס' ד"ה שתי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321"/>
  <w:drawingGridVerticalSpacing w:val="4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E1"/>
    <w:rsid w:val="0006507E"/>
    <w:rsid w:val="000D450C"/>
    <w:rsid w:val="0015292C"/>
    <w:rsid w:val="001B7F3C"/>
    <w:rsid w:val="002E7D79"/>
    <w:rsid w:val="002F3BB0"/>
    <w:rsid w:val="003C2EE6"/>
    <w:rsid w:val="003D72ED"/>
    <w:rsid w:val="00486D25"/>
    <w:rsid w:val="005139AD"/>
    <w:rsid w:val="005E6E0A"/>
    <w:rsid w:val="00642F83"/>
    <w:rsid w:val="006B3C24"/>
    <w:rsid w:val="006F2573"/>
    <w:rsid w:val="0072202B"/>
    <w:rsid w:val="007453EB"/>
    <w:rsid w:val="007B2FB2"/>
    <w:rsid w:val="007F1846"/>
    <w:rsid w:val="00970187"/>
    <w:rsid w:val="0099286B"/>
    <w:rsid w:val="00A17BF4"/>
    <w:rsid w:val="00B11FC1"/>
    <w:rsid w:val="00B20F63"/>
    <w:rsid w:val="00B41A0F"/>
    <w:rsid w:val="00BB78E1"/>
    <w:rsid w:val="00C75E25"/>
    <w:rsid w:val="00C7730E"/>
    <w:rsid w:val="00CD0363"/>
    <w:rsid w:val="00CD53FE"/>
    <w:rsid w:val="00D31B0E"/>
    <w:rsid w:val="00FC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F184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1846"/>
  </w:style>
  <w:style w:type="character" w:styleId="FootnoteReference">
    <w:name w:val="footnote reference"/>
    <w:basedOn w:val="DefaultParagraphFont"/>
    <w:uiPriority w:val="99"/>
    <w:semiHidden/>
    <w:unhideWhenUsed/>
    <w:rsid w:val="007F184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17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F4"/>
  </w:style>
  <w:style w:type="paragraph" w:styleId="Footer">
    <w:name w:val="footer"/>
    <w:basedOn w:val="Normal"/>
    <w:link w:val="FooterChar"/>
    <w:uiPriority w:val="99"/>
    <w:unhideWhenUsed/>
    <w:rsid w:val="00A17B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F184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1846"/>
  </w:style>
  <w:style w:type="character" w:styleId="FootnoteReference">
    <w:name w:val="footnote reference"/>
    <w:basedOn w:val="DefaultParagraphFont"/>
    <w:uiPriority w:val="99"/>
    <w:semiHidden/>
    <w:unhideWhenUsed/>
    <w:rsid w:val="007F184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17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F4"/>
  </w:style>
  <w:style w:type="paragraph" w:styleId="Footer">
    <w:name w:val="footer"/>
    <w:basedOn w:val="Normal"/>
    <w:link w:val="FooterChar"/>
    <w:uiPriority w:val="99"/>
    <w:unhideWhenUsed/>
    <w:rsid w:val="00A17B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Ephraim</cp:lastModifiedBy>
  <cp:revision>9</cp:revision>
  <cp:lastPrinted>2015-12-23T02:28:00Z</cp:lastPrinted>
  <dcterms:created xsi:type="dcterms:W3CDTF">2015-08-27T16:55:00Z</dcterms:created>
  <dcterms:modified xsi:type="dcterms:W3CDTF">2016-05-03T22:04:00Z</dcterms:modified>
</cp:coreProperties>
</file>