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66" w:rsidRPr="005C4B66" w:rsidRDefault="00981709" w:rsidP="00C15AF0">
      <w:pPr>
        <w:bidi/>
        <w:rPr>
          <w:b w:val="0"/>
          <w:bCs w:val="0"/>
          <w:i/>
          <w:iCs/>
        </w:rPr>
      </w:pPr>
      <w:r w:rsidRPr="005C4B66">
        <w:rPr>
          <w:sz w:val="36"/>
          <w:szCs w:val="36"/>
          <w:rtl/>
        </w:rPr>
        <w:t>בית</w:t>
      </w:r>
      <w:r w:rsidR="00727A0A">
        <w:rPr>
          <w:rStyle w:val="FootnoteReference"/>
          <w:sz w:val="36"/>
          <w:szCs w:val="36"/>
          <w:rtl/>
        </w:rPr>
        <w:footnoteReference w:id="1"/>
      </w:r>
      <w:r>
        <w:t xml:space="preserve"> </w:t>
      </w:r>
      <w:r w:rsidRPr="005C4B66">
        <w:rPr>
          <w:sz w:val="32"/>
          <w:szCs w:val="32"/>
          <w:rtl/>
        </w:rPr>
        <w:t>דין של כהנים היו גובין כו</w:t>
      </w:r>
      <w:r w:rsidR="005C4B66">
        <w:rPr>
          <w:rFonts w:hint="cs"/>
          <w:sz w:val="32"/>
          <w:szCs w:val="32"/>
          <w:rtl/>
        </w:rPr>
        <w:t>לי</w:t>
      </w:r>
      <w:r w:rsidRPr="005C4B66">
        <w:rPr>
          <w:sz w:val="32"/>
          <w:szCs w:val="32"/>
          <w:rtl/>
        </w:rPr>
        <w:t xml:space="preserve"> ולא מיחו בידם חכמים</w:t>
      </w:r>
      <w:r w:rsidR="005C4B66">
        <w:rPr>
          <w:rFonts w:hint="cs"/>
          <w:sz w:val="32"/>
          <w:szCs w:val="32"/>
          <w:rtl/>
        </w:rPr>
        <w:t xml:space="preserve"> </w:t>
      </w:r>
      <w:r w:rsidR="005C4B66">
        <w:rPr>
          <w:sz w:val="32"/>
          <w:szCs w:val="32"/>
          <w:rtl/>
        </w:rPr>
        <w:t>–</w:t>
      </w:r>
      <w:r w:rsidR="005C4B66">
        <w:rPr>
          <w:rFonts w:hint="cs"/>
          <w:sz w:val="32"/>
          <w:szCs w:val="32"/>
          <w:rtl/>
        </w:rPr>
        <w:t xml:space="preserve"> </w:t>
      </w:r>
      <w:r w:rsidR="00BE2EFF">
        <w:rPr>
          <w:sz w:val="32"/>
          <w:szCs w:val="32"/>
        </w:rPr>
        <w:t>T</w:t>
      </w:r>
      <w:r w:rsidR="005C4B66">
        <w:rPr>
          <w:sz w:val="32"/>
          <w:szCs w:val="32"/>
        </w:rPr>
        <w:t xml:space="preserve">he </w:t>
      </w:r>
      <w:proofErr w:type="spellStart"/>
      <w:r w:rsidR="005C4B66">
        <w:rPr>
          <w:i/>
          <w:iCs/>
          <w:sz w:val="32"/>
          <w:szCs w:val="32"/>
        </w:rPr>
        <w:t>Bais</w:t>
      </w:r>
      <w:proofErr w:type="spellEnd"/>
      <w:r w:rsidR="005C4B66">
        <w:rPr>
          <w:i/>
          <w:iCs/>
          <w:sz w:val="32"/>
          <w:szCs w:val="32"/>
        </w:rPr>
        <w:t xml:space="preserve"> Din</w:t>
      </w:r>
      <w:r w:rsidR="005C4B66">
        <w:rPr>
          <w:b w:val="0"/>
          <w:bCs w:val="0"/>
          <w:i/>
          <w:iCs/>
          <w:sz w:val="32"/>
          <w:szCs w:val="32"/>
        </w:rPr>
        <w:t xml:space="preserve"> </w:t>
      </w:r>
      <w:r w:rsidR="005C4B66">
        <w:rPr>
          <w:sz w:val="32"/>
          <w:szCs w:val="32"/>
        </w:rPr>
        <w:t>of the</w:t>
      </w:r>
      <w:r w:rsidR="00A8373C">
        <w:rPr>
          <w:sz w:val="16"/>
          <w:szCs w:val="16"/>
        </w:rPr>
        <w:t xml:space="preserve"> </w:t>
      </w:r>
      <w:proofErr w:type="spellStart"/>
      <w:r w:rsidR="005C4B66">
        <w:rPr>
          <w:i/>
          <w:iCs/>
          <w:sz w:val="32"/>
          <w:szCs w:val="32"/>
        </w:rPr>
        <w:t>Kohanim</w:t>
      </w:r>
      <w:proofErr w:type="spellEnd"/>
      <w:r w:rsidR="005C4B66">
        <w:rPr>
          <w:sz w:val="32"/>
          <w:szCs w:val="32"/>
        </w:rPr>
        <w:t xml:space="preserve"> would collect, etc. </w:t>
      </w:r>
      <w:proofErr w:type="gramStart"/>
      <w:r w:rsidR="005C4B66">
        <w:rPr>
          <w:sz w:val="32"/>
          <w:szCs w:val="32"/>
        </w:rPr>
        <w:t>and</w:t>
      </w:r>
      <w:proofErr w:type="gramEnd"/>
      <w:r w:rsidR="005C4B66">
        <w:rPr>
          <w:sz w:val="32"/>
          <w:szCs w:val="32"/>
        </w:rPr>
        <w:t xml:space="preserve"> the </w:t>
      </w:r>
      <w:proofErr w:type="spellStart"/>
      <w:r w:rsidR="005C4B66">
        <w:rPr>
          <w:i/>
          <w:iCs/>
          <w:sz w:val="32"/>
          <w:szCs w:val="32"/>
        </w:rPr>
        <w:t>Chachomim</w:t>
      </w:r>
      <w:proofErr w:type="spellEnd"/>
      <w:r w:rsidR="005C4B66">
        <w:rPr>
          <w:i/>
          <w:iCs/>
          <w:sz w:val="32"/>
          <w:szCs w:val="32"/>
        </w:rPr>
        <w:t xml:space="preserve"> </w:t>
      </w:r>
      <w:r w:rsidR="005C4B66" w:rsidRPr="005C4B66">
        <w:rPr>
          <w:sz w:val="32"/>
          <w:szCs w:val="32"/>
        </w:rPr>
        <w:t>did not protest</w:t>
      </w:r>
      <w:r w:rsidR="00A8373C">
        <w:rPr>
          <w:sz w:val="32"/>
          <w:szCs w:val="32"/>
        </w:rPr>
        <w:t xml:space="preserve"> it </w:t>
      </w:r>
      <w:r w:rsidR="002D5272">
        <w:rPr>
          <w:sz w:val="16"/>
          <w:szCs w:val="16"/>
        </w:rPr>
        <w:t xml:space="preserve"> </w:t>
      </w:r>
      <w:bookmarkStart w:id="0" w:name="_GoBack"/>
      <w:bookmarkEnd w:id="0"/>
      <w:r w:rsidR="0093758B">
        <w:rPr>
          <w:sz w:val="16"/>
          <w:szCs w:val="16"/>
        </w:rPr>
        <w:t xml:space="preserve"> </w:t>
      </w:r>
      <w:r w:rsidR="00A8373C">
        <w:rPr>
          <w:sz w:val="32"/>
          <w:szCs w:val="32"/>
        </w:rPr>
        <w:t xml:space="preserve"> </w:t>
      </w:r>
      <w:r w:rsidR="00C15AF0">
        <w:rPr>
          <w:sz w:val="32"/>
          <w:szCs w:val="32"/>
        </w:rPr>
        <w:t xml:space="preserve"> </w:t>
      </w:r>
      <w:r w:rsidR="00C15AF0">
        <w:rPr>
          <w:sz w:val="16"/>
          <w:szCs w:val="16"/>
        </w:rPr>
        <w:t xml:space="preserve">  </w:t>
      </w:r>
    </w:p>
    <w:p w:rsidR="005C4B66" w:rsidRDefault="005C4B66" w:rsidP="005C4B66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5C4B66" w:rsidRDefault="005C4B66" w:rsidP="005C4B66">
      <w:pPr>
        <w:rPr>
          <w:rFonts w:ascii="Copperplate Gothic Bold" w:hAnsi="Copperplate Gothic Bold"/>
          <w:b w:val="0"/>
          <w:bCs w:val="0"/>
          <w:u w:val="double"/>
        </w:rPr>
      </w:pPr>
      <w:r w:rsidRPr="005C4B6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C4B66" w:rsidRPr="005C4B66" w:rsidRDefault="005C4B66" w:rsidP="004023CB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The </w:t>
      </w:r>
      <w:r>
        <w:rPr>
          <w:rFonts w:asciiTheme="majorBidi" w:hAnsiTheme="majorBidi" w:cstheme="majorBidi" w:hint="cs"/>
          <w:b w:val="0"/>
          <w:bCs w:val="0"/>
          <w:rtl/>
        </w:rPr>
        <w:t>משנה</w:t>
      </w:r>
      <w:r>
        <w:rPr>
          <w:rFonts w:asciiTheme="majorBidi" w:hAnsiTheme="majorBidi" w:cstheme="majorBidi"/>
          <w:b w:val="0"/>
          <w:bCs w:val="0"/>
        </w:rPr>
        <w:t xml:space="preserve"> teaches us that the </w:t>
      </w:r>
      <w:r>
        <w:rPr>
          <w:rFonts w:asciiTheme="majorBidi" w:hAnsiTheme="majorBidi" w:cstheme="majorBidi" w:hint="cs"/>
          <w:b w:val="0"/>
          <w:bCs w:val="0"/>
          <w:rtl/>
        </w:rPr>
        <w:t>בי"ד של כהנים</w:t>
      </w:r>
      <w:r>
        <w:rPr>
          <w:rFonts w:asciiTheme="majorBidi" w:hAnsiTheme="majorBidi" w:cstheme="majorBidi"/>
          <w:b w:val="0"/>
          <w:bCs w:val="0"/>
        </w:rPr>
        <w:t xml:space="preserve"> would collect four hundred </w:t>
      </w:r>
      <w:r>
        <w:rPr>
          <w:rFonts w:asciiTheme="majorBidi" w:hAnsiTheme="majorBidi" w:cstheme="majorBidi" w:hint="cs"/>
          <w:b w:val="0"/>
          <w:bCs w:val="0"/>
          <w:rtl/>
        </w:rPr>
        <w:t>זוז</w:t>
      </w:r>
      <w:r>
        <w:rPr>
          <w:rFonts w:asciiTheme="majorBidi" w:hAnsiTheme="majorBidi" w:cstheme="majorBidi"/>
          <w:b w:val="0"/>
          <w:bCs w:val="0"/>
        </w:rPr>
        <w:t xml:space="preserve"> for the </w:t>
      </w:r>
      <w:r>
        <w:rPr>
          <w:rFonts w:asciiTheme="majorBidi" w:hAnsiTheme="majorBidi" w:cstheme="majorBidi" w:hint="cs"/>
          <w:b w:val="0"/>
          <w:bCs w:val="0"/>
          <w:rtl/>
        </w:rPr>
        <w:t>כתובה</w:t>
      </w:r>
      <w:r>
        <w:rPr>
          <w:rFonts w:asciiTheme="majorBidi" w:hAnsiTheme="majorBidi" w:cstheme="majorBidi"/>
          <w:b w:val="0"/>
          <w:bCs w:val="0"/>
        </w:rPr>
        <w:t xml:space="preserve"> of a </w:t>
      </w:r>
      <w:r>
        <w:rPr>
          <w:rFonts w:asciiTheme="majorBidi" w:hAnsiTheme="majorBidi" w:cstheme="majorBidi" w:hint="cs"/>
          <w:b w:val="0"/>
          <w:bCs w:val="0"/>
          <w:rtl/>
        </w:rPr>
        <w:t>בתולת כהן</w:t>
      </w:r>
      <w:r>
        <w:rPr>
          <w:rFonts w:asciiTheme="majorBidi" w:hAnsiTheme="majorBidi" w:cstheme="majorBidi"/>
          <w:b w:val="0"/>
          <w:bCs w:val="0"/>
        </w:rPr>
        <w:t xml:space="preserve"> and the </w:t>
      </w:r>
      <w:r>
        <w:rPr>
          <w:rFonts w:asciiTheme="majorBidi" w:hAnsiTheme="majorBidi" w:cstheme="majorBidi" w:hint="cs"/>
          <w:b w:val="0"/>
          <w:bCs w:val="0"/>
          <w:rtl/>
        </w:rPr>
        <w:t>חכמים</w:t>
      </w:r>
      <w:r>
        <w:rPr>
          <w:rFonts w:asciiTheme="majorBidi" w:hAnsiTheme="majorBidi" w:cstheme="majorBidi"/>
          <w:b w:val="0"/>
          <w:bCs w:val="0"/>
        </w:rPr>
        <w:t xml:space="preserve"> did not protest this enactment. </w:t>
      </w:r>
      <w:r>
        <w:rPr>
          <w:rFonts w:asciiTheme="majorBidi" w:hAnsiTheme="majorBidi" w:cstheme="majorBidi" w:hint="cs"/>
          <w:b w:val="0"/>
          <w:bCs w:val="0"/>
          <w:rtl/>
        </w:rPr>
        <w:t>תוספות</w:t>
      </w:r>
      <w:r>
        <w:rPr>
          <w:rFonts w:asciiTheme="majorBidi" w:hAnsiTheme="majorBidi" w:cstheme="majorBidi"/>
          <w:b w:val="0"/>
          <w:bCs w:val="0"/>
        </w:rPr>
        <w:t xml:space="preserve"> (presumably) assumed that they wrote </w:t>
      </w:r>
      <w:r>
        <w:rPr>
          <w:rFonts w:asciiTheme="majorBidi" w:hAnsiTheme="majorBidi" w:cstheme="majorBidi" w:hint="cs"/>
          <w:b w:val="0"/>
          <w:bCs w:val="0"/>
          <w:rtl/>
        </w:rPr>
        <w:t>ד' מאות זוז</w:t>
      </w:r>
      <w:r>
        <w:rPr>
          <w:rFonts w:asciiTheme="majorBidi" w:hAnsiTheme="majorBidi" w:cstheme="majorBidi"/>
          <w:b w:val="0"/>
          <w:bCs w:val="0"/>
        </w:rPr>
        <w:t xml:space="preserve"> in the </w:t>
      </w:r>
      <w:r>
        <w:rPr>
          <w:rFonts w:asciiTheme="majorBidi" w:hAnsiTheme="majorBidi" w:cstheme="majorBidi" w:hint="cs"/>
          <w:b w:val="0"/>
          <w:bCs w:val="0"/>
          <w:rtl/>
        </w:rPr>
        <w:t>כתובה</w:t>
      </w:r>
      <w:r>
        <w:rPr>
          <w:rFonts w:asciiTheme="majorBidi" w:hAnsiTheme="majorBidi" w:cstheme="majorBidi"/>
          <w:b w:val="0"/>
          <w:bCs w:val="0"/>
        </w:rPr>
        <w:t xml:space="preserve">; therefore there is seemingly no problem in collecting it, why would one think that the </w:t>
      </w:r>
      <w:r>
        <w:rPr>
          <w:rFonts w:asciiTheme="majorBidi" w:hAnsiTheme="majorBidi" w:cstheme="majorBidi" w:hint="cs"/>
          <w:b w:val="0"/>
          <w:bCs w:val="0"/>
          <w:rtl/>
        </w:rPr>
        <w:t>חכמים</w:t>
      </w:r>
      <w:r>
        <w:rPr>
          <w:rFonts w:asciiTheme="majorBidi" w:hAnsiTheme="majorBidi" w:cstheme="majorBidi"/>
          <w:b w:val="0"/>
          <w:bCs w:val="0"/>
        </w:rPr>
        <w:t xml:space="preserve"> should be </w:t>
      </w:r>
      <w:r>
        <w:rPr>
          <w:rFonts w:asciiTheme="majorBidi" w:hAnsiTheme="majorBidi" w:cstheme="majorBidi" w:hint="cs"/>
          <w:b w:val="0"/>
          <w:bCs w:val="0"/>
          <w:rtl/>
        </w:rPr>
        <w:t>מוחה</w:t>
      </w:r>
      <w:r w:rsidR="001B523B">
        <w:rPr>
          <w:rFonts w:asciiTheme="majorBidi" w:hAnsiTheme="majorBidi" w:cstheme="majorBidi"/>
          <w:b w:val="0"/>
          <w:bCs w:val="0"/>
        </w:rPr>
        <w:t>;</w:t>
      </w:r>
      <w:r>
        <w:rPr>
          <w:rFonts w:asciiTheme="majorBidi" w:hAnsiTheme="majorBidi" w:cstheme="majorBidi"/>
          <w:b w:val="0"/>
          <w:bCs w:val="0"/>
        </w:rPr>
        <w:t xml:space="preserve"> after all the husband agreed to it.</w:t>
      </w:r>
      <w:r w:rsidR="001B523B">
        <w:rPr>
          <w:rFonts w:asciiTheme="majorBidi" w:hAnsiTheme="majorBidi" w:cstheme="majorBidi"/>
          <w:b w:val="0"/>
          <w:bCs w:val="0"/>
        </w:rPr>
        <w:t xml:space="preserve"> </w:t>
      </w:r>
      <w:r w:rsidR="001B523B">
        <w:rPr>
          <w:rFonts w:asciiTheme="majorBidi" w:hAnsiTheme="majorBidi" w:cstheme="majorBidi" w:hint="cs"/>
          <w:b w:val="0"/>
          <w:bCs w:val="0"/>
          <w:rtl/>
        </w:rPr>
        <w:t>תוספות</w:t>
      </w:r>
      <w:r w:rsidR="001B523B">
        <w:rPr>
          <w:rFonts w:asciiTheme="majorBidi" w:hAnsiTheme="majorBidi" w:cstheme="majorBidi"/>
          <w:b w:val="0"/>
          <w:bCs w:val="0"/>
        </w:rPr>
        <w:t xml:space="preserve"> </w:t>
      </w:r>
      <w:r w:rsidR="004023CB">
        <w:rPr>
          <w:rFonts w:asciiTheme="majorBidi" w:hAnsiTheme="majorBidi" w:cstheme="majorBidi"/>
          <w:b w:val="0"/>
          <w:bCs w:val="0"/>
        </w:rPr>
        <w:t>clarifie</w:t>
      </w:r>
      <w:r w:rsidR="001B523B">
        <w:rPr>
          <w:rFonts w:asciiTheme="majorBidi" w:hAnsiTheme="majorBidi" w:cstheme="majorBidi"/>
          <w:b w:val="0"/>
          <w:bCs w:val="0"/>
        </w:rPr>
        <w:t>s this issue.</w:t>
      </w:r>
    </w:p>
    <w:p w:rsidR="005C4B66" w:rsidRDefault="004023CB" w:rsidP="004023CB">
      <w:pPr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5C4B66" w:rsidRDefault="001B523B" w:rsidP="001B523B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explains</w:t>
      </w:r>
      <w:r w:rsidR="00727A0A">
        <w:rPr>
          <w:rStyle w:val="FootnoteReference"/>
          <w:b w:val="0"/>
          <w:bCs w:val="0"/>
          <w:sz w:val="24"/>
          <w:szCs w:val="24"/>
        </w:rPr>
        <w:footnoteReference w:id="2"/>
      </w:r>
      <w:r>
        <w:rPr>
          <w:b w:val="0"/>
          <w:bCs w:val="0"/>
          <w:sz w:val="24"/>
          <w:szCs w:val="24"/>
        </w:rPr>
        <w:t xml:space="preserve"> that the </w:t>
      </w:r>
      <w:r>
        <w:rPr>
          <w:rFonts w:hint="cs"/>
          <w:b w:val="0"/>
          <w:bCs w:val="0"/>
          <w:sz w:val="24"/>
          <w:szCs w:val="24"/>
          <w:rtl/>
        </w:rPr>
        <w:t>חכמים</w:t>
      </w:r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were</w:t>
      </w:r>
      <w:proofErr w:type="spellEnd"/>
      <w:r>
        <w:rPr>
          <w:b w:val="0"/>
          <w:bCs w:val="0"/>
          <w:sz w:val="24"/>
          <w:szCs w:val="24"/>
        </w:rPr>
        <w:t xml:space="preserve"> not </w:t>
      </w:r>
      <w:r>
        <w:rPr>
          <w:rFonts w:hint="cs"/>
          <w:b w:val="0"/>
          <w:bCs w:val="0"/>
          <w:sz w:val="24"/>
          <w:szCs w:val="24"/>
          <w:rtl/>
        </w:rPr>
        <w:t>מוחה</w:t>
      </w:r>
      <w:r>
        <w:rPr>
          <w:b w:val="0"/>
          <w:bCs w:val="0"/>
          <w:sz w:val="24"/>
          <w:szCs w:val="24"/>
        </w:rPr>
        <w:t xml:space="preserve"> to collecting </w:t>
      </w:r>
      <w:r>
        <w:rPr>
          <w:rFonts w:hint="cs"/>
          <w:b w:val="0"/>
          <w:bCs w:val="0"/>
          <w:sz w:val="24"/>
          <w:szCs w:val="24"/>
          <w:rtl/>
        </w:rPr>
        <w:t>ד' מאות</w:t>
      </w:r>
      <w:r>
        <w:rPr>
          <w:b w:val="0"/>
          <w:bCs w:val="0"/>
          <w:sz w:val="24"/>
          <w:szCs w:val="24"/>
        </w:rPr>
        <w:t xml:space="preserve"> -</w:t>
      </w:r>
    </w:p>
    <w:p w:rsidR="005C4B66" w:rsidRPr="004023CB" w:rsidRDefault="00981709" w:rsidP="004023CB">
      <w:pPr>
        <w:bidi/>
        <w:rPr>
          <w:rFonts w:cs="David"/>
        </w:rPr>
      </w:pPr>
      <w:r w:rsidRPr="004023CB">
        <w:rPr>
          <w:rFonts w:cs="David"/>
          <w:rtl/>
        </w:rPr>
        <w:t>א</w:t>
      </w:r>
      <w:r w:rsidR="005C4B66" w:rsidRPr="004023CB">
        <w:rPr>
          <w:rFonts w:cs="David" w:hint="cs"/>
          <w:rtl/>
        </w:rPr>
        <w:t xml:space="preserve">ף </w:t>
      </w:r>
      <w:r w:rsidRPr="004023CB">
        <w:rPr>
          <w:rFonts w:cs="David"/>
          <w:rtl/>
        </w:rPr>
        <w:t>ע</w:t>
      </w:r>
      <w:r w:rsidR="005C4B66" w:rsidRPr="004023CB">
        <w:rPr>
          <w:rFonts w:cs="David" w:hint="cs"/>
          <w:rtl/>
        </w:rPr>
        <w:t xml:space="preserve">ל </w:t>
      </w:r>
      <w:r w:rsidRPr="004023CB">
        <w:rPr>
          <w:rFonts w:cs="David"/>
          <w:rtl/>
        </w:rPr>
        <w:t>פ</w:t>
      </w:r>
      <w:r w:rsidR="005C4B66" w:rsidRPr="004023CB">
        <w:rPr>
          <w:rFonts w:cs="David" w:hint="cs"/>
          <w:rtl/>
        </w:rPr>
        <w:t>י</w:t>
      </w:r>
      <w:r w:rsidRPr="004023CB">
        <w:rPr>
          <w:rFonts w:cs="David"/>
          <w:rtl/>
        </w:rPr>
        <w:t xml:space="preserve"> שלא כתב בלשון תוספת</w:t>
      </w:r>
      <w:r w:rsidR="001A56D8" w:rsidRPr="004023CB">
        <w:rPr>
          <w:rStyle w:val="FootnoteReference"/>
          <w:rFonts w:cs="David"/>
          <w:rtl/>
        </w:rPr>
        <w:footnoteReference w:id="3"/>
      </w:r>
      <w:r w:rsidRPr="004023CB">
        <w:rPr>
          <w:rFonts w:cs="David"/>
          <w:rtl/>
        </w:rPr>
        <w:t xml:space="preserve"> אלא ארבע מאות דחזו ליכי </w:t>
      </w:r>
      <w:r w:rsidR="004023CB">
        <w:rPr>
          <w:rFonts w:cs="David" w:hint="cs"/>
          <w:rtl/>
        </w:rPr>
        <w:t>-</w:t>
      </w:r>
    </w:p>
    <w:p w:rsidR="001B523B" w:rsidRPr="001B523B" w:rsidRDefault="001B523B" w:rsidP="001B523B">
      <w:r>
        <w:t xml:space="preserve">Even though </w:t>
      </w:r>
      <w:r>
        <w:rPr>
          <w:b w:val="0"/>
          <w:bCs w:val="0"/>
        </w:rPr>
        <w:t xml:space="preserve">the husband </w:t>
      </w:r>
      <w:r>
        <w:t xml:space="preserve">did not write </w:t>
      </w:r>
      <w:r w:rsidR="001A56D8">
        <w:rPr>
          <w:b w:val="0"/>
          <w:bCs w:val="0"/>
        </w:rPr>
        <w:t xml:space="preserve">regarding </w:t>
      </w:r>
      <w:r>
        <w:rPr>
          <w:b w:val="0"/>
          <w:bCs w:val="0"/>
        </w:rPr>
        <w:t xml:space="preserve">the extra two hundred </w:t>
      </w:r>
      <w:r>
        <w:rPr>
          <w:rFonts w:hint="cs"/>
          <w:b w:val="0"/>
          <w:bCs w:val="0"/>
          <w:rtl/>
        </w:rPr>
        <w:t>זוז</w:t>
      </w:r>
      <w:r>
        <w:rPr>
          <w:b w:val="0"/>
          <w:bCs w:val="0"/>
        </w:rPr>
        <w:t xml:space="preserve"> that it is </w:t>
      </w:r>
      <w:r>
        <w:t xml:space="preserve">an addition </w:t>
      </w:r>
      <w:r w:rsidRPr="001B523B">
        <w:rPr>
          <w:b w:val="0"/>
          <w:bCs w:val="0"/>
        </w:rPr>
        <w:t xml:space="preserve">to the initial </w:t>
      </w:r>
      <w:r w:rsidRPr="001B523B">
        <w:rPr>
          <w:rFonts w:hint="cs"/>
          <w:b w:val="0"/>
          <w:bCs w:val="0"/>
          <w:rtl/>
        </w:rPr>
        <w:t>כתובה</w:t>
      </w:r>
      <w:r w:rsidRPr="001B523B">
        <w:rPr>
          <w:b w:val="0"/>
          <w:bCs w:val="0"/>
        </w:rPr>
        <w:t xml:space="preserve"> of </w:t>
      </w:r>
      <w:r w:rsidRPr="001B523B">
        <w:rPr>
          <w:rFonts w:hint="cs"/>
          <w:b w:val="0"/>
          <w:bCs w:val="0"/>
          <w:rtl/>
        </w:rPr>
        <w:t>מאתיים</w:t>
      </w:r>
      <w:r>
        <w:rPr>
          <w:b w:val="0"/>
          <w:bCs w:val="0"/>
        </w:rPr>
        <w:t xml:space="preserve">, </w:t>
      </w:r>
      <w:r>
        <w:t xml:space="preserve">but rather </w:t>
      </w:r>
      <w:r>
        <w:rPr>
          <w:b w:val="0"/>
          <w:bCs w:val="0"/>
        </w:rPr>
        <w:t>he wrote</w:t>
      </w:r>
      <w:r w:rsidR="004023CB">
        <w:rPr>
          <w:b w:val="0"/>
          <w:bCs w:val="0"/>
        </w:rPr>
        <w:t>,</w:t>
      </w:r>
      <w:r>
        <w:rPr>
          <w:b w:val="0"/>
          <w:bCs w:val="0"/>
        </w:rPr>
        <w:t xml:space="preserve"> ‘</w:t>
      </w:r>
      <w:r>
        <w:t xml:space="preserve">four hundred </w:t>
      </w:r>
      <w:r>
        <w:rPr>
          <w:rFonts w:hint="cs"/>
          <w:b w:val="0"/>
          <w:bCs w:val="0"/>
          <w:rtl/>
        </w:rPr>
        <w:t>זוז</w:t>
      </w:r>
      <w:r>
        <w:rPr>
          <w:b w:val="0"/>
          <w:bCs w:val="0"/>
        </w:rPr>
        <w:t xml:space="preserve"> </w:t>
      </w:r>
      <w:r>
        <w:t>to which you are entitled’</w:t>
      </w:r>
      <w:r w:rsidR="004023CB">
        <w:t xml:space="preserve"> -</w:t>
      </w:r>
    </w:p>
    <w:p w:rsidR="005C4B66" w:rsidRPr="004023CB" w:rsidRDefault="00981709" w:rsidP="004023CB">
      <w:pPr>
        <w:bidi/>
        <w:rPr>
          <w:rFonts w:cs="David" w:hint="cs"/>
          <w:rtl/>
        </w:rPr>
      </w:pPr>
      <w:r w:rsidRPr="004023CB">
        <w:rPr>
          <w:rFonts w:cs="David"/>
          <w:rtl/>
        </w:rPr>
        <w:t>וקא ס</w:t>
      </w:r>
      <w:r w:rsidR="005C4B66" w:rsidRPr="004023CB">
        <w:rPr>
          <w:rFonts w:cs="David" w:hint="cs"/>
          <w:rtl/>
        </w:rPr>
        <w:t xml:space="preserve">לקא </w:t>
      </w:r>
      <w:r w:rsidRPr="004023CB">
        <w:rPr>
          <w:rFonts w:cs="David"/>
          <w:rtl/>
        </w:rPr>
        <w:t>ד</w:t>
      </w:r>
      <w:r w:rsidR="005C4B66" w:rsidRPr="004023CB">
        <w:rPr>
          <w:rFonts w:cs="David" w:hint="cs"/>
          <w:rtl/>
        </w:rPr>
        <w:t>עתין</w:t>
      </w:r>
      <w:r w:rsidRPr="004023CB">
        <w:rPr>
          <w:rFonts w:cs="David"/>
          <w:rtl/>
        </w:rPr>
        <w:t xml:space="preserve"> דלא תגבה</w:t>
      </w:r>
      <w:r w:rsidR="00351677" w:rsidRPr="004023CB">
        <w:rPr>
          <w:rStyle w:val="FootnoteReference"/>
          <w:rFonts w:cs="David"/>
          <w:rtl/>
        </w:rPr>
        <w:footnoteReference w:id="4"/>
      </w:r>
      <w:r w:rsidRPr="004023CB">
        <w:rPr>
          <w:rFonts w:cs="David"/>
          <w:rtl/>
        </w:rPr>
        <w:t xml:space="preserve"> דלא חזו ובלשון תוספת לא כתב </w:t>
      </w:r>
      <w:r w:rsidR="004023CB">
        <w:rPr>
          <w:rFonts w:cs="David" w:hint="cs"/>
          <w:rtl/>
        </w:rPr>
        <w:t>-</w:t>
      </w:r>
    </w:p>
    <w:p w:rsidR="001B523B" w:rsidRPr="004023CB" w:rsidRDefault="001B523B" w:rsidP="001B523B">
      <w:pPr>
        <w:rPr>
          <w:sz w:val="24"/>
          <w:szCs w:val="24"/>
        </w:rPr>
      </w:pPr>
      <w:r>
        <w:t xml:space="preserve">So one would think that she cannot collect </w:t>
      </w:r>
      <w:r>
        <w:rPr>
          <w:b w:val="0"/>
          <w:bCs w:val="0"/>
        </w:rPr>
        <w:t>four hundred</w:t>
      </w:r>
      <w:r w:rsidR="0035167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since she is not entitled </w:t>
      </w:r>
      <w:r>
        <w:rPr>
          <w:b w:val="0"/>
          <w:bCs w:val="0"/>
        </w:rPr>
        <w:t xml:space="preserve">to four hundred </w:t>
      </w:r>
      <w:r>
        <w:rPr>
          <w:rFonts w:hint="cs"/>
          <w:b w:val="0"/>
          <w:bCs w:val="0"/>
          <w:rtl/>
        </w:rPr>
        <w:t>זוז</w:t>
      </w:r>
      <w:r w:rsidR="00351677">
        <w:rPr>
          <w:b w:val="0"/>
          <w:bCs w:val="0"/>
        </w:rPr>
        <w:t>,</w:t>
      </w:r>
      <w:r>
        <w:rPr>
          <w:b w:val="0"/>
          <w:bCs w:val="0"/>
        </w:rPr>
        <w:t xml:space="preserve"> but merely to two hundred, </w:t>
      </w:r>
      <w:r>
        <w:t xml:space="preserve">and </w:t>
      </w:r>
      <w:r>
        <w:rPr>
          <w:b w:val="0"/>
          <w:bCs w:val="0"/>
        </w:rPr>
        <w:t xml:space="preserve">(additionally) </w:t>
      </w:r>
      <w:r>
        <w:t xml:space="preserve">he did not write that he is adding </w:t>
      </w:r>
      <w:r w:rsidRPr="004023CB">
        <w:rPr>
          <w:b w:val="0"/>
          <w:bCs w:val="0"/>
          <w:sz w:val="24"/>
          <w:szCs w:val="24"/>
        </w:rPr>
        <w:t>an additional two hundred (besides the basic two hundred) -</w:t>
      </w:r>
    </w:p>
    <w:p w:rsidR="005C4B66" w:rsidRPr="004023CB" w:rsidRDefault="00981709" w:rsidP="004023CB">
      <w:pPr>
        <w:bidi/>
        <w:rPr>
          <w:rFonts w:cs="David"/>
        </w:rPr>
      </w:pPr>
      <w:r w:rsidRPr="004023CB">
        <w:rPr>
          <w:rFonts w:cs="David"/>
          <w:rtl/>
        </w:rPr>
        <w:t xml:space="preserve">קא משמע לן דמנהג טוב מאד הוא וראוי להיות בכהונה ובמשפחות המיוחסות </w:t>
      </w:r>
      <w:r w:rsidR="004023CB">
        <w:rPr>
          <w:rFonts w:cs="David" w:hint="cs"/>
          <w:rtl/>
        </w:rPr>
        <w:t>-</w:t>
      </w:r>
    </w:p>
    <w:p w:rsidR="001B523B" w:rsidRPr="004023CB" w:rsidRDefault="001B523B" w:rsidP="002307A5">
      <w:pPr>
        <w:rPr>
          <w:sz w:val="24"/>
          <w:szCs w:val="24"/>
        </w:rPr>
      </w:pPr>
      <w: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therefore </w:t>
      </w:r>
      <w:r>
        <w:t>teaches us that this is a very prop</w:t>
      </w:r>
      <w:r w:rsidR="00351677">
        <w:t>er custom and it is fitting for</w:t>
      </w:r>
      <w:r>
        <w:t xml:space="preserve"> the </w:t>
      </w:r>
      <w:r w:rsidR="002307A5">
        <w:rPr>
          <w:rFonts w:hint="cs"/>
          <w:rtl/>
        </w:rPr>
        <w:t>כהונה</w:t>
      </w:r>
      <w:r w:rsidR="002307A5">
        <w:t xml:space="preserve"> and for </w:t>
      </w:r>
      <w:r>
        <w:t>distinguished families</w:t>
      </w:r>
      <w:r w:rsidR="00351677" w:rsidRPr="00351677">
        <w:t xml:space="preserve"> </w:t>
      </w:r>
      <w:r w:rsidR="00351677" w:rsidRPr="004023CB">
        <w:rPr>
          <w:b w:val="0"/>
          <w:bCs w:val="0"/>
          <w:sz w:val="24"/>
          <w:szCs w:val="24"/>
        </w:rPr>
        <w:t xml:space="preserve">that they should receive </w:t>
      </w:r>
      <w:r w:rsidR="00351677" w:rsidRPr="004023CB">
        <w:rPr>
          <w:rFonts w:hint="cs"/>
          <w:b w:val="0"/>
          <w:bCs w:val="0"/>
          <w:sz w:val="24"/>
          <w:szCs w:val="24"/>
          <w:rtl/>
        </w:rPr>
        <w:t>ד' מאות זוז</w:t>
      </w:r>
      <w:r w:rsidR="00351677" w:rsidRPr="004023CB">
        <w:rPr>
          <w:b w:val="0"/>
          <w:bCs w:val="0"/>
          <w:sz w:val="24"/>
          <w:szCs w:val="24"/>
        </w:rPr>
        <w:t xml:space="preserve"> </w:t>
      </w:r>
      <w:r w:rsidRPr="004023CB">
        <w:rPr>
          <w:sz w:val="24"/>
          <w:szCs w:val="24"/>
        </w:rPr>
        <w:t xml:space="preserve">- </w:t>
      </w:r>
    </w:p>
    <w:p w:rsidR="005C4B66" w:rsidRPr="004023CB" w:rsidRDefault="00981709" w:rsidP="004023CB">
      <w:pPr>
        <w:bidi/>
        <w:rPr>
          <w:rFonts w:cs="David"/>
        </w:rPr>
      </w:pPr>
      <w:r w:rsidRPr="004023CB">
        <w:rPr>
          <w:rFonts w:cs="David"/>
          <w:rtl/>
        </w:rPr>
        <w:t xml:space="preserve">ושייך בהו למימר דחזו ליכי </w:t>
      </w:r>
      <w:r w:rsidR="004023CB">
        <w:rPr>
          <w:rFonts w:cs="David" w:hint="cs"/>
          <w:rtl/>
        </w:rPr>
        <w:t>-</w:t>
      </w:r>
    </w:p>
    <w:p w:rsidR="001B523B" w:rsidRDefault="001B523B" w:rsidP="001B523B">
      <w:r>
        <w:t xml:space="preserve">And it is applicable in these </w:t>
      </w:r>
      <w:r>
        <w:rPr>
          <w:b w:val="0"/>
          <w:bCs w:val="0"/>
        </w:rPr>
        <w:t xml:space="preserve">cases </w:t>
      </w:r>
      <w:r>
        <w:t xml:space="preserve">to write </w:t>
      </w: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>, ‘</w:t>
      </w:r>
      <w:r w:rsidRPr="001B523B">
        <w:t>to which you are ent</w:t>
      </w:r>
      <w:r>
        <w:t>itled’.</w:t>
      </w:r>
    </w:p>
    <w:p w:rsidR="001A56D8" w:rsidRPr="004023CB" w:rsidRDefault="001A56D8" w:rsidP="001B523B">
      <w:pPr>
        <w:rPr>
          <w:sz w:val="24"/>
          <w:szCs w:val="24"/>
        </w:rPr>
      </w:pPr>
    </w:p>
    <w:p w:rsidR="001A56D8" w:rsidRPr="004023CB" w:rsidRDefault="001A56D8" w:rsidP="001B523B">
      <w:pPr>
        <w:rPr>
          <w:b w:val="0"/>
          <w:bCs w:val="0"/>
          <w:sz w:val="24"/>
          <w:szCs w:val="24"/>
        </w:rPr>
      </w:pPr>
      <w:r w:rsidRPr="004023CB">
        <w:rPr>
          <w:rFonts w:hint="cs"/>
          <w:b w:val="0"/>
          <w:bCs w:val="0"/>
          <w:sz w:val="24"/>
          <w:szCs w:val="24"/>
          <w:rtl/>
        </w:rPr>
        <w:t>תוספות</w:t>
      </w:r>
      <w:r w:rsidRPr="004023CB">
        <w:rPr>
          <w:b w:val="0"/>
          <w:bCs w:val="0"/>
          <w:sz w:val="24"/>
          <w:szCs w:val="24"/>
        </w:rPr>
        <w:t xml:space="preserve"> adds that this </w:t>
      </w:r>
      <w:r w:rsidRPr="004023CB">
        <w:rPr>
          <w:rFonts w:hint="cs"/>
          <w:b w:val="0"/>
          <w:bCs w:val="0"/>
          <w:sz w:val="24"/>
          <w:szCs w:val="24"/>
          <w:rtl/>
        </w:rPr>
        <w:t>תקנה</w:t>
      </w:r>
      <w:r w:rsidRPr="004023CB">
        <w:rPr>
          <w:b w:val="0"/>
          <w:bCs w:val="0"/>
          <w:sz w:val="24"/>
          <w:szCs w:val="24"/>
        </w:rPr>
        <w:t xml:space="preserve"> of the </w:t>
      </w:r>
      <w:r w:rsidRPr="004023CB">
        <w:rPr>
          <w:rFonts w:hint="cs"/>
          <w:b w:val="0"/>
          <w:bCs w:val="0"/>
          <w:sz w:val="24"/>
          <w:szCs w:val="24"/>
          <w:rtl/>
        </w:rPr>
        <w:t>בי"ד של כהנים</w:t>
      </w:r>
      <w:r w:rsidRPr="004023CB">
        <w:rPr>
          <w:b w:val="0"/>
          <w:bCs w:val="0"/>
          <w:sz w:val="24"/>
          <w:szCs w:val="24"/>
        </w:rPr>
        <w:t xml:space="preserve"> goes even a step further:</w:t>
      </w:r>
    </w:p>
    <w:p w:rsidR="005C4B66" w:rsidRPr="004023CB" w:rsidRDefault="00981709" w:rsidP="004023CB">
      <w:pPr>
        <w:bidi/>
        <w:rPr>
          <w:rFonts w:cs="David"/>
        </w:rPr>
      </w:pPr>
      <w:r w:rsidRPr="004023CB">
        <w:rPr>
          <w:rFonts w:cs="David"/>
          <w:rtl/>
        </w:rPr>
        <w:t>ואפי</w:t>
      </w:r>
      <w:r w:rsidR="005C4B66" w:rsidRPr="004023CB">
        <w:rPr>
          <w:rFonts w:cs="David" w:hint="cs"/>
          <w:rtl/>
        </w:rPr>
        <w:t>לו</w:t>
      </w:r>
      <w:r w:rsidRPr="004023CB">
        <w:rPr>
          <w:rFonts w:cs="David"/>
          <w:rtl/>
        </w:rPr>
        <w:t xml:space="preserve"> לא כתב לה כתובה</w:t>
      </w:r>
      <w:r w:rsidR="00727A0A" w:rsidRPr="004023CB">
        <w:rPr>
          <w:rStyle w:val="FootnoteReference"/>
          <w:rFonts w:cs="David"/>
          <w:rtl/>
        </w:rPr>
        <w:footnoteReference w:id="5"/>
      </w:r>
      <w:r w:rsidRPr="004023CB">
        <w:rPr>
          <w:rFonts w:cs="David"/>
          <w:rtl/>
        </w:rPr>
        <w:t xml:space="preserve"> גובה ארבע מאות</w:t>
      </w:r>
      <w:r w:rsidR="00351677" w:rsidRPr="004023CB">
        <w:rPr>
          <w:rStyle w:val="FootnoteReference"/>
          <w:rFonts w:cs="David"/>
          <w:rtl/>
        </w:rPr>
        <w:footnoteReference w:id="6"/>
      </w:r>
      <w:r w:rsidRPr="004023CB">
        <w:rPr>
          <w:rFonts w:cs="David"/>
          <w:rtl/>
        </w:rPr>
        <w:t xml:space="preserve"> בתנאי ב</w:t>
      </w:r>
      <w:r w:rsidR="005C4B66" w:rsidRPr="004023CB">
        <w:rPr>
          <w:rFonts w:cs="David" w:hint="cs"/>
          <w:rtl/>
        </w:rPr>
        <w:t xml:space="preserve">ית </w:t>
      </w:r>
      <w:r w:rsidRPr="004023CB">
        <w:rPr>
          <w:rFonts w:cs="David"/>
          <w:rtl/>
        </w:rPr>
        <w:t>ד</w:t>
      </w:r>
      <w:r w:rsidR="005C4B66" w:rsidRPr="004023CB">
        <w:rPr>
          <w:rFonts w:cs="David" w:hint="cs"/>
          <w:rtl/>
        </w:rPr>
        <w:t>ין</w:t>
      </w:r>
      <w:r w:rsidR="00727A0A" w:rsidRPr="004023CB">
        <w:rPr>
          <w:rStyle w:val="FootnoteReference"/>
          <w:rFonts w:cs="David"/>
          <w:rtl/>
        </w:rPr>
        <w:footnoteReference w:id="7"/>
      </w:r>
      <w:r w:rsidRPr="004023CB">
        <w:rPr>
          <w:rFonts w:cs="David"/>
          <w:rtl/>
        </w:rPr>
        <w:t xml:space="preserve"> </w:t>
      </w:r>
      <w:r w:rsidR="004023CB">
        <w:rPr>
          <w:rFonts w:cs="David" w:hint="cs"/>
          <w:rtl/>
        </w:rPr>
        <w:t>-</w:t>
      </w:r>
    </w:p>
    <w:p w:rsidR="001A56D8" w:rsidRPr="001A56D8" w:rsidRDefault="001A56D8" w:rsidP="001A56D8">
      <w:r>
        <w:lastRenderedPageBreak/>
        <w:t xml:space="preserve">And even if he did not write a </w:t>
      </w:r>
      <w:r>
        <w:rPr>
          <w:rFonts w:hint="cs"/>
          <w:rtl/>
        </w:rPr>
        <w:t>כתובה</w:t>
      </w:r>
      <w:r>
        <w:t xml:space="preserve"> for her, she </w:t>
      </w:r>
      <w:r>
        <w:rPr>
          <w:b w:val="0"/>
          <w:bCs w:val="0"/>
        </w:rPr>
        <w:t xml:space="preserve">still </w:t>
      </w:r>
      <w:r>
        <w:t xml:space="preserve">collects the four hundred </w:t>
      </w:r>
      <w:r>
        <w:rPr>
          <w:rFonts w:hint="cs"/>
          <w:b w:val="0"/>
          <w:bCs w:val="0"/>
          <w:rtl/>
        </w:rPr>
        <w:t>זוז</w:t>
      </w:r>
      <w:r>
        <w:rPr>
          <w:b w:val="0"/>
          <w:bCs w:val="0"/>
        </w:rPr>
        <w:t xml:space="preserve"> </w:t>
      </w:r>
      <w:r>
        <w:t xml:space="preserve">as a </w:t>
      </w:r>
      <w:r>
        <w:rPr>
          <w:rFonts w:hint="cs"/>
          <w:rtl/>
        </w:rPr>
        <w:t>תנאי בי"ד</w:t>
      </w:r>
      <w:r>
        <w:t xml:space="preserve"> -</w:t>
      </w:r>
    </w:p>
    <w:p w:rsidR="003D4453" w:rsidRPr="004023CB" w:rsidRDefault="00981709" w:rsidP="005C4B66">
      <w:pPr>
        <w:bidi/>
        <w:rPr>
          <w:rFonts w:cs="David"/>
        </w:rPr>
      </w:pPr>
      <w:r w:rsidRPr="004023CB">
        <w:rPr>
          <w:rFonts w:cs="David"/>
          <w:rtl/>
        </w:rPr>
        <w:t>כמו בבנות ישראל מאתים</w:t>
      </w:r>
      <w:r w:rsidR="00727A0A" w:rsidRPr="004023CB">
        <w:rPr>
          <w:rStyle w:val="FootnoteReference"/>
          <w:rFonts w:cs="David"/>
          <w:rtl/>
        </w:rPr>
        <w:footnoteReference w:id="8"/>
      </w:r>
      <w:r w:rsidRPr="004023CB">
        <w:rPr>
          <w:rFonts w:cs="David"/>
          <w:rtl/>
        </w:rPr>
        <w:t xml:space="preserve"> דתקנה גמורה היא</w:t>
      </w:r>
      <w:r w:rsidRPr="004023CB">
        <w:rPr>
          <w:rFonts w:cs="David"/>
        </w:rPr>
        <w:t>:</w:t>
      </w:r>
    </w:p>
    <w:p w:rsidR="001A56D8" w:rsidRPr="004023CB" w:rsidRDefault="001A56D8" w:rsidP="001A56D8">
      <w:pPr>
        <w:rPr>
          <w:b w:val="0"/>
          <w:bCs w:val="0"/>
          <w:sz w:val="24"/>
          <w:szCs w:val="24"/>
        </w:rPr>
      </w:pPr>
      <w:r>
        <w:t xml:space="preserve">Just as </w:t>
      </w:r>
      <w:r>
        <w:rPr>
          <w:b w:val="0"/>
          <w:bCs w:val="0"/>
        </w:rPr>
        <w:t xml:space="preserve">the rule is regarding </w:t>
      </w:r>
      <w:r>
        <w:t xml:space="preserve">the two hundred </w:t>
      </w:r>
      <w:r>
        <w:rPr>
          <w:rFonts w:hint="cs"/>
          <w:rtl/>
        </w:rPr>
        <w:t>זוז</w:t>
      </w:r>
      <w:r>
        <w:t xml:space="preserve"> </w:t>
      </w:r>
      <w:r>
        <w:rPr>
          <w:b w:val="0"/>
          <w:bCs w:val="0"/>
        </w:rPr>
        <w:t xml:space="preserve">that is given </w:t>
      </w:r>
      <w:r>
        <w:t xml:space="preserve">to </w:t>
      </w:r>
      <w:r>
        <w:rPr>
          <w:rFonts w:hint="cs"/>
          <w:rtl/>
        </w:rPr>
        <w:t>בנות ישראל</w:t>
      </w:r>
      <w:r>
        <w:t xml:space="preserve"> </w:t>
      </w:r>
      <w:r>
        <w:rPr>
          <w:b w:val="0"/>
          <w:bCs w:val="0"/>
        </w:rPr>
        <w:t xml:space="preserve">(when a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was not written) </w:t>
      </w:r>
      <w:r>
        <w:t xml:space="preserve">for this was a binding enactment </w:t>
      </w:r>
      <w:r w:rsidRPr="004023CB">
        <w:rPr>
          <w:b w:val="0"/>
          <w:bCs w:val="0"/>
          <w:sz w:val="24"/>
          <w:szCs w:val="24"/>
        </w:rPr>
        <w:t xml:space="preserve">that </w:t>
      </w:r>
      <w:r w:rsidRPr="004023CB">
        <w:rPr>
          <w:rFonts w:hint="cs"/>
          <w:b w:val="0"/>
          <w:bCs w:val="0"/>
          <w:sz w:val="24"/>
          <w:szCs w:val="24"/>
          <w:rtl/>
        </w:rPr>
        <w:t>בתולות כהנים</w:t>
      </w:r>
      <w:r w:rsidRPr="004023CB">
        <w:rPr>
          <w:b w:val="0"/>
          <w:bCs w:val="0"/>
          <w:sz w:val="24"/>
          <w:szCs w:val="24"/>
        </w:rPr>
        <w:t xml:space="preserve"> receive </w:t>
      </w:r>
      <w:r w:rsidRPr="004023CB">
        <w:rPr>
          <w:rFonts w:hint="cs"/>
          <w:b w:val="0"/>
          <w:bCs w:val="0"/>
          <w:sz w:val="24"/>
          <w:szCs w:val="24"/>
          <w:rtl/>
        </w:rPr>
        <w:t>ד' מאות</w:t>
      </w:r>
      <w:r w:rsidRPr="004023CB">
        <w:rPr>
          <w:b w:val="0"/>
          <w:bCs w:val="0"/>
          <w:sz w:val="24"/>
          <w:szCs w:val="24"/>
        </w:rPr>
        <w:t xml:space="preserve"> as </w:t>
      </w:r>
      <w:r w:rsidRPr="004023CB">
        <w:rPr>
          <w:rFonts w:hint="cs"/>
          <w:b w:val="0"/>
          <w:bCs w:val="0"/>
          <w:sz w:val="24"/>
          <w:szCs w:val="24"/>
          <w:rtl/>
        </w:rPr>
        <w:t>עיקר כתובה</w:t>
      </w:r>
      <w:r w:rsidRPr="004023CB">
        <w:rPr>
          <w:b w:val="0"/>
          <w:bCs w:val="0"/>
          <w:sz w:val="24"/>
          <w:szCs w:val="24"/>
        </w:rPr>
        <w:t>.</w:t>
      </w:r>
    </w:p>
    <w:p w:rsidR="005C4B66" w:rsidRPr="004023CB" w:rsidRDefault="005C4B66" w:rsidP="005C4B66">
      <w:pPr>
        <w:bidi/>
        <w:rPr>
          <w:sz w:val="24"/>
          <w:szCs w:val="24"/>
        </w:rPr>
      </w:pPr>
    </w:p>
    <w:p w:rsidR="005C4B66" w:rsidRPr="005C4B66" w:rsidRDefault="005C4B66" w:rsidP="005C4B66">
      <w:pPr>
        <w:rPr>
          <w:rFonts w:ascii="Copperplate Gothic Bold" w:hAnsi="Copperplate Gothic Bold"/>
          <w:b w:val="0"/>
          <w:bCs w:val="0"/>
          <w:u w:val="double"/>
        </w:rPr>
      </w:pPr>
      <w:r w:rsidRPr="005C4B6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C4B66" w:rsidRDefault="00727A0A" w:rsidP="005C4B6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בתולות כהנים</w:t>
      </w:r>
      <w:r>
        <w:rPr>
          <w:b w:val="0"/>
          <w:bCs w:val="0"/>
        </w:rPr>
        <w:t xml:space="preserve"> receive </w:t>
      </w:r>
      <w:r>
        <w:rPr>
          <w:rFonts w:hint="cs"/>
          <w:b w:val="0"/>
          <w:bCs w:val="0"/>
          <w:rtl/>
        </w:rPr>
        <w:t>ד' מאות</w:t>
      </w:r>
      <w:r>
        <w:rPr>
          <w:b w:val="0"/>
          <w:bCs w:val="0"/>
        </w:rPr>
        <w:t xml:space="preserve"> for their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even if it was not written as a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and even if no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was written at all.</w:t>
      </w:r>
    </w:p>
    <w:p w:rsidR="005C4B66" w:rsidRPr="004023CB" w:rsidRDefault="005C4B66" w:rsidP="005C4B66">
      <w:pPr>
        <w:rPr>
          <w:b w:val="0"/>
          <w:bCs w:val="0"/>
          <w:sz w:val="24"/>
          <w:szCs w:val="24"/>
        </w:rPr>
      </w:pPr>
    </w:p>
    <w:p w:rsidR="005C4B66" w:rsidRPr="005C4B66" w:rsidRDefault="005C4B66" w:rsidP="005C4B66">
      <w:pPr>
        <w:rPr>
          <w:rFonts w:ascii="Copperplate Gothic Bold" w:hAnsi="Copperplate Gothic Bold"/>
          <w:b w:val="0"/>
          <w:bCs w:val="0"/>
          <w:u w:val="double"/>
        </w:rPr>
      </w:pPr>
      <w:r w:rsidRPr="005C4B6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C4B66" w:rsidRPr="005C4B66" w:rsidRDefault="00351677" w:rsidP="005C4B66">
      <w:pPr>
        <w:rPr>
          <w:b w:val="0"/>
          <w:bCs w:val="0"/>
        </w:rPr>
      </w:pPr>
      <w:r>
        <w:rPr>
          <w:b w:val="0"/>
          <w:bCs w:val="0"/>
        </w:rPr>
        <w:t xml:space="preserve">How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derive</w:t>
      </w:r>
      <w:r w:rsidR="004023CB">
        <w:rPr>
          <w:rStyle w:val="FootnoteReference"/>
          <w:b w:val="0"/>
          <w:bCs w:val="0"/>
        </w:rPr>
        <w:footnoteReference w:id="9"/>
      </w:r>
      <w:r>
        <w:rPr>
          <w:b w:val="0"/>
          <w:bCs w:val="0"/>
        </w:rPr>
        <w:t xml:space="preserve"> that even if he did not write a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, she still collects </w:t>
      </w:r>
      <w:r>
        <w:rPr>
          <w:rFonts w:hint="cs"/>
          <w:b w:val="0"/>
          <w:bCs w:val="0"/>
          <w:rtl/>
        </w:rPr>
        <w:t>ד' מאות</w:t>
      </w:r>
      <w:r>
        <w:rPr>
          <w:b w:val="0"/>
          <w:bCs w:val="0"/>
        </w:rPr>
        <w:t>?</w:t>
      </w:r>
      <w:r w:rsidR="002307A5">
        <w:rPr>
          <w:rStyle w:val="FootnoteReference"/>
          <w:b w:val="0"/>
          <w:bCs w:val="0"/>
        </w:rPr>
        <w:footnoteReference w:id="10"/>
      </w:r>
    </w:p>
    <w:sectPr w:rsidR="005C4B66" w:rsidRPr="005C4B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061" w:rsidRDefault="007E1061" w:rsidP="005C4B66">
      <w:pPr>
        <w:spacing w:line="240" w:lineRule="auto"/>
      </w:pPr>
      <w:r>
        <w:separator/>
      </w:r>
    </w:p>
  </w:endnote>
  <w:endnote w:type="continuationSeparator" w:id="0">
    <w:p w:rsidR="007E1061" w:rsidRDefault="007E1061" w:rsidP="005C4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889505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AF6C94" w:rsidRDefault="00AF6C94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F6C94">
          <w:rPr>
            <w:b w:val="0"/>
            <w:bCs w:val="0"/>
            <w:sz w:val="20"/>
            <w:szCs w:val="20"/>
          </w:rPr>
          <w:fldChar w:fldCharType="begin"/>
        </w:r>
        <w:r w:rsidRPr="00AF6C94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F6C94">
          <w:rPr>
            <w:b w:val="0"/>
            <w:bCs w:val="0"/>
            <w:sz w:val="20"/>
            <w:szCs w:val="20"/>
          </w:rPr>
          <w:fldChar w:fldCharType="separate"/>
        </w:r>
        <w:r w:rsidR="002D5272">
          <w:rPr>
            <w:b w:val="0"/>
            <w:bCs w:val="0"/>
            <w:noProof/>
            <w:sz w:val="20"/>
            <w:szCs w:val="20"/>
          </w:rPr>
          <w:t>1</w:t>
        </w:r>
        <w:r w:rsidRPr="00AF6C94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AF6C94" w:rsidRPr="00AF6C94" w:rsidRDefault="00AF6C94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AF6C94" w:rsidRDefault="00AF6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061" w:rsidRDefault="007E1061" w:rsidP="005C4B66">
      <w:pPr>
        <w:spacing w:line="240" w:lineRule="auto"/>
      </w:pPr>
      <w:r>
        <w:separator/>
      </w:r>
    </w:p>
  </w:footnote>
  <w:footnote w:type="continuationSeparator" w:id="0">
    <w:p w:rsidR="007E1061" w:rsidRDefault="007E1061" w:rsidP="005C4B66">
      <w:pPr>
        <w:spacing w:line="240" w:lineRule="auto"/>
      </w:pPr>
      <w:r>
        <w:continuationSeparator/>
      </w:r>
    </w:p>
  </w:footnote>
  <w:footnote w:id="1">
    <w:p w:rsidR="00727A0A" w:rsidRPr="00BE2EFF" w:rsidRDefault="00727A0A" w:rsidP="00BE2EFF">
      <w:pPr>
        <w:pStyle w:val="FootnoteText"/>
        <w:spacing w:line="264" w:lineRule="auto"/>
        <w:rPr>
          <w:b w:val="0"/>
          <w:bCs w:val="0"/>
        </w:rPr>
      </w:pPr>
      <w:r w:rsidRPr="00BE2EFF">
        <w:rPr>
          <w:rStyle w:val="FootnoteReference"/>
          <w:b w:val="0"/>
          <w:bCs w:val="0"/>
        </w:rPr>
        <w:footnoteRef/>
      </w:r>
      <w:r w:rsidRPr="00BE2EFF">
        <w:rPr>
          <w:b w:val="0"/>
          <w:bCs w:val="0"/>
        </w:rPr>
        <w:t xml:space="preserve"> A marginal note indicates that this </w:t>
      </w:r>
      <w:r w:rsidRPr="00BE2EFF">
        <w:rPr>
          <w:rFonts w:hint="cs"/>
          <w:b w:val="0"/>
          <w:bCs w:val="0"/>
          <w:rtl/>
        </w:rPr>
        <w:t>תוספות</w:t>
      </w:r>
      <w:r w:rsidRPr="00BE2EFF">
        <w:rPr>
          <w:b w:val="0"/>
          <w:bCs w:val="0"/>
        </w:rPr>
        <w:t xml:space="preserve"> is referencing the </w:t>
      </w:r>
      <w:r w:rsidRPr="00BE2EFF">
        <w:rPr>
          <w:rFonts w:hint="cs"/>
          <w:b w:val="0"/>
          <w:bCs w:val="0"/>
          <w:rtl/>
        </w:rPr>
        <w:t>משנה</w:t>
      </w:r>
      <w:r w:rsidRPr="00BE2EFF">
        <w:rPr>
          <w:b w:val="0"/>
          <w:bCs w:val="0"/>
        </w:rPr>
        <w:t xml:space="preserve"> on the previous </w:t>
      </w:r>
      <w:r w:rsidRPr="00BE2EFF">
        <w:rPr>
          <w:rFonts w:hint="cs"/>
          <w:b w:val="0"/>
          <w:bCs w:val="0"/>
          <w:rtl/>
        </w:rPr>
        <w:t>עמוד</w:t>
      </w:r>
      <w:r w:rsidRPr="00BE2EFF">
        <w:rPr>
          <w:b w:val="0"/>
          <w:bCs w:val="0"/>
        </w:rPr>
        <w:t>.</w:t>
      </w:r>
    </w:p>
  </w:footnote>
  <w:footnote w:id="2">
    <w:p w:rsidR="00727A0A" w:rsidRPr="00BE2EFF" w:rsidRDefault="00727A0A" w:rsidP="00BE2EFF">
      <w:pPr>
        <w:pStyle w:val="FootnoteText"/>
        <w:spacing w:line="264" w:lineRule="auto"/>
        <w:rPr>
          <w:b w:val="0"/>
          <w:bCs w:val="0"/>
        </w:rPr>
      </w:pPr>
      <w:r w:rsidRPr="00BE2EFF">
        <w:rPr>
          <w:rStyle w:val="FootnoteReference"/>
          <w:b w:val="0"/>
          <w:bCs w:val="0"/>
        </w:rPr>
        <w:footnoteRef/>
      </w:r>
      <w:r w:rsidRPr="00BE2EFF">
        <w:rPr>
          <w:b w:val="0"/>
          <w:bCs w:val="0"/>
        </w:rPr>
        <w:t xml:space="preserve"> See ‘Overview’.</w:t>
      </w:r>
    </w:p>
  </w:footnote>
  <w:footnote w:id="3">
    <w:p w:rsidR="001A56D8" w:rsidRPr="00BE2EFF" w:rsidRDefault="001A56D8" w:rsidP="004023CB">
      <w:pPr>
        <w:pStyle w:val="FootnoteText"/>
        <w:spacing w:line="264" w:lineRule="auto"/>
        <w:rPr>
          <w:b w:val="0"/>
          <w:bCs w:val="0"/>
        </w:rPr>
      </w:pPr>
      <w:r w:rsidRPr="00BE2EFF">
        <w:rPr>
          <w:rStyle w:val="FootnoteReference"/>
          <w:b w:val="0"/>
          <w:bCs w:val="0"/>
        </w:rPr>
        <w:footnoteRef/>
      </w:r>
      <w:r w:rsidRPr="00BE2EFF">
        <w:rPr>
          <w:b w:val="0"/>
          <w:bCs w:val="0"/>
        </w:rPr>
        <w:t xml:space="preserve"> A </w:t>
      </w:r>
      <w:r w:rsidRPr="00BE2EFF">
        <w:rPr>
          <w:rFonts w:hint="cs"/>
          <w:b w:val="0"/>
          <w:bCs w:val="0"/>
          <w:rtl/>
        </w:rPr>
        <w:t>בתולה</w:t>
      </w:r>
      <w:r w:rsidRPr="00BE2EFF">
        <w:rPr>
          <w:b w:val="0"/>
          <w:bCs w:val="0"/>
        </w:rPr>
        <w:t xml:space="preserve"> is entitled to a </w:t>
      </w:r>
      <w:r w:rsidRPr="00BE2EFF">
        <w:rPr>
          <w:rFonts w:hint="cs"/>
          <w:b w:val="0"/>
          <w:bCs w:val="0"/>
          <w:rtl/>
        </w:rPr>
        <w:t>כתובה</w:t>
      </w:r>
      <w:r w:rsidRPr="00BE2EFF">
        <w:rPr>
          <w:b w:val="0"/>
          <w:bCs w:val="0"/>
        </w:rPr>
        <w:t xml:space="preserve"> of two hundred </w:t>
      </w:r>
      <w:r w:rsidRPr="00BE2EFF">
        <w:rPr>
          <w:rFonts w:hint="cs"/>
          <w:b w:val="0"/>
          <w:bCs w:val="0"/>
          <w:rtl/>
        </w:rPr>
        <w:t>זוז</w:t>
      </w:r>
      <w:r w:rsidRPr="00BE2EFF">
        <w:rPr>
          <w:b w:val="0"/>
          <w:bCs w:val="0"/>
        </w:rPr>
        <w:t xml:space="preserve"> (which </w:t>
      </w:r>
      <w:r w:rsidR="004023CB">
        <w:rPr>
          <w:b w:val="0"/>
          <w:bCs w:val="0"/>
        </w:rPr>
        <w:t>is based on</w:t>
      </w:r>
      <w:r w:rsidRPr="00BE2EFF">
        <w:rPr>
          <w:b w:val="0"/>
          <w:bCs w:val="0"/>
        </w:rPr>
        <w:t xml:space="preserve"> the </w:t>
      </w:r>
      <w:r w:rsidRPr="00BE2EFF">
        <w:rPr>
          <w:rFonts w:hint="cs"/>
          <w:b w:val="0"/>
          <w:bCs w:val="0"/>
          <w:rtl/>
        </w:rPr>
        <w:t>פסוק</w:t>
      </w:r>
      <w:r w:rsidRPr="00BE2EFF">
        <w:rPr>
          <w:b w:val="0"/>
          <w:bCs w:val="0"/>
        </w:rPr>
        <w:t xml:space="preserve"> of </w:t>
      </w:r>
      <w:r w:rsidRPr="00BE2EFF">
        <w:rPr>
          <w:rFonts w:hint="cs"/>
          <w:b w:val="0"/>
          <w:bCs w:val="0"/>
          <w:rtl/>
        </w:rPr>
        <w:t>כסף יתן כמוהר הבתולות (שמות [משפטים] כב</w:t>
      </w:r>
      <w:proofErr w:type="gramStart"/>
      <w:r w:rsidRPr="00BE2EFF">
        <w:rPr>
          <w:rFonts w:hint="cs"/>
          <w:b w:val="0"/>
          <w:bCs w:val="0"/>
          <w:rtl/>
        </w:rPr>
        <w:t>,טז</w:t>
      </w:r>
      <w:proofErr w:type="gramEnd"/>
      <w:r w:rsidRPr="00BE2EFF">
        <w:rPr>
          <w:b w:val="0"/>
          <w:bCs w:val="0"/>
        </w:rPr>
        <w:t xml:space="preserve">). [In our </w:t>
      </w:r>
      <w:r w:rsidRPr="00BE2EFF">
        <w:rPr>
          <w:rFonts w:hint="cs"/>
          <w:b w:val="0"/>
          <w:bCs w:val="0"/>
          <w:rtl/>
        </w:rPr>
        <w:t>כתובות</w:t>
      </w:r>
      <w:r w:rsidRPr="00BE2EFF">
        <w:rPr>
          <w:b w:val="0"/>
          <w:bCs w:val="0"/>
        </w:rPr>
        <w:t xml:space="preserve"> it reads </w:t>
      </w:r>
      <w:r w:rsidRPr="00BE2EFF">
        <w:rPr>
          <w:rFonts w:hint="cs"/>
          <w:b w:val="0"/>
          <w:bCs w:val="0"/>
          <w:rtl/>
        </w:rPr>
        <w:t>דחזי ליכי מדאורייתא</w:t>
      </w:r>
      <w:r w:rsidRPr="00BE2EFF">
        <w:rPr>
          <w:b w:val="0"/>
          <w:bCs w:val="0"/>
        </w:rPr>
        <w:t xml:space="preserve">.] However a husband may add to this </w:t>
      </w:r>
      <w:r w:rsidRPr="00BE2EFF">
        <w:rPr>
          <w:rFonts w:hint="cs"/>
          <w:b w:val="0"/>
          <w:bCs w:val="0"/>
          <w:rtl/>
        </w:rPr>
        <w:t>עיקר כתובה</w:t>
      </w:r>
      <w:r w:rsidRPr="00BE2EFF">
        <w:rPr>
          <w:b w:val="0"/>
          <w:bCs w:val="0"/>
        </w:rPr>
        <w:t xml:space="preserve"> any amount he chooses, as long as he indicates that this is a </w:t>
      </w:r>
      <w:r w:rsidRPr="00BE2EFF">
        <w:rPr>
          <w:rFonts w:hint="cs"/>
          <w:b w:val="0"/>
          <w:bCs w:val="0"/>
          <w:rtl/>
        </w:rPr>
        <w:t>תוספות</w:t>
      </w:r>
      <w:r w:rsidRPr="00BE2EFF">
        <w:rPr>
          <w:b w:val="0"/>
          <w:bCs w:val="0"/>
        </w:rPr>
        <w:t xml:space="preserve"> –</w:t>
      </w:r>
      <w:r w:rsidR="004023CB">
        <w:rPr>
          <w:b w:val="0"/>
          <w:bCs w:val="0"/>
        </w:rPr>
        <w:t xml:space="preserve"> </w:t>
      </w:r>
      <w:r w:rsidRPr="00BE2EFF">
        <w:rPr>
          <w:b w:val="0"/>
          <w:bCs w:val="0"/>
        </w:rPr>
        <w:t xml:space="preserve">an addition to the </w:t>
      </w:r>
      <w:r w:rsidRPr="00BE2EFF">
        <w:rPr>
          <w:rFonts w:hint="cs"/>
          <w:b w:val="0"/>
          <w:bCs w:val="0"/>
          <w:rtl/>
        </w:rPr>
        <w:t>עיקר כתובה</w:t>
      </w:r>
      <w:r w:rsidRPr="00BE2EFF">
        <w:rPr>
          <w:b w:val="0"/>
          <w:bCs w:val="0"/>
        </w:rPr>
        <w:t xml:space="preserve"> of </w:t>
      </w:r>
      <w:r w:rsidRPr="00BE2EFF">
        <w:rPr>
          <w:rFonts w:hint="cs"/>
          <w:b w:val="0"/>
          <w:bCs w:val="0"/>
          <w:rtl/>
        </w:rPr>
        <w:t>מאתיים</w:t>
      </w:r>
      <w:r w:rsidRPr="00BE2EFF">
        <w:rPr>
          <w:b w:val="0"/>
          <w:bCs w:val="0"/>
        </w:rPr>
        <w:t>.</w:t>
      </w:r>
    </w:p>
  </w:footnote>
  <w:footnote w:id="4">
    <w:p w:rsidR="00351677" w:rsidRPr="00BE2EFF" w:rsidRDefault="00351677" w:rsidP="004023CB">
      <w:pPr>
        <w:pStyle w:val="FootnoteText"/>
        <w:widowControl w:val="0"/>
        <w:spacing w:line="264" w:lineRule="auto"/>
        <w:rPr>
          <w:b w:val="0"/>
          <w:bCs w:val="0"/>
        </w:rPr>
      </w:pPr>
      <w:r w:rsidRPr="00BE2EFF">
        <w:rPr>
          <w:rStyle w:val="FootnoteReference"/>
          <w:b w:val="0"/>
          <w:bCs w:val="0"/>
        </w:rPr>
        <w:footnoteRef/>
      </w:r>
      <w:r w:rsidRPr="00BE2EFF">
        <w:rPr>
          <w:b w:val="0"/>
          <w:bCs w:val="0"/>
        </w:rPr>
        <w:t xml:space="preserve"> She should only collect two hundred to which she is [really] entitled to. See </w:t>
      </w:r>
      <w:r w:rsidRPr="00BE2EFF">
        <w:rPr>
          <w:rFonts w:hint="cs"/>
          <w:b w:val="0"/>
          <w:bCs w:val="0"/>
          <w:rtl/>
        </w:rPr>
        <w:t>תוה"ר</w:t>
      </w:r>
      <w:r w:rsidR="002307A5" w:rsidRPr="00BE2EFF">
        <w:rPr>
          <w:b w:val="0"/>
          <w:bCs w:val="0"/>
        </w:rPr>
        <w:t xml:space="preserve"> and </w:t>
      </w:r>
      <w:r w:rsidR="002307A5" w:rsidRPr="00BE2EFF">
        <w:rPr>
          <w:rFonts w:hint="cs"/>
          <w:b w:val="0"/>
          <w:bCs w:val="0"/>
          <w:rtl/>
        </w:rPr>
        <w:t>סוכ"ד אות כה</w:t>
      </w:r>
      <w:r w:rsidR="002307A5" w:rsidRPr="00BE2EFF">
        <w:rPr>
          <w:b w:val="0"/>
          <w:bCs w:val="0"/>
        </w:rPr>
        <w:t>.</w:t>
      </w:r>
    </w:p>
  </w:footnote>
  <w:footnote w:id="5">
    <w:p w:rsidR="00727A0A" w:rsidRPr="00BE2EFF" w:rsidRDefault="00727A0A" w:rsidP="004023CB">
      <w:pPr>
        <w:pStyle w:val="FootnoteText"/>
        <w:widowControl w:val="0"/>
        <w:spacing w:line="264" w:lineRule="auto"/>
        <w:rPr>
          <w:b w:val="0"/>
          <w:bCs w:val="0"/>
        </w:rPr>
      </w:pPr>
      <w:r w:rsidRPr="00BE2EFF">
        <w:rPr>
          <w:rStyle w:val="FootnoteReference"/>
          <w:b w:val="0"/>
          <w:bCs w:val="0"/>
        </w:rPr>
        <w:footnoteRef/>
      </w:r>
      <w:r w:rsidRPr="00BE2EFF">
        <w:rPr>
          <w:b w:val="0"/>
          <w:bCs w:val="0"/>
        </w:rPr>
        <w:t xml:space="preserve"> This may refer to places where the custom was not to write a </w:t>
      </w:r>
      <w:r w:rsidRPr="00BE2EFF">
        <w:rPr>
          <w:rFonts w:hint="cs"/>
          <w:b w:val="0"/>
          <w:bCs w:val="0"/>
          <w:rtl/>
        </w:rPr>
        <w:t>כתובה</w:t>
      </w:r>
      <w:r w:rsidRPr="00BE2EFF">
        <w:rPr>
          <w:b w:val="0"/>
          <w:bCs w:val="0"/>
        </w:rPr>
        <w:t xml:space="preserve"> at all (and rely on the </w:t>
      </w:r>
      <w:r w:rsidRPr="00BE2EFF">
        <w:rPr>
          <w:rFonts w:hint="cs"/>
          <w:b w:val="0"/>
          <w:bCs w:val="0"/>
          <w:rtl/>
        </w:rPr>
        <w:t>תנאי בי"ד</w:t>
      </w:r>
      <w:r w:rsidRPr="00BE2EFF">
        <w:rPr>
          <w:b w:val="0"/>
          <w:bCs w:val="0"/>
        </w:rPr>
        <w:t>).</w:t>
      </w:r>
    </w:p>
  </w:footnote>
  <w:footnote w:id="6">
    <w:p w:rsidR="00351677" w:rsidRPr="00BE2EFF" w:rsidRDefault="00351677" w:rsidP="004023CB">
      <w:pPr>
        <w:pStyle w:val="FootnoteText"/>
        <w:widowControl w:val="0"/>
        <w:spacing w:line="264" w:lineRule="auto"/>
        <w:rPr>
          <w:b w:val="0"/>
          <w:bCs w:val="0"/>
        </w:rPr>
      </w:pPr>
      <w:r w:rsidRPr="00BE2EFF">
        <w:rPr>
          <w:rStyle w:val="FootnoteReference"/>
          <w:b w:val="0"/>
          <w:bCs w:val="0"/>
        </w:rPr>
        <w:footnoteRef/>
      </w:r>
      <w:r w:rsidRPr="00BE2EFF">
        <w:rPr>
          <w:b w:val="0"/>
          <w:bCs w:val="0"/>
        </w:rPr>
        <w:t xml:space="preserve"> </w:t>
      </w:r>
      <w:proofErr w:type="gramStart"/>
      <w:r w:rsidRPr="00BE2EFF">
        <w:rPr>
          <w:b w:val="0"/>
          <w:bCs w:val="0"/>
        </w:rPr>
        <w:t>See ‘Thinking it over’.</w:t>
      </w:r>
      <w:proofErr w:type="gramEnd"/>
    </w:p>
  </w:footnote>
  <w:footnote w:id="7">
    <w:p w:rsidR="00727A0A" w:rsidRPr="00BE2EFF" w:rsidRDefault="00727A0A" w:rsidP="004023CB">
      <w:pPr>
        <w:pStyle w:val="FootnoteText"/>
        <w:widowControl w:val="0"/>
        <w:spacing w:line="264" w:lineRule="auto"/>
        <w:rPr>
          <w:b w:val="0"/>
          <w:bCs w:val="0"/>
        </w:rPr>
      </w:pPr>
      <w:r w:rsidRPr="00BE2EFF">
        <w:rPr>
          <w:rStyle w:val="FootnoteReference"/>
          <w:b w:val="0"/>
          <w:bCs w:val="0"/>
        </w:rPr>
        <w:footnoteRef/>
      </w:r>
      <w:r w:rsidRPr="00BE2EFF">
        <w:rPr>
          <w:b w:val="0"/>
          <w:bCs w:val="0"/>
        </w:rPr>
        <w:t xml:space="preserve"> </w:t>
      </w:r>
      <w:r w:rsidRPr="00BE2EFF">
        <w:rPr>
          <w:rFonts w:hint="cs"/>
          <w:b w:val="0"/>
          <w:bCs w:val="0"/>
          <w:rtl/>
        </w:rPr>
        <w:t>תנאי בי"ד</w:t>
      </w:r>
      <w:r w:rsidRPr="00BE2EFF">
        <w:rPr>
          <w:b w:val="0"/>
          <w:bCs w:val="0"/>
        </w:rPr>
        <w:t xml:space="preserve"> (literally, a stipulation of </w:t>
      </w:r>
      <w:r w:rsidRPr="00BE2EFF">
        <w:rPr>
          <w:rFonts w:hint="cs"/>
          <w:b w:val="0"/>
          <w:bCs w:val="0"/>
          <w:rtl/>
        </w:rPr>
        <w:t>בי"ד</w:t>
      </w:r>
      <w:r w:rsidRPr="00BE2EFF">
        <w:rPr>
          <w:b w:val="0"/>
          <w:bCs w:val="0"/>
        </w:rPr>
        <w:t xml:space="preserve">) refers to obligations that </w:t>
      </w:r>
      <w:r w:rsidRPr="00BE2EFF">
        <w:rPr>
          <w:rFonts w:hint="cs"/>
          <w:b w:val="0"/>
          <w:bCs w:val="0"/>
          <w:rtl/>
        </w:rPr>
        <w:t>בי"ד</w:t>
      </w:r>
      <w:r w:rsidRPr="00BE2EFF">
        <w:rPr>
          <w:b w:val="0"/>
          <w:bCs w:val="0"/>
        </w:rPr>
        <w:t xml:space="preserve"> places (as opposed to a self-imposed obligations [such as a loan, etc.]</w:t>
      </w:r>
      <w:r w:rsidR="004023CB">
        <w:rPr>
          <w:b w:val="0"/>
          <w:bCs w:val="0"/>
        </w:rPr>
        <w:t>)</w:t>
      </w:r>
      <w:r w:rsidRPr="00BE2EFF">
        <w:rPr>
          <w:b w:val="0"/>
          <w:bCs w:val="0"/>
        </w:rPr>
        <w:t xml:space="preserve">. </w:t>
      </w:r>
      <w:proofErr w:type="gramStart"/>
      <w:r w:rsidRPr="00BE2EFF">
        <w:rPr>
          <w:b w:val="0"/>
          <w:bCs w:val="0"/>
        </w:rPr>
        <w:t xml:space="preserve">A prime example of </w:t>
      </w:r>
      <w:r w:rsidRPr="00BE2EFF">
        <w:rPr>
          <w:rFonts w:hint="cs"/>
          <w:b w:val="0"/>
          <w:bCs w:val="0"/>
          <w:rtl/>
        </w:rPr>
        <w:t>תנאי בי"ד</w:t>
      </w:r>
      <w:r w:rsidRPr="00BE2EFF">
        <w:rPr>
          <w:b w:val="0"/>
          <w:bCs w:val="0"/>
        </w:rPr>
        <w:t xml:space="preserve"> is the </w:t>
      </w:r>
      <w:r w:rsidRPr="00BE2EFF">
        <w:rPr>
          <w:rFonts w:hint="cs"/>
          <w:b w:val="0"/>
          <w:bCs w:val="0"/>
          <w:rtl/>
        </w:rPr>
        <w:t>כתובה</w:t>
      </w:r>
      <w:r w:rsidRPr="00BE2EFF">
        <w:rPr>
          <w:b w:val="0"/>
          <w:bCs w:val="0"/>
        </w:rPr>
        <w:t>.</w:t>
      </w:r>
      <w:proofErr w:type="gramEnd"/>
      <w:r w:rsidRPr="00BE2EFF">
        <w:rPr>
          <w:b w:val="0"/>
          <w:bCs w:val="0"/>
        </w:rPr>
        <w:t xml:space="preserve"> There is an obligation for every married man to discharge all the obligations of a </w:t>
      </w:r>
      <w:r w:rsidRPr="00BE2EFF">
        <w:rPr>
          <w:rFonts w:hint="cs"/>
          <w:b w:val="0"/>
          <w:bCs w:val="0"/>
          <w:rtl/>
        </w:rPr>
        <w:t>כתובה</w:t>
      </w:r>
      <w:r w:rsidRPr="00BE2EFF">
        <w:rPr>
          <w:b w:val="0"/>
          <w:bCs w:val="0"/>
        </w:rPr>
        <w:t xml:space="preserve">, whether he agreed to it and wrote the </w:t>
      </w:r>
      <w:r w:rsidRPr="00BE2EFF">
        <w:rPr>
          <w:rFonts w:hint="cs"/>
          <w:b w:val="0"/>
          <w:bCs w:val="0"/>
          <w:rtl/>
        </w:rPr>
        <w:t>כתובה</w:t>
      </w:r>
      <w:r w:rsidRPr="00BE2EFF">
        <w:rPr>
          <w:b w:val="0"/>
          <w:bCs w:val="0"/>
        </w:rPr>
        <w:t xml:space="preserve"> or not.</w:t>
      </w:r>
    </w:p>
  </w:footnote>
  <w:footnote w:id="8">
    <w:p w:rsidR="00727A0A" w:rsidRPr="004023CB" w:rsidRDefault="00727A0A" w:rsidP="004023CB">
      <w:pPr>
        <w:pStyle w:val="FootnoteText"/>
        <w:widowControl w:val="0"/>
        <w:spacing w:line="264" w:lineRule="auto"/>
        <w:rPr>
          <w:b w:val="0"/>
          <w:bCs w:val="0"/>
        </w:rPr>
      </w:pPr>
      <w:r w:rsidRPr="004023CB">
        <w:rPr>
          <w:rStyle w:val="FootnoteReference"/>
          <w:b w:val="0"/>
          <w:bCs w:val="0"/>
        </w:rPr>
        <w:footnoteRef/>
      </w:r>
      <w:r w:rsidRPr="004023CB">
        <w:rPr>
          <w:b w:val="0"/>
          <w:bCs w:val="0"/>
        </w:rPr>
        <w:t xml:space="preserve"> Every person must pay the </w:t>
      </w:r>
      <w:r w:rsidRPr="004023CB">
        <w:rPr>
          <w:rFonts w:hint="cs"/>
          <w:b w:val="0"/>
          <w:bCs w:val="0"/>
          <w:rtl/>
        </w:rPr>
        <w:t>כתובה</w:t>
      </w:r>
      <w:r w:rsidRPr="004023CB">
        <w:rPr>
          <w:b w:val="0"/>
          <w:bCs w:val="0"/>
        </w:rPr>
        <w:t xml:space="preserve"> (of </w:t>
      </w:r>
      <w:r w:rsidRPr="004023CB">
        <w:rPr>
          <w:rFonts w:hint="cs"/>
          <w:b w:val="0"/>
          <w:bCs w:val="0"/>
          <w:rtl/>
        </w:rPr>
        <w:t>מאתיים</w:t>
      </w:r>
      <w:r w:rsidRPr="004023CB">
        <w:rPr>
          <w:b w:val="0"/>
          <w:bCs w:val="0"/>
        </w:rPr>
        <w:t xml:space="preserve"> for a </w:t>
      </w:r>
      <w:r w:rsidRPr="004023CB">
        <w:rPr>
          <w:rFonts w:hint="cs"/>
          <w:b w:val="0"/>
          <w:bCs w:val="0"/>
          <w:rtl/>
        </w:rPr>
        <w:t>בתולה</w:t>
      </w:r>
      <w:r w:rsidRPr="004023CB">
        <w:rPr>
          <w:b w:val="0"/>
          <w:bCs w:val="0"/>
        </w:rPr>
        <w:t xml:space="preserve">) whether he wrote a </w:t>
      </w:r>
      <w:r w:rsidRPr="004023CB">
        <w:rPr>
          <w:rFonts w:hint="cs"/>
          <w:b w:val="0"/>
          <w:bCs w:val="0"/>
          <w:rtl/>
        </w:rPr>
        <w:t>כתובה</w:t>
      </w:r>
      <w:r w:rsidRPr="004023CB">
        <w:rPr>
          <w:b w:val="0"/>
          <w:bCs w:val="0"/>
        </w:rPr>
        <w:t xml:space="preserve"> or not. See footnote # </w:t>
      </w:r>
      <w:r w:rsidR="004023CB" w:rsidRPr="004023CB">
        <w:rPr>
          <w:b w:val="0"/>
          <w:bCs w:val="0"/>
        </w:rPr>
        <w:t>7</w:t>
      </w:r>
      <w:r w:rsidRPr="004023CB">
        <w:rPr>
          <w:b w:val="0"/>
          <w:bCs w:val="0"/>
        </w:rPr>
        <w:t>.</w:t>
      </w:r>
    </w:p>
  </w:footnote>
  <w:footnote w:id="9">
    <w:p w:rsidR="004023CB" w:rsidRPr="004023CB" w:rsidRDefault="004023CB" w:rsidP="004023CB">
      <w:pPr>
        <w:pStyle w:val="FootnoteText"/>
        <w:spacing w:line="264" w:lineRule="auto"/>
        <w:rPr>
          <w:b w:val="0"/>
          <w:bCs w:val="0"/>
        </w:rPr>
      </w:pPr>
      <w:r w:rsidRPr="004023CB">
        <w:rPr>
          <w:rStyle w:val="FootnoteReference"/>
          <w:b w:val="0"/>
          <w:bCs w:val="0"/>
        </w:rPr>
        <w:footnoteRef/>
      </w:r>
      <w:r w:rsidRPr="004023CB">
        <w:rPr>
          <w:b w:val="0"/>
          <w:bCs w:val="0"/>
        </w:rPr>
        <w:t xml:space="preserve"> See footnote # 6.</w:t>
      </w:r>
    </w:p>
  </w:footnote>
  <w:footnote w:id="10">
    <w:p w:rsidR="002307A5" w:rsidRPr="004023CB" w:rsidRDefault="002307A5" w:rsidP="004023CB">
      <w:pPr>
        <w:pStyle w:val="FootnoteText"/>
        <w:spacing w:line="264" w:lineRule="auto"/>
        <w:rPr>
          <w:b w:val="0"/>
          <w:bCs w:val="0"/>
        </w:rPr>
      </w:pPr>
      <w:r w:rsidRPr="004023CB">
        <w:rPr>
          <w:rStyle w:val="FootnoteReference"/>
          <w:b w:val="0"/>
          <w:bCs w:val="0"/>
        </w:rPr>
        <w:footnoteRef/>
      </w:r>
      <w:r w:rsidRPr="004023CB">
        <w:rPr>
          <w:b w:val="0"/>
          <w:bCs w:val="0"/>
        </w:rPr>
        <w:t xml:space="preserve"> See </w:t>
      </w:r>
      <w:r w:rsidRPr="004023CB">
        <w:rPr>
          <w:rFonts w:hint="cs"/>
          <w:b w:val="0"/>
          <w:bCs w:val="0"/>
          <w:rtl/>
        </w:rPr>
        <w:t>פרדס יצחק אות מז</w:t>
      </w:r>
      <w:r w:rsidRPr="004023C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B66" w:rsidRPr="005C4B66" w:rsidRDefault="005C4B66" w:rsidP="005C4B66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יב,ב תוס' ד"ה בית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09"/>
    <w:rsid w:val="001A56D8"/>
    <w:rsid w:val="001B523B"/>
    <w:rsid w:val="002307A5"/>
    <w:rsid w:val="002D5272"/>
    <w:rsid w:val="00351677"/>
    <w:rsid w:val="003D4453"/>
    <w:rsid w:val="004023CB"/>
    <w:rsid w:val="005C4B66"/>
    <w:rsid w:val="00727A0A"/>
    <w:rsid w:val="007E1061"/>
    <w:rsid w:val="0093758B"/>
    <w:rsid w:val="00981709"/>
    <w:rsid w:val="00A8373C"/>
    <w:rsid w:val="00AF6C94"/>
    <w:rsid w:val="00BE2EFF"/>
    <w:rsid w:val="00C1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66"/>
  </w:style>
  <w:style w:type="paragraph" w:styleId="Footer">
    <w:name w:val="footer"/>
    <w:basedOn w:val="Normal"/>
    <w:link w:val="FooterChar"/>
    <w:uiPriority w:val="99"/>
    <w:unhideWhenUsed/>
    <w:rsid w:val="005C4B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66"/>
  </w:style>
  <w:style w:type="paragraph" w:styleId="FootnoteText">
    <w:name w:val="footnote text"/>
    <w:basedOn w:val="Normal"/>
    <w:link w:val="FootnoteTextChar"/>
    <w:uiPriority w:val="99"/>
    <w:semiHidden/>
    <w:unhideWhenUsed/>
    <w:rsid w:val="001A56D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6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6D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66"/>
  </w:style>
  <w:style w:type="paragraph" w:styleId="Footer">
    <w:name w:val="footer"/>
    <w:basedOn w:val="Normal"/>
    <w:link w:val="FooterChar"/>
    <w:uiPriority w:val="99"/>
    <w:unhideWhenUsed/>
    <w:rsid w:val="005C4B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66"/>
  </w:style>
  <w:style w:type="paragraph" w:styleId="FootnoteText">
    <w:name w:val="footnote text"/>
    <w:basedOn w:val="Normal"/>
    <w:link w:val="FootnoteTextChar"/>
    <w:uiPriority w:val="99"/>
    <w:semiHidden/>
    <w:unhideWhenUsed/>
    <w:rsid w:val="001A56D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6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6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cp:lastPrinted>2015-12-20T02:09:00Z</cp:lastPrinted>
  <dcterms:created xsi:type="dcterms:W3CDTF">2015-12-20T00:45:00Z</dcterms:created>
  <dcterms:modified xsi:type="dcterms:W3CDTF">2015-12-20T02:12:00Z</dcterms:modified>
</cp:coreProperties>
</file>