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36"/>
          <w:sz-cs w:val="36"/>
          <w:b/>
        </w:rPr>
        <w:t xml:space="preserve">והוא</w:t>
      </w:r>
      <w:r>
        <w:rPr>
          <w:rFonts w:ascii="Times New Roman" w:hAnsi="Times New Roman" w:cs="Times New Roman"/>
          <w:sz w:val="28"/>
          <w:sz-cs w:val="28"/>
          <w:b/>
        </w:rPr>
        <w:t xml:space="preserve"> </w:t>
      </w:r>
      <w:r>
        <w:rPr>
          <w:rFonts w:ascii="Times New Roman" w:hAnsi="Times New Roman" w:cs="Times New Roman"/>
          <w:sz w:val="32"/>
          <w:sz-cs w:val="32"/>
          <w:b/>
        </w:rPr>
        <w:t xml:space="preserve">אומר לא כי כולי -                  And he says it is not so, but </w:t>
      </w:r>
      <w:r>
        <w:rPr>
          <w:rFonts w:ascii="Times New Roman" w:hAnsi="Times New Roman" w:cs="Times New Roman"/>
          <w:sz w:val="32"/>
          <w:sz-cs w:val="32"/>
        </w:rPr>
        <w:t xml:space="preserve">rather</w:t>
      </w:r>
      <w:r>
        <w:rPr>
          <w:rFonts w:ascii="Times New Roman" w:hAnsi="Times New Roman" w:cs="Times New Roman"/>
          <w:sz w:val="32"/>
          <w:sz-cs w:val="32"/>
          <w:b/>
        </w:rPr>
        <w:t xml:space="preserve">, etc.</w:t>
      </w:r>
      <w:r>
        <w:rPr>
          <w:rFonts w:ascii="Times New Roman" w:hAnsi="Times New Roman" w:cs="Times New Roman"/>
          <w:sz w:val="28"/>
          <w:sz-cs w:val="28"/>
          <w:b/>
        </w:rPr>
        <w:t xml:space="preserve"/>
      </w:r>
    </w:p>
    <w:p>
      <w:pPr>
        <w:jc w:val="both"/>
      </w:pPr>
      <w:r>
        <w:rPr>
          <w:rFonts w:ascii="Times New Roman" w:hAnsi="Times New Roman" w:cs="Times New Roman"/>
          <w:sz w:val="24"/>
          <w:sz-cs w:val="24"/>
        </w:rPr>
        <w:t xml:space="preserve"/>
      </w:r>
    </w:p>
    <w:p>
      <w:pPr>
        <w:jc w:val="both"/>
      </w:pPr>
      <w:r>
        <w:rPr>
          <w:rFonts w:ascii="Copperplate" w:hAnsi="Copperplate" w:cs="Copperplate"/>
          <w:sz w:val="28"/>
          <w:sz-cs w:val="28"/>
          <w:u w:val="double"/>
        </w:rPr>
        <w:t xml:space="preserve">Overview</w:t>
      </w:r>
    </w:p>
    <w:p>
      <w:pPr>
        <w:jc w:val="both"/>
      </w:pPr>
      <w:r>
        <w:rPr>
          <w:rFonts w:ascii="Times New Roman" w:hAnsi="Times New Roman" w:cs="Times New Roman"/>
          <w:sz w:val="28"/>
          <w:sz-cs w:val="28"/>
        </w:rPr>
        <w:t xml:space="preserve">The משנה prefaces the claim of the husband (עד שלא ארסתיך נאנסת) with the phrase 'לא כי וכו''. This phrase denotes (as the גמרא states elsewhere) sureness on behalf of the claimant. In our case the husband is not sure at all when the אונס took place. The phrase לא כי וכו' seems inappropriate here. תוספות will clarify this difficulty.</w:t>
      </w:r>
    </w:p>
    <w:p>
      <w:pPr>
        <w:jc w:val="center"/>
      </w:pPr>
      <w:r>
        <w:rPr>
          <w:rFonts w:ascii="Times New Roman" w:hAnsi="Times New Roman" w:cs="Times New Roman"/>
          <w:sz w:val="24"/>
          <w:sz-cs w:val="24"/>
        </w:rPr>
        <w:t xml:space="preserve">-----------------</w:t>
      </w:r>
    </w:p>
    <w:p>
      <w:pPr>
        <w:jc w:val="both"/>
        <w:bidi/>
      </w:pPr>
      <w:r>
        <w:rPr>
          <w:rFonts w:ascii="Times" w:hAnsi="Times" w:cs="Times"/>
          <w:sz w:val="28"/>
          <w:sz-cs w:val="28"/>
          <w:b/>
        </w:rPr>
        <w:t xml:space="preserve">אף על גב דבסוף המניח </w:t>
      </w:r>
      <w:r>
        <w:rPr>
          <w:rFonts w:ascii="Times" w:hAnsi="Times" w:cs="Times"/>
          <w:sz w:val="20"/>
          <w:sz-cs w:val="20"/>
          <w:b/>
        </w:rPr>
        <w:t xml:space="preserve">(ב"ק דף לה,ב ושם)</w:t>
      </w:r>
      <w:r>
        <w:rPr>
          <w:rFonts w:ascii="Times" w:hAnsi="Times" w:cs="Times"/>
          <w:sz w:val="28"/>
          <w:sz-cs w:val="28"/>
          <w:b/>
        </w:rPr>
        <w:t xml:space="preserve"> דייק מדקתני לא כי דמיירי בברי -</w:t>
      </w:r>
    </w:p>
    <w:p>
      <w:pPr>
        <w:jc w:val="both"/>
      </w:pPr>
      <w:r>
        <w:rPr>
          <w:rFonts w:ascii="Times New Roman" w:hAnsi="Times New Roman" w:cs="Times New Roman"/>
          <w:sz w:val="28"/>
          <w:sz-cs w:val="28"/>
          <w:b/>
        </w:rPr>
        <w:t xml:space="preserve">Even though that in the end of </w:t>
      </w:r>
      <w:r>
        <w:rPr>
          <w:rFonts w:ascii="Times New Roman" w:hAnsi="Times New Roman" w:cs="Times New Roman"/>
          <w:sz w:val="28"/>
          <w:sz-cs w:val="28"/>
        </w:rPr>
        <w:t xml:space="preserve">פרק</w:t>
      </w:r>
      <w:r>
        <w:rPr>
          <w:rFonts w:ascii="Times New Roman" w:hAnsi="Times New Roman" w:cs="Times New Roman"/>
          <w:sz w:val="28"/>
          <w:sz-cs w:val="28"/>
          <w:b/>
        </w:rPr>
        <w:t xml:space="preserve"> המניח </w:t>
      </w:r>
      <w:r>
        <w:rPr>
          <w:rFonts w:ascii="Times New Roman" w:hAnsi="Times New Roman" w:cs="Times New Roman"/>
          <w:sz w:val="28"/>
          <w:sz-cs w:val="28"/>
        </w:rPr>
        <w:t xml:space="preserve">the גמרא </w:t>
      </w:r>
      <w:r>
        <w:rPr>
          <w:rFonts w:ascii="Times New Roman" w:hAnsi="Times New Roman" w:cs="Times New Roman"/>
          <w:sz w:val="28"/>
          <w:sz-cs w:val="28"/>
          <w:b/>
        </w:rPr>
        <w:t xml:space="preserve">infers from </w:t>
      </w:r>
      <w:r>
        <w:rPr>
          <w:rFonts w:ascii="Times New Roman" w:hAnsi="Times New Roman" w:cs="Times New Roman"/>
          <w:sz w:val="28"/>
          <w:sz-cs w:val="28"/>
        </w:rPr>
        <w:t xml:space="preserve">the fact </w:t>
      </w:r>
      <w:r>
        <w:rPr>
          <w:rFonts w:ascii="Times New Roman" w:hAnsi="Times New Roman" w:cs="Times New Roman"/>
          <w:sz w:val="28"/>
          <w:sz-cs w:val="28"/>
          <w:b/>
        </w:rPr>
        <w:t xml:space="preserve">that the משנה </w:t>
      </w:r>
      <w:r>
        <w:rPr>
          <w:rFonts w:ascii="Times New Roman" w:hAnsi="Times New Roman" w:cs="Times New Roman"/>
          <w:sz w:val="28"/>
          <w:sz-cs w:val="28"/>
        </w:rPr>
        <w:t xml:space="preserve">there </w:t>
      </w:r>
      <w:r>
        <w:rPr>
          <w:rFonts w:ascii="Times New Roman" w:hAnsi="Times New Roman" w:cs="Times New Roman"/>
          <w:sz w:val="28"/>
          <w:sz-cs w:val="28"/>
          <w:b/>
        </w:rPr>
        <w:t xml:space="preserve">states 'לא כי' (it is not so, but rather, </w:t>
      </w:r>
      <w:r>
        <w:rPr>
          <w:rFonts w:ascii="Times New Roman" w:hAnsi="Times New Roman" w:cs="Times New Roman"/>
          <w:sz w:val="28"/>
          <w:sz-cs w:val="28"/>
        </w:rPr>
        <w:t xml:space="preserve">etc.) </w:t>
      </w:r>
      <w:r>
        <w:rPr>
          <w:rFonts w:ascii="Times New Roman" w:hAnsi="Times New Roman" w:cs="Times New Roman"/>
          <w:sz w:val="28"/>
          <w:sz-cs w:val="28"/>
          <w:b/>
        </w:rPr>
        <w:t xml:space="preserve">that we are discussing </w:t>
      </w:r>
      <w:r>
        <w:rPr>
          <w:rFonts w:ascii="Times New Roman" w:hAnsi="Times New Roman" w:cs="Times New Roman"/>
          <w:sz w:val="28"/>
          <w:sz-cs w:val="28"/>
        </w:rPr>
        <w:t xml:space="preserve">a case where the one who states 'לא כי' </w:t>
      </w:r>
      <w:r>
        <w:rPr>
          <w:rFonts w:ascii="Times New Roman" w:hAnsi="Times New Roman" w:cs="Times New Roman"/>
          <w:sz w:val="28"/>
          <w:sz-cs w:val="28"/>
          <w:b/>
        </w:rPr>
        <w:t xml:space="preserve">is certain </w:t>
      </w:r>
      <w:r>
        <w:rPr>
          <w:rFonts w:ascii="Times New Roman" w:hAnsi="Times New Roman" w:cs="Times New Roman"/>
          <w:sz w:val="24"/>
          <w:sz-cs w:val="24"/>
        </w:rPr>
        <w:t xml:space="preserve">of his claim; he is not arguing that </w:t>
      </w:r>
      <w:r>
        <w:rPr>
          <w:rFonts w:ascii="Times New Roman" w:hAnsi="Times New Roman" w:cs="Times New Roman"/>
          <w:sz w:val="24"/>
          <w:sz-cs w:val="24"/>
          <w:i/>
        </w:rPr>
        <w:t xml:space="preserve">perhaps</w:t>
      </w:r>
      <w:r>
        <w:rPr>
          <w:rFonts w:ascii="Times New Roman" w:hAnsi="Times New Roman" w:cs="Times New Roman"/>
          <w:sz w:val="24"/>
          <w:sz-cs w:val="24"/>
        </w:rPr>
        <w:t xml:space="preserve"> it is different than the plaintiff alleges, but rather the emphatic phrase לא כי denotes that he is certain of his claim. This poses a problem, for in our משנה, where the husband uses the phrase לא כי, he is merely claiming that </w:t>
      </w:r>
      <w:r>
        <w:rPr>
          <w:rFonts w:ascii="Times New Roman" w:hAnsi="Times New Roman" w:cs="Times New Roman"/>
          <w:sz w:val="24"/>
          <w:sz-cs w:val="24"/>
          <w:i/>
        </w:rPr>
        <w:t xml:space="preserve">perhaps</w:t>
      </w:r>
      <w:r>
        <w:rPr>
          <w:rFonts w:ascii="Times New Roman" w:hAnsi="Times New Roman" w:cs="Times New Roman"/>
          <w:sz w:val="24"/>
          <w:sz-cs w:val="24"/>
        </w:rPr>
        <w:t xml:space="preserve"> the woman was נאנס before the קידושין. Our משנה seems to contradict the inference of the גמרא in המניח, that the term 'לא כי' is used only by a טענת ברי.</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תוספות responds, that there is no difficulty, for -</w:t>
      </w:r>
    </w:p>
    <w:p>
      <w:pPr>
        <w:jc w:val="both"/>
        <w:bidi/>
      </w:pPr>
      <w:r>
        <w:rPr>
          <w:rFonts w:ascii="Times" w:hAnsi="Times" w:cs="Times"/>
          <w:sz w:val="28"/>
          <w:sz-cs w:val="28"/>
          <w:b/>
        </w:rPr>
        <w:t xml:space="preserve">הכא דליכא למיטעי קתני לא כי אף על גב דאיירי בשמא:</w:t>
      </w:r>
    </w:p>
    <w:p>
      <w:pPr>
        <w:jc w:val="both"/>
      </w:pPr>
      <w:r>
        <w:rPr>
          <w:rFonts w:ascii="Times New Roman" w:hAnsi="Times New Roman" w:cs="Times New Roman"/>
          <w:sz w:val="28"/>
          <w:sz-cs w:val="28"/>
          <w:b/>
        </w:rPr>
        <w:t xml:space="preserve">Here </w:t>
      </w:r>
      <w:r>
        <w:rPr>
          <w:rFonts w:ascii="Times New Roman" w:hAnsi="Times New Roman" w:cs="Times New Roman"/>
          <w:sz w:val="28"/>
          <w:sz-cs w:val="28"/>
        </w:rPr>
        <w:t xml:space="preserve">in our משנה </w:t>
      </w:r>
      <w:r>
        <w:rPr>
          <w:rFonts w:ascii="Times New Roman" w:hAnsi="Times New Roman" w:cs="Times New Roman"/>
          <w:sz w:val="28"/>
          <w:sz-cs w:val="28"/>
          <w:b/>
        </w:rPr>
        <w:t xml:space="preserve">where there is no </w:t>
      </w:r>
      <w:r>
        <w:rPr>
          <w:rFonts w:ascii="Times New Roman" w:hAnsi="Times New Roman" w:cs="Times New Roman"/>
          <w:sz w:val="28"/>
          <w:sz-cs w:val="28"/>
        </w:rPr>
        <w:t xml:space="preserve">possibility </w:t>
      </w:r>
      <w:r>
        <w:rPr>
          <w:rFonts w:ascii="Times New Roman" w:hAnsi="Times New Roman" w:cs="Times New Roman"/>
          <w:sz w:val="28"/>
          <w:sz-cs w:val="28"/>
          <w:b/>
        </w:rPr>
        <w:t xml:space="preserve">to mistake </w:t>
      </w:r>
      <w:r>
        <w:rPr>
          <w:rFonts w:ascii="Times New Roman" w:hAnsi="Times New Roman" w:cs="Times New Roman"/>
          <w:sz w:val="28"/>
          <w:sz-cs w:val="28"/>
        </w:rPr>
        <w:t xml:space="preserve">the term 'לא כי' to mean a טענת ברי; for everyone understands that the husband does not know that the אונס took place before the קידושין,</w:t>
      </w:r>
      <w:r>
        <w:rPr>
          <w:rFonts w:ascii="Times New Roman" w:hAnsi="Times New Roman" w:cs="Times New Roman"/>
          <w:sz w:val="24"/>
          <w:sz-cs w:val="24"/>
        </w:rPr>
        <w:t xml:space="preserve"> </w:t>
      </w:r>
      <w:r>
        <w:rPr>
          <w:rFonts w:ascii="Times New Roman" w:hAnsi="Times New Roman" w:cs="Times New Roman"/>
          <w:sz w:val="28"/>
          <w:sz-cs w:val="28"/>
          <w:b/>
        </w:rPr>
        <w:t xml:space="preserve">the משנה </w:t>
      </w:r>
      <w:r>
        <w:rPr>
          <w:rFonts w:ascii="Times New Roman" w:hAnsi="Times New Roman" w:cs="Times New Roman"/>
          <w:sz w:val="28"/>
          <w:sz-cs w:val="28"/>
        </w:rPr>
        <w:t xml:space="preserve">feels free to use the expression </w:t>
      </w:r>
      <w:r>
        <w:rPr>
          <w:rFonts w:ascii="Times New Roman" w:hAnsi="Times New Roman" w:cs="Times New Roman"/>
          <w:sz w:val="28"/>
          <w:sz-cs w:val="28"/>
          <w:b/>
        </w:rPr>
        <w:t xml:space="preserve">'לא כי'</w:t>
      </w:r>
      <w:r>
        <w:rPr>
          <w:rFonts w:ascii="Times New Roman" w:hAnsi="Times New Roman" w:cs="Times New Roman"/>
          <w:sz w:val="28"/>
          <w:sz-cs w:val="28"/>
        </w:rPr>
        <w:t xml:space="preserve"> </w:t>
      </w:r>
      <w:r>
        <w:rPr>
          <w:rFonts w:ascii="Times New Roman" w:hAnsi="Times New Roman" w:cs="Times New Roman"/>
          <w:sz w:val="28"/>
          <w:sz-cs w:val="28"/>
          <w:b/>
        </w:rPr>
        <w:t xml:space="preserve">even though we are </w:t>
      </w:r>
      <w:r>
        <w:rPr>
          <w:rFonts w:ascii="Times New Roman" w:hAnsi="Times New Roman" w:cs="Times New Roman"/>
          <w:sz w:val="28"/>
          <w:sz-cs w:val="28"/>
        </w:rPr>
        <w:t xml:space="preserve">obviously </w:t>
      </w:r>
      <w:r>
        <w:rPr>
          <w:rFonts w:ascii="Times New Roman" w:hAnsi="Times New Roman" w:cs="Times New Roman"/>
          <w:sz w:val="28"/>
          <w:sz-cs w:val="28"/>
          <w:b/>
        </w:rPr>
        <w:t xml:space="preserve">discussing </w:t>
      </w:r>
      <w:r>
        <w:rPr>
          <w:rFonts w:ascii="Times New Roman" w:hAnsi="Times New Roman" w:cs="Times New Roman"/>
          <w:sz w:val="28"/>
          <w:sz-cs w:val="28"/>
        </w:rPr>
        <w:t xml:space="preserve">a case where the claim of the husband is a </w:t>
      </w:r>
      <w:r>
        <w:rPr>
          <w:rFonts w:ascii="Times New Roman" w:hAnsi="Times New Roman" w:cs="Times New Roman"/>
          <w:sz w:val="28"/>
          <w:sz-cs w:val="28"/>
          <w:b/>
        </w:rPr>
        <w:t xml:space="preserve">‘maybe’ </w:t>
      </w:r>
      <w:r>
        <w:rPr>
          <w:rFonts w:ascii="Times New Roman" w:hAnsi="Times New Roman" w:cs="Times New Roman"/>
          <w:sz w:val="24"/>
          <w:sz-cs w:val="24"/>
        </w:rPr>
        <w:t xml:space="preserve">claim. No one will mistakenly assume that it is a ברי claim in our משנה. It is only where we are not sure whether the claim is a ברי or a שמא that the תנא of the משנה is careful not to use the term 'לא כי', unless he wants to convey to us that we are discussing a טענת ברי.</w:t>
      </w:r>
      <w:r>
        <w:rPr>
          <w:rFonts w:ascii="Times New Roman" w:hAnsi="Times New Roman" w:cs="Times New Roman"/>
          <w:sz w:val="24"/>
          <w:sz-cs w:val="24"/>
          <w:b/>
        </w:rPr>
        <w:t xml:space="preserve">  </w:t>
      </w:r>
    </w:p>
    <w:p>
      <w:pPr>
        <w:jc w:val="both"/>
      </w:pPr>
      <w:r>
        <w:rPr>
          <w:rFonts w:ascii="Times New Roman" w:hAnsi="Times New Roman" w:cs="Times New Roman"/>
          <w:sz w:val="24"/>
          <w:sz-cs w:val="24"/>
          <w:b/>
        </w:rPr>
        <w:t xml:space="preserve"/>
      </w:r>
    </w:p>
    <w:p>
      <w:pPr/>
      <w:r>
        <w:rPr>
          <w:rFonts w:ascii="Copperplate" w:hAnsi="Copperplate" w:cs="Copperplate"/>
          <w:sz w:val="28"/>
          <w:sz-cs w:val="28"/>
          <w:u w:val="double"/>
        </w:rPr>
        <w:t xml:space="preserve">Summary</w:t>
      </w:r>
    </w:p>
    <w:p>
      <w:pPr>
        <w:jc w:val="both"/>
      </w:pPr>
      <w:r>
        <w:rPr>
          <w:rFonts w:ascii="Times New Roman" w:hAnsi="Times New Roman" w:cs="Times New Roman"/>
          <w:sz w:val="28"/>
          <w:sz-cs w:val="28"/>
        </w:rPr>
        <w:t xml:space="preserve">The משנה uses the phrase לא כי וכו' to denote a טענת ברי. This rule is valid only when it is not clear from the case itself, whether it is a טענת ברי or not. In cases where it cannot be a טענת ברי, the משנה may use the phrase of לא כי.</w:t>
      </w:r>
    </w:p>
    <w:p>
      <w:pPr/>
      <w:r>
        <w:rPr>
          <w:rFonts w:ascii="Copperplate" w:hAnsi="Copperplate" w:cs="Copperplate"/>
          <w:sz w:val="28"/>
          <w:sz-cs w:val="28"/>
          <w:u w:val="double"/>
        </w:rPr>
        <w:t xml:space="preserve">Thinking it over</w:t>
      </w:r>
    </w:p>
    <w:p>
      <w:pPr/>
      <w:r>
        <w:rPr>
          <w:rFonts w:ascii="Times New Roman" w:hAnsi="Times New Roman" w:cs="Times New Roman"/>
          <w:sz w:val="28"/>
          <w:sz-cs w:val="28"/>
        </w:rPr>
        <w:t xml:space="preserve">Why indeed does the משנה choose to use the phrase לא כי, even though it is a טענת שמא?</w:t>
      </w:r>
    </w:p>
    <w:p>
      <w:pPr>
        <w:jc w:val="both"/>
      </w:pPr>
      <w:r>
        <w:rPr>
          <w:rFonts w:ascii="Times New Roman" w:hAnsi="Times New Roman" w:cs="Times New Roman"/>
          <w:sz w:val="20"/>
          <w:sz-cs w:val="20"/>
        </w:rPr>
        <w:t xml:space="preserve"> The משנה there is discussing a case where one ox gored another. The מזיק claimed that the ox that gored was a שור תם; while the ניזק responds לא כי אלא מועד היזק. The גמרא infers from the phrase לא כי אלא, that the ניזק has a טענת ברי.</w:t>
      </w:r>
    </w:p>
    <w:p>
      <w:pPr>
        <w:jc w:val="both"/>
      </w:pPr>
      <w:r>
        <w:rPr>
          <w:rFonts w:ascii="Times New Roman" w:hAnsi="Times New Roman" w:cs="Times New Roman"/>
          <w:sz w:val="20"/>
          <w:sz-cs w:val="20"/>
        </w:rPr>
        <w:t xml:space="preserve"> The husband certainly did not know of her status as a בעולה before the נישואין; otherwise he would have brought it up, or by his lack of mentioning it, he is accepting her as a בעולה and cannot have any claim. </w:t>
      </w:r>
    </w:p>
    <w:p>
      <w:pPr/>
      <w:r>
        <w:rPr>
          <w:rFonts w:ascii="Times New Roman" w:hAnsi="Times New Roman" w:cs="Times New Roman"/>
          <w:sz w:val="20"/>
          <w:sz-cs w:val="20"/>
        </w:rPr>
        <w:t xml:space="preserve"> See ‘Thinking it over’.</w:t>
      </w:r>
    </w:p>
    <w:p>
      <w:pPr/>
      <w:r>
        <w:rPr>
          <w:rFonts w:ascii="Times New Roman" w:hAnsi="Times New Roman" w:cs="Times New Roman"/>
          <w:sz w:val="20"/>
          <w:sz-cs w:val="20"/>
        </w:rPr>
        <w:t xml:space="preserve"> See footnote #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בס"ד. כתובות יב,ב ד"ה והוא</w:t>
      </w:r>
    </w:p>
    <w:p>
      <w:pPr/>
      <w:r>
        <w:rPr>
          <w:rFonts w:ascii="Times New Roman" w:hAnsi="Times New Roman" w:cs="Times New Roman"/>
          <w:sz w:val="24"/>
          <w:sz-cs w:val="24"/>
        </w:rPr>
        <w:t xml:space="preserve"/>
      </w:r>
    </w:p>
    <w:p>
      <w:pPr>
        <w:jc w:val="center"/>
      </w:pPr>
      <w:r>
        <w:rPr>
          <w:rFonts w:ascii="Times New Roman" w:hAnsi="Times New Roman" w:cs="Times New Roman"/>
          <w:sz w:val="20"/>
          <w:sz-cs w:val="20"/>
        </w:rPr>
        <w:t xml:space="preserve"> PAGE   \* MERGEFORMAT 2</w:t>
      </w:r>
      <w:r>
        <w:rPr>
          <w:rFonts w:ascii="Times New Roman" w:hAnsi="Times New Roman" w:cs="Times New Roman"/>
          <w:sz w:val="16"/>
          <w:sz-cs w:val="16"/>
        </w:rPr>
        <w:t xml:space="preserve"/>
      </w:r>
    </w:p>
    <w:p>
      <w:pPr>
        <w:jc w:val="center"/>
      </w:pPr>
      <w:r>
        <w:rPr>
          <w:rFonts w:ascii="Times New Roman" w:hAnsi="Times New Roman" w:cs="Times New Roman"/>
          <w:sz w:val="16"/>
          <w:sz-cs w:val="16"/>
        </w:rPr>
        <w:t xml:space="preserve">TosfosInEnglish.com</w:t>
      </w:r>
    </w:p>
    <w:p>
      <w:pPr>
        <w:jc w:val="center"/>
      </w:pPr>
      <w:r>
        <w:rPr>
          <w:rFonts w:ascii="Times New Roman" w:hAnsi="Times New Roman" w:cs="Times New Roman"/>
          <w:sz w:val="16"/>
          <w:sz-cs w:val="1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Oholei Torah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והוא אומר לא כי כולי – And he says it is not so but rather, etc</dc:title>
  <dc:subject/>
  <dc:creator>Ephraim piekarski</dc:creator>
  <cp:keywords/>
  <cp:lastModifiedBy>Ephraim</cp:lastModifiedBy>
  <dcterms:created>2015-08-11T18:08:00Z</dcterms:created>
  <dcterms:modified>2015-08-11T18:08:00Z</dcterms:modified>
</cp:coreProperties>
</file>

<file path=docProps/meta.xml><?xml version="1.0" encoding="utf-8"?>
<meta xmlns="http://schemas.apple.com/cocoa/2006/metadata">
  <generator>CocoaOOXMLWriter/2113</generator>
</meta>
</file>