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36"/>
          <w:sz-cs w:val="36"/>
          <w:b/>
        </w:rPr>
        <w:t xml:space="preserve">אלא</w:t>
      </w:r>
      <w:r>
        <w:rPr>
          <w:rFonts w:ascii="Times New Roman" w:hAnsi="Times New Roman" w:cs="Times New Roman"/>
          <w:sz w:val="32"/>
          <w:sz-cs w:val="32"/>
          <w:b/>
        </w:rPr>
        <w:t xml:space="preserve"> דאיכא מיגו -                     </w:t>
      </w:r>
      <w:r>
        <w:rPr>
          <w:rFonts w:ascii="Times New Roman" w:hAnsi="Times New Roman" w:cs="Times New Roman"/>
          <w:sz w:val="16"/>
          <w:sz-cs w:val="16"/>
          <w:b/>
        </w:rPr>
        <w:t xml:space="preserve">  </w:t>
      </w:r>
      <w:r>
        <w:rPr>
          <w:rFonts w:ascii="Times New Roman" w:hAnsi="Times New Roman" w:cs="Times New Roman"/>
          <w:sz w:val="32"/>
          <w:sz-cs w:val="32"/>
          <w:b/>
        </w:rPr>
        <w:t xml:space="preserve">                      מיגו Only because</w:t>
      </w:r>
      <w:r>
        <w:rPr>
          <w:rFonts w:ascii="Times New Roman" w:hAnsi="Times New Roman" w:cs="Times New Roman"/>
          <w:sz w:val="32"/>
          <w:sz-cs w:val="32"/>
        </w:rPr>
        <w:t xml:space="preserve"> </w:t>
      </w:r>
      <w:r>
        <w:rPr>
          <w:rFonts w:ascii="Times New Roman" w:hAnsi="Times New Roman" w:cs="Times New Roman"/>
          <w:sz w:val="32"/>
          <w:sz-cs w:val="32"/>
          <w:b/>
        </w:rPr>
        <w:t xml:space="preserve">there is a</w:t>
      </w:r>
    </w:p>
    <w:p>
      <w:pPr>
        <w:jc w:val="both"/>
      </w:pPr>
      <w:r>
        <w:rPr>
          <w:rFonts w:ascii="Times New Roman" w:hAnsi="Times New Roman" w:cs="Times New Roman"/>
          <w:sz w:val="24"/>
          <w:sz-cs w:val="24"/>
          <w:b/>
        </w:rPr>
        <w:t xml:space="preserve"/>
      </w:r>
    </w:p>
    <w:p>
      <w:pPr>
        <w:jc w:val="both"/>
      </w:pPr>
      <w:r>
        <w:rPr>
          <w:rFonts w:ascii="Copperplate" w:hAnsi="Copperplate" w:cs="Copperplate"/>
          <w:sz w:val="28"/>
          <w:sz-cs w:val="28"/>
          <w:u w:val="double"/>
        </w:rPr>
        <w:t xml:space="preserve">Overview</w:t>
      </w:r>
    </w:p>
    <w:p>
      <w:pPr>
        <w:jc w:val="both"/>
      </w:pPr>
      <w:r>
        <w:rPr>
          <w:rFonts w:ascii="Times New Roman" w:hAnsi="Times New Roman" w:cs="Times New Roman"/>
          <w:sz w:val="28"/>
          <w:sz-cs w:val="28"/>
        </w:rPr>
        <w:t xml:space="preserve">The גמרא cited the מחלוקת between רב יהודה ור"ה and ר"נ ור' יוחנן concerning ברי ושמא. It also stated that שמואל rules like רבן גמליאל ור"א that the woman is believed and receives the entire כתובה from the בעל. The גמרא originally maintained that a) שמואל agrees with ר"י ור"ה that בו"ש ברי עדיף and b) the מחלוקת between ר"י ור"ה and ר"נ ור"י parallels the מחלוקת in our משנה between ר"ג ור"א and ר"י. The גמרא then rejects this idea, and maintains that the דין of our משנה in not (so) dependent on בו"ש. Even those who maintain בו"ש לאו ברי עדיף can nevertheless, agree with ר"ג ור"א of our משנה. The גמרא offers two reasons why even ר"נ ור' יוחנן (and שמואל) will agree that the woman receives her כתובה. It is either because she has a מיגו, or because her claim is supported by a חזקה.</w:t>
      </w:r>
      <w:r>
        <w:rPr>
          <w:rFonts w:ascii="Times New Roman" w:hAnsi="Times New Roman" w:cs="Times New Roman"/>
          <w:sz w:val="24"/>
          <w:sz-cs w:val="24"/>
          <w:vertAlign w:val="superscript"/>
        </w:rPr>
        <w:t xml:space="preserve"> </w:t>
      </w:r>
      <w:r>
        <w:rPr>
          <w:rFonts w:ascii="Times New Roman" w:hAnsi="Times New Roman" w:cs="Times New Roman"/>
          <w:sz w:val="28"/>
          <w:sz-cs w:val="28"/>
        </w:rPr>
        <w:t xml:space="preserve"> </w:t>
      </w:r>
    </w:p>
    <w:p>
      <w:pPr>
        <w:jc w:val="center"/>
      </w:pPr>
      <w:r>
        <w:rPr>
          <w:rFonts w:ascii="Times New Roman" w:hAnsi="Times New Roman" w:cs="Times New Roman"/>
          <w:sz w:val="24"/>
          <w:sz-cs w:val="24"/>
        </w:rPr>
        <w:t xml:space="preserve">-----------------</w:t>
      </w:r>
    </w:p>
    <w:p>
      <w:pPr>
        <w:jc w:val="both"/>
        <w:bidi/>
      </w:pPr>
      <w:r>
        <w:rPr>
          <w:rFonts w:ascii="Times" w:hAnsi="Times" w:cs="Times"/>
          <w:sz w:val="28"/>
          <w:sz-cs w:val="28"/>
          <w:b/>
        </w:rPr>
        <w:t xml:space="preserve">האי שנויא לא אתיא אלא לרב נחמן - </w:t>
      </w:r>
    </w:p>
    <w:p>
      <w:pPr>
        <w:jc w:val="both"/>
      </w:pPr>
      <w:r>
        <w:rPr>
          <w:rFonts w:ascii="Times New Roman" w:hAnsi="Times New Roman" w:cs="Times New Roman"/>
          <w:sz w:val="28"/>
          <w:sz-cs w:val="28"/>
          <w:b/>
        </w:rPr>
        <w:t xml:space="preserve">This answer,</w:t>
      </w:r>
      <w:r>
        <w:rPr>
          <w:rFonts w:ascii="Times New Roman" w:hAnsi="Times New Roman" w:cs="Times New Roman"/>
          <w:sz w:val="28"/>
          <w:sz-cs w:val="28"/>
        </w:rPr>
        <w:t xml:space="preserve"> that since the אשה has a מיגו, therefore even those who usually </w:t>
      </w:r>
      <w:r>
        <w:rPr>
          <w:rFonts w:ascii="Times New Roman" w:hAnsi="Times New Roman" w:cs="Times New Roman"/>
          <w:sz w:val="28"/>
          <w:sz-cs w:val="28"/>
          <w:spacing w:val="-2"/>
        </w:rPr>
        <w:t xml:space="preserve">maintain that a ברי cannot be מוציא from a שמא who is a מוחזק, nevertheless they may agree with רבן גמליאל ורבי אליעזר of our משנה, that the אשה could collect her entire כתובה from the בעל, for in the משנה the woman has a מיגו; this answer </w:t>
      </w:r>
      <w:r>
        <w:rPr>
          <w:rFonts w:ascii="Times New Roman" w:hAnsi="Times New Roman" w:cs="Times New Roman"/>
          <w:sz w:val="28"/>
          <w:sz-cs w:val="28"/>
          <w:b/>
          <w:spacing w:val="-2"/>
        </w:rPr>
        <w:t xml:space="preserve">is not valid </w:t>
      </w:r>
      <w:r>
        <w:rPr>
          <w:rFonts w:ascii="Times New Roman" w:hAnsi="Times New Roman" w:cs="Times New Roman"/>
          <w:sz w:val="28"/>
          <w:sz-cs w:val="28"/>
          <w:spacing w:val="-2"/>
        </w:rPr>
        <w:t xml:space="preserve">for all those who maintain that בו"ש לאו ברי עדיף, it is valid </w:t>
      </w:r>
      <w:r>
        <w:rPr>
          <w:rFonts w:ascii="Times New Roman" w:hAnsi="Times New Roman" w:cs="Times New Roman"/>
          <w:sz w:val="28"/>
          <w:sz-cs w:val="28"/>
          <w:b/>
          <w:spacing w:val="-2"/>
        </w:rPr>
        <w:t xml:space="preserve">only</w:t>
      </w:r>
      <w:r>
        <w:rPr>
          <w:rFonts w:ascii="Times New Roman" w:hAnsi="Times New Roman" w:cs="Times New Roman"/>
          <w:sz w:val="28"/>
          <w:sz-cs w:val="28"/>
          <w:spacing w:val="-2"/>
        </w:rPr>
        <w:t xml:space="preserve"> according </w:t>
      </w:r>
      <w:r>
        <w:rPr>
          <w:rFonts w:ascii="Times New Roman" w:hAnsi="Times New Roman" w:cs="Times New Roman"/>
          <w:sz w:val="28"/>
          <w:sz-cs w:val="28"/>
          <w:b/>
          <w:spacing w:val="-2"/>
        </w:rPr>
        <w:t xml:space="preserve">to</w:t>
      </w:r>
      <w:r>
        <w:rPr>
          <w:rFonts w:ascii="Times New Roman" w:hAnsi="Times New Roman" w:cs="Times New Roman"/>
          <w:sz w:val="28"/>
          <w:sz-cs w:val="28"/>
          <w:spacing w:val="-2"/>
        </w:rPr>
        <w:t xml:space="preserve"> </w:t>
      </w:r>
      <w:r>
        <w:rPr>
          <w:rFonts w:ascii="Times New Roman" w:hAnsi="Times New Roman" w:cs="Times New Roman"/>
          <w:sz w:val="28"/>
          <w:sz-cs w:val="28"/>
          <w:b/>
          <w:spacing w:val="-2"/>
        </w:rPr>
        <w:t xml:space="preserve">ר"נ</w:t>
      </w:r>
      <w:r>
        <w:rPr>
          <w:rFonts w:ascii="Times New Roman" w:hAnsi="Times New Roman" w:cs="Times New Roman"/>
          <w:sz w:val="28"/>
          <w:sz-cs w:val="28"/>
          <w:spacing w:val="-2"/>
        </w:rPr>
        <w:t xml:space="preserve"> –</w:t>
      </w:r>
    </w:p>
    <w:p>
      <w:pPr>
        <w:jc w:val="both"/>
        <w:bidi/>
      </w:pPr>
      <w:r>
        <w:rPr>
          <w:rFonts w:ascii="Times" w:hAnsi="Times" w:cs="Times"/>
          <w:sz w:val="28"/>
          <w:sz-cs w:val="28"/>
          <w:b/>
        </w:rPr>
        <w:t xml:space="preserve">דלרבי יוחנן בההיא דמוכת עץ ליכא מיגו כדמוכח לקמן -</w:t>
      </w:r>
    </w:p>
    <w:p>
      <w:pPr>
        <w:jc w:val="both"/>
      </w:pPr>
      <w:r>
        <w:rPr>
          <w:rFonts w:ascii="Times New Roman" w:hAnsi="Times New Roman" w:cs="Times New Roman"/>
          <w:sz w:val="28"/>
          <w:sz-cs w:val="28"/>
          <w:b/>
        </w:rPr>
        <w:t xml:space="preserve">for according to ר"י </w:t>
      </w:r>
      <w:r>
        <w:rPr>
          <w:rFonts w:ascii="Times New Roman" w:hAnsi="Times New Roman" w:cs="Times New Roman"/>
          <w:sz w:val="28"/>
          <w:sz-cs w:val="28"/>
        </w:rPr>
        <w:t xml:space="preserve">who also maintains לאו ברי עדיף, this answer is not appropriate, for </w:t>
      </w:r>
      <w:r>
        <w:rPr>
          <w:rFonts w:ascii="Times New Roman" w:hAnsi="Times New Roman" w:cs="Times New Roman"/>
          <w:sz w:val="28"/>
          <w:sz-cs w:val="28"/>
          <w:b/>
        </w:rPr>
        <w:t xml:space="preserve">in that </w:t>
      </w:r>
      <w:r>
        <w:rPr>
          <w:rFonts w:ascii="Times New Roman" w:hAnsi="Times New Roman" w:cs="Times New Roman"/>
          <w:sz w:val="28"/>
          <w:sz-cs w:val="28"/>
        </w:rPr>
        <w:t xml:space="preserve">case (in the following משנה) concerning a </w:t>
      </w:r>
      <w:r>
        <w:rPr>
          <w:rFonts w:ascii="Times New Roman" w:hAnsi="Times New Roman" w:cs="Times New Roman"/>
          <w:sz w:val="28"/>
          <w:sz-cs w:val="28"/>
          <w:b/>
        </w:rPr>
        <w:t xml:space="preserve">מוכת עץ there is no מיגו </w:t>
      </w:r>
      <w:r>
        <w:rPr>
          <w:rFonts w:ascii="Times New Roman" w:hAnsi="Times New Roman" w:cs="Times New Roman"/>
          <w:sz w:val="28"/>
          <w:sz-cs w:val="28"/>
        </w:rPr>
        <w:t xml:space="preserve">for the woman </w:t>
      </w:r>
      <w:r>
        <w:rPr>
          <w:rFonts w:ascii="Times New Roman" w:hAnsi="Times New Roman" w:cs="Times New Roman"/>
          <w:sz w:val="28"/>
          <w:sz-cs w:val="28"/>
          <w:b/>
        </w:rPr>
        <w:t xml:space="preserve">as is evident later </w:t>
      </w:r>
      <w:r>
        <w:rPr>
          <w:rFonts w:ascii="Times New Roman" w:hAnsi="Times New Roman" w:cs="Times New Roman"/>
          <w:sz w:val="24"/>
          <w:sz-cs w:val="24"/>
        </w:rPr>
        <w:t xml:space="preserve">in the גמרא;</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and nevertheless ר"ג ור"א maintain that the woman is believed (without a מיגו). The current answer, that she has a מיגו, will not explain how ר' יוחנן can agree with ר"ג ור"א in the case of מוכת עץ; for she has no מיגו.</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תוספות presents a difficulty:</w:t>
      </w:r>
    </w:p>
    <w:p>
      <w:pPr>
        <w:jc w:val="both"/>
        <w:bidi/>
      </w:pPr>
      <w:r>
        <w:rPr>
          <w:rFonts w:ascii="Times" w:hAnsi="Times" w:cs="Times"/>
          <w:sz w:val="28"/>
          <w:sz-cs w:val="28"/>
          <w:b/>
        </w:rPr>
        <w:t xml:space="preserve">הקשה הרב רבי יעקב מקורבי"ל אכתי על כרחך הא דרב יהודה דשמואל היא -</w:t>
      </w:r>
    </w:p>
    <w:p>
      <w:pPr>
        <w:jc w:val="both"/>
      </w:pPr>
      <w:r>
        <w:rPr>
          <w:rFonts w:ascii="Times New Roman" w:hAnsi="Times New Roman" w:cs="Times New Roman"/>
          <w:sz w:val="28"/>
          <w:sz-cs w:val="28"/>
          <w:b/>
        </w:rPr>
        <w:t xml:space="preserve">The ר"י of קורבי"ל asked, we still must maintain that the </w:t>
      </w:r>
      <w:r>
        <w:rPr>
          <w:rFonts w:ascii="Times New Roman" w:hAnsi="Times New Roman" w:cs="Times New Roman"/>
          <w:sz w:val="28"/>
          <w:sz-cs w:val="28"/>
        </w:rPr>
        <w:t xml:space="preserve">ruling of </w:t>
      </w:r>
      <w:r>
        <w:rPr>
          <w:rFonts w:ascii="Times New Roman" w:hAnsi="Times New Roman" w:cs="Times New Roman"/>
          <w:sz w:val="28"/>
          <w:sz-cs w:val="28"/>
          <w:b/>
        </w:rPr>
        <w:t xml:space="preserve">ר"י </w:t>
      </w:r>
      <w:r>
        <w:rPr>
          <w:rFonts w:ascii="Times New Roman" w:hAnsi="Times New Roman" w:cs="Times New Roman"/>
          <w:sz w:val="28"/>
          <w:sz-cs w:val="28"/>
        </w:rPr>
        <w:t xml:space="preserve">concerning ברי ושמא ברי עדיף, </w:t>
      </w:r>
      <w:r>
        <w:rPr>
          <w:rFonts w:ascii="Times New Roman" w:hAnsi="Times New Roman" w:cs="Times New Roman"/>
          <w:sz w:val="28"/>
          <w:sz-cs w:val="28"/>
          <w:b/>
        </w:rPr>
        <w:t xml:space="preserve">is </w:t>
      </w:r>
      <w:r>
        <w:rPr>
          <w:rFonts w:ascii="Times New Roman" w:hAnsi="Times New Roman" w:cs="Times New Roman"/>
          <w:sz w:val="28"/>
          <w:sz-cs w:val="28"/>
        </w:rPr>
        <w:t xml:space="preserve">identical to the ruling </w:t>
      </w:r>
      <w:r>
        <w:rPr>
          <w:rFonts w:ascii="Times New Roman" w:hAnsi="Times New Roman" w:cs="Times New Roman"/>
          <w:sz w:val="28"/>
          <w:sz-cs w:val="28"/>
          <w:b/>
        </w:rPr>
        <w:t xml:space="preserve">of שמואל</w:t>
      </w:r>
      <w:r>
        <w:rPr>
          <w:rFonts w:ascii="Times New Roman" w:hAnsi="Times New Roman" w:cs="Times New Roman"/>
          <w:sz w:val="28"/>
          <w:sz-cs w:val="28"/>
        </w:rPr>
        <w:t xml:space="preserve"> </w:t>
      </w:r>
      <w:r>
        <w:rPr>
          <w:rFonts w:ascii="Times New Roman" w:hAnsi="Times New Roman" w:cs="Times New Roman"/>
          <w:sz w:val="24"/>
          <w:sz-cs w:val="24"/>
        </w:rPr>
        <w:t xml:space="preserve">that the הלכה is בו"ש ברי עדיף. שמואל must agree that בו"ש ב"ע; not necessarily because he rules like ר"ג,</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but rather for another reason which תוספות continues to explain:</w:t>
      </w:r>
    </w:p>
    <w:p>
      <w:pPr>
        <w:jc w:val="both"/>
        <w:bidi/>
      </w:pPr>
      <w:r>
        <w:rPr>
          <w:rFonts w:ascii="Times" w:hAnsi="Times" w:cs="Times"/>
          <w:sz w:val="28"/>
          <w:sz-cs w:val="28"/>
          <w:b/>
        </w:rPr>
        <w:t xml:space="preserve">דאי לשמואל פטור תקשי ליה ממתניתין דהשואל</w:t>
      </w:r>
      <w:r>
        <w:rPr>
          <w:rFonts w:ascii="Times" w:hAnsi="Times" w:cs="Times"/>
          <w:sz w:val="20"/>
          <w:sz-cs w:val="20"/>
          <w:b/>
        </w:rPr>
        <w:t xml:space="preserve"> (בבא מציעא דף צז,א ושם:)</w:t>
      </w:r>
      <w:r>
        <w:rPr>
          <w:rFonts w:ascii="Times" w:hAnsi="Times" w:cs="Times"/>
          <w:sz w:val="28"/>
          <w:sz-cs w:val="28"/>
          <w:b/>
        </w:rPr>
        <w:t xml:space="preserve"> – </w:t>
      </w:r>
    </w:p>
    <w:p>
      <w:pPr>
        <w:jc w:val="both"/>
      </w:pPr>
      <w:r>
        <w:rPr>
          <w:rFonts w:ascii="Times New Roman" w:hAnsi="Times New Roman" w:cs="Times New Roman"/>
          <w:sz w:val="28"/>
          <w:sz-cs w:val="28"/>
          <w:b/>
        </w:rPr>
        <w:t xml:space="preserve">For if שמואל </w:t>
      </w:r>
      <w:r>
        <w:rPr>
          <w:rFonts w:ascii="Times New Roman" w:hAnsi="Times New Roman" w:cs="Times New Roman"/>
          <w:sz w:val="28"/>
          <w:sz-cs w:val="28"/>
        </w:rPr>
        <w:t xml:space="preserve">maintains that by בו"ש, the שמא </w:t>
      </w:r>
      <w:r>
        <w:rPr>
          <w:rFonts w:ascii="Times New Roman" w:hAnsi="Times New Roman" w:cs="Times New Roman"/>
          <w:sz w:val="28"/>
          <w:sz-cs w:val="28"/>
          <w:b/>
        </w:rPr>
        <w:t xml:space="preserve">is פטור </w:t>
      </w:r>
      <w:r>
        <w:rPr>
          <w:rFonts w:ascii="Times New Roman" w:hAnsi="Times New Roman" w:cs="Times New Roman"/>
          <w:sz w:val="28"/>
          <w:sz-cs w:val="28"/>
        </w:rPr>
        <w:t xml:space="preserve">from paying, then שמואל </w:t>
      </w:r>
      <w:r>
        <w:rPr>
          <w:rFonts w:ascii="Times New Roman" w:hAnsi="Times New Roman" w:cs="Times New Roman"/>
          <w:sz w:val="28"/>
          <w:sz-cs w:val="28"/>
          <w:b/>
        </w:rPr>
        <w:t xml:space="preserve">will be contradicted from the משנה in </w:t>
      </w:r>
      <w:r>
        <w:rPr>
          <w:rFonts w:ascii="Times New Roman" w:hAnsi="Times New Roman" w:cs="Times New Roman"/>
          <w:sz w:val="28"/>
          <w:sz-cs w:val="28"/>
        </w:rPr>
        <w:t xml:space="preserve">פרק </w:t>
      </w:r>
      <w:r>
        <w:rPr>
          <w:rFonts w:ascii="Times New Roman" w:hAnsi="Times New Roman" w:cs="Times New Roman"/>
          <w:sz w:val="28"/>
          <w:sz-cs w:val="28"/>
          <w:b/>
        </w:rPr>
        <w:t xml:space="preserve">השואל, </w:t>
      </w:r>
      <w:r>
        <w:rPr>
          <w:rFonts w:ascii="Times New Roman" w:hAnsi="Times New Roman" w:cs="Times New Roman"/>
          <w:sz w:val="24"/>
          <w:sz-cs w:val="24"/>
        </w:rPr>
        <w:t xml:space="preserve">which states that if –</w:t>
      </w:r>
    </w:p>
    <w:p>
      <w:pPr>
        <w:jc w:val="both"/>
        <w:bidi/>
      </w:pPr>
      <w:r>
        <w:rPr>
          <w:rFonts w:ascii="Times" w:hAnsi="Times" w:cs="Times"/>
          <w:sz w:val="28"/>
          <w:sz-cs w:val="28"/>
          <w:b/>
        </w:rPr>
        <w:t xml:space="preserve">המשאיל אומר שאולה מתה והלה אומר איני יודע חייב – </w:t>
      </w:r>
    </w:p>
    <w:p>
      <w:pPr>
        <w:jc w:val="both"/>
      </w:pPr>
      <w:r>
        <w:rPr>
          <w:rFonts w:ascii="Times New Roman" w:hAnsi="Times New Roman" w:cs="Times New Roman"/>
          <w:sz w:val="28"/>
          <w:sz-cs w:val="28"/>
          <w:b/>
        </w:rPr>
        <w:t xml:space="preserve">The lender claimed </w:t>
      </w:r>
      <w:r>
        <w:rPr>
          <w:rFonts w:ascii="Times New Roman" w:hAnsi="Times New Roman" w:cs="Times New Roman"/>
          <w:sz w:val="28"/>
          <w:sz-cs w:val="28"/>
        </w:rPr>
        <w:t xml:space="preserve">that </w:t>
      </w:r>
      <w:r>
        <w:rPr>
          <w:rFonts w:ascii="Times New Roman" w:hAnsi="Times New Roman" w:cs="Times New Roman"/>
          <w:sz w:val="28"/>
          <w:sz-cs w:val="28"/>
          <w:b/>
        </w:rPr>
        <w:t xml:space="preserve">the borrowed </w:t>
      </w:r>
      <w:r>
        <w:rPr>
          <w:rFonts w:ascii="Times New Roman" w:hAnsi="Times New Roman" w:cs="Times New Roman"/>
          <w:sz w:val="28"/>
          <w:sz-cs w:val="28"/>
        </w:rPr>
        <w:t xml:space="preserve">animal </w:t>
      </w:r>
      <w:r>
        <w:rPr>
          <w:rFonts w:ascii="Times New Roman" w:hAnsi="Times New Roman" w:cs="Times New Roman"/>
          <w:sz w:val="28"/>
          <w:sz-cs w:val="28"/>
          <w:b/>
        </w:rPr>
        <w:t xml:space="preserve">died </w:t>
      </w:r>
      <w:r>
        <w:rPr>
          <w:rFonts w:ascii="Times New Roman" w:hAnsi="Times New Roman" w:cs="Times New Roman"/>
          <w:sz w:val="28"/>
          <w:sz-cs w:val="28"/>
        </w:rPr>
        <w:t xml:space="preserve">(and therefore, as a borrower, the שואל is חייב באונסין) </w:t>
      </w:r>
      <w:r>
        <w:rPr>
          <w:rFonts w:ascii="Times New Roman" w:hAnsi="Times New Roman" w:cs="Times New Roman"/>
          <w:sz w:val="28"/>
          <w:sz-cs w:val="28"/>
          <w:b/>
        </w:rPr>
        <w:t xml:space="preserve">and the borrower says I do not know</w:t>
      </w:r>
      <w:r>
        <w:rPr>
          <w:rFonts w:ascii="Times New Roman" w:hAnsi="Times New Roman" w:cs="Times New Roman"/>
          <w:sz w:val="32"/>
          <w:sz-cs w:val="32"/>
          <w:b/>
        </w:rPr>
        <w:t xml:space="preserve"> </w:t>
      </w:r>
      <w:r>
        <w:rPr>
          <w:rFonts w:ascii="Times New Roman" w:hAnsi="Times New Roman" w:cs="Times New Roman"/>
          <w:sz w:val="28"/>
          <w:sz-cs w:val="28"/>
        </w:rPr>
        <w:t xml:space="preserve">if it was the borrowed animal that died; it could be that it was the rented animal that died (in </w:t>
      </w:r>
      <w:r>
        <w:rPr>
          <w:rFonts w:ascii="Times New Roman" w:hAnsi="Times New Roman" w:cs="Times New Roman"/>
          <w:sz w:val="28"/>
          <w:sz-cs w:val="28"/>
          <w:spacing w:val="-2"/>
        </w:rPr>
        <w:t xml:space="preserve">which case a renter is פטור באונסין), the דין is that </w:t>
      </w:r>
      <w:r>
        <w:rPr>
          <w:rFonts w:ascii="Times New Roman" w:hAnsi="Times New Roman" w:cs="Times New Roman"/>
          <w:sz w:val="28"/>
          <w:sz-cs w:val="28"/>
          <w:b/>
          <w:spacing w:val="-2"/>
        </w:rPr>
        <w:t xml:space="preserve">he is חייב </w:t>
      </w:r>
      <w:r>
        <w:rPr>
          <w:rFonts w:ascii="Times New Roman" w:hAnsi="Times New Roman" w:cs="Times New Roman"/>
          <w:sz w:val="24"/>
          <w:sz-cs w:val="24"/>
          <w:spacing w:val="-2"/>
        </w:rPr>
        <w:t xml:space="preserve">to pay. It is evident from that משנה that ברי ושמא ברי עדיף; which would be a קשיא on שמואל if he would maintain that לאו ברי עדיף.</w:t>
      </w:r>
    </w:p>
    <w:p>
      <w:pPr>
        <w:jc w:val="both"/>
        <w:spacing w:before="240"/>
      </w:pPr>
      <w:r>
        <w:rPr>
          <w:rFonts w:ascii="Times New Roman" w:hAnsi="Times New Roman" w:cs="Times New Roman"/>
          <w:sz w:val="24"/>
          <w:sz-cs w:val="24"/>
        </w:rPr>
        <w:t xml:space="preserve">תוספות anticipates an obvious answer and rejects it. There are those (ר"נ ור' יוחנן) who clearly maintain בו"ש לאו ברי עדיף; they interpreted that משנה in השואל so that it would not contradict their opinion. Let us interpret that משנה in the same manner according to שמואל as well. תוספות will explain that this is not possible.</w:t>
      </w:r>
    </w:p>
    <w:p>
      <w:pPr>
        <w:jc w:val="both"/>
        <w:bidi/>
      </w:pPr>
      <w:r>
        <w:rPr>
          <w:rFonts w:ascii="Times" w:hAnsi="Times" w:cs="Times"/>
          <w:sz w:val="28"/>
          <w:sz-cs w:val="28"/>
          <w:b/>
        </w:rPr>
        <w:t xml:space="preserve">דלשמואל ליכא לשנויי כדמשני לרב נחמן ולרבי יוחנן כגון שיש עסק שבועה ביניהן – </w:t>
      </w:r>
    </w:p>
    <w:p>
      <w:pPr>
        <w:jc w:val="both"/>
      </w:pPr>
      <w:r>
        <w:rPr>
          <w:rFonts w:ascii="Times New Roman" w:hAnsi="Times New Roman" w:cs="Times New Roman"/>
          <w:sz w:val="28"/>
          <w:sz-cs w:val="28"/>
          <w:b/>
          <w:spacing w:val="-4"/>
        </w:rPr>
        <w:t xml:space="preserve">For according to שמואל we cannot answer </w:t>
      </w:r>
      <w:r>
        <w:rPr>
          <w:rFonts w:ascii="Times New Roman" w:hAnsi="Times New Roman" w:cs="Times New Roman"/>
          <w:sz w:val="28"/>
          <w:sz-cs w:val="28"/>
          <w:spacing w:val="-4"/>
        </w:rPr>
        <w:t xml:space="preserve">this question from the משנה in השואל </w:t>
      </w:r>
      <w:r>
        <w:rPr>
          <w:rFonts w:ascii="Times New Roman" w:hAnsi="Times New Roman" w:cs="Times New Roman"/>
          <w:sz w:val="28"/>
          <w:sz-cs w:val="28"/>
          <w:b/>
          <w:spacing w:val="-4"/>
        </w:rPr>
        <w:t xml:space="preserve">as we answered it for ר"נ ור"י </w:t>
      </w:r>
      <w:r>
        <w:rPr>
          <w:rFonts w:ascii="Times New Roman" w:hAnsi="Times New Roman" w:cs="Times New Roman"/>
          <w:sz w:val="28"/>
          <w:sz-cs w:val="28"/>
          <w:spacing w:val="-4"/>
        </w:rPr>
        <w:t xml:space="preserve">who maintain that בו"ש לאו ברי עדיף. Our תוספות mentions the answer for ר"נ ור"י, and explains why it is not suitable for שמואל. The answer was that the משנה in השואל in discussing a case where </w:t>
      </w:r>
      <w:r>
        <w:rPr>
          <w:rFonts w:ascii="Times New Roman" w:hAnsi="Times New Roman" w:cs="Times New Roman"/>
          <w:sz w:val="28"/>
          <w:sz-cs w:val="28"/>
          <w:b/>
          <w:spacing w:val="-4"/>
        </w:rPr>
        <w:t xml:space="preserve">for instance, there was an entanglement of an oath between them; </w:t>
      </w:r>
      <w:r>
        <w:rPr>
          <w:rFonts w:ascii="Times New Roman" w:hAnsi="Times New Roman" w:cs="Times New Roman"/>
          <w:sz w:val="24"/>
          <w:sz-cs w:val="24"/>
          <w:spacing w:val="-4"/>
        </w:rPr>
        <w:t xml:space="preserve">the שואל was obligated to take on oath for a different claim which the משאיל had against him. There is a rule of גלגול שבועה; once a</w:t>
      </w:r>
      <w:r>
        <w:rPr>
          <w:rFonts w:ascii="Times New Roman" w:hAnsi="Times New Roman" w:cs="Times New Roman"/>
          <w:sz w:val="24"/>
          <w:sz-cs w:val="24"/>
        </w:rPr>
        <w:t xml:space="preserve"> </w:t>
      </w:r>
      <w:r>
        <w:rPr>
          <w:rFonts w:ascii="Times New Roman" w:hAnsi="Times New Roman" w:cs="Times New Roman"/>
          <w:sz w:val="24"/>
          <w:sz-cs w:val="24"/>
          <w:spacing w:val="-2"/>
        </w:rPr>
        <w:t xml:space="preserve">defendant is obligated to swear, the plaintiff may ‘roll’ on the defendant an obligation to take additional oaths for other issues between them.</w:t>
      </w:r>
      <w:r>
        <w:rPr>
          <w:rFonts w:ascii="Times New Roman" w:hAnsi="Times New Roman" w:cs="Times New Roman"/>
          <w:sz w:val="24"/>
          <w:sz-cs w:val="24"/>
          <w:b/>
          <w:spacing w:val="-2"/>
        </w:rPr>
        <w:t xml:space="preserve"> </w:t>
      </w:r>
      <w:r>
        <w:rPr>
          <w:rFonts w:ascii="Times New Roman" w:hAnsi="Times New Roman" w:cs="Times New Roman"/>
          <w:sz w:val="24"/>
          <w:sz-cs w:val="24"/>
          <w:spacing w:val="-2"/>
        </w:rPr>
        <w:t xml:space="preserve">In our case, the שואל had to swear to the משאיל for another case. The משאיל can then make him swear in this case of the borrowed/rented animal (that the rented animal died). The שואל however, cannot take the oath that it was the rented animal that died, for he himself agrees that he is not sure which animal died. Therefore, in such a case the ruling is –</w:t>
      </w:r>
    </w:p>
    <w:p>
      <w:pPr>
        <w:jc w:val="both"/>
        <w:bidi/>
      </w:pPr>
      <w:r>
        <w:rPr>
          <w:rFonts w:ascii="Times" w:hAnsi="Times" w:cs="Times"/>
          <w:sz w:val="28"/>
          <w:sz-cs w:val="28"/>
          <w:b/>
        </w:rPr>
        <w:t xml:space="preserve">ומתוך שאינו יכול לישבע משלם - </w:t>
      </w:r>
    </w:p>
    <w:p>
      <w:pPr>
        <w:jc w:val="both"/>
      </w:pPr>
      <w:r>
        <w:rPr>
          <w:rFonts w:ascii="Times New Roman" w:hAnsi="Times New Roman" w:cs="Times New Roman"/>
          <w:sz w:val="28"/>
          <w:sz-cs w:val="28"/>
          <w:b/>
        </w:rPr>
        <w:t xml:space="preserve">And since he cannot swear, he </w:t>
      </w:r>
      <w:r>
        <w:rPr>
          <w:rFonts w:ascii="Times New Roman" w:hAnsi="Times New Roman" w:cs="Times New Roman"/>
          <w:sz w:val="28"/>
          <w:sz-cs w:val="28"/>
        </w:rPr>
        <w:t xml:space="preserve">must </w:t>
      </w:r>
      <w:r>
        <w:rPr>
          <w:rFonts w:ascii="Times New Roman" w:hAnsi="Times New Roman" w:cs="Times New Roman"/>
          <w:sz w:val="28"/>
          <w:sz-cs w:val="28"/>
          <w:b/>
        </w:rPr>
        <w:t xml:space="preserve">pay.</w:t>
      </w:r>
      <w:r>
        <w:rPr>
          <w:rFonts w:ascii="Times New Roman" w:hAnsi="Times New Roman" w:cs="Times New Roman"/>
          <w:sz w:val="28"/>
          <w:sz-cs w:val="28"/>
        </w:rPr>
        <w:t xml:space="preserve"> </w:t>
      </w:r>
      <w:r>
        <w:rPr>
          <w:rFonts w:ascii="Times New Roman" w:hAnsi="Times New Roman" w:cs="Times New Roman"/>
          <w:sz w:val="24"/>
          <w:sz-cs w:val="24"/>
        </w:rPr>
        <w:t xml:space="preserve">The משנה obligates the שואל to pay not because he is a שמא. A ברי cannot be מוציא from a שמא. The reason the שואל has to pay is because there was a חיוב שבועה on him which he could not discharge. If one cannot take the oath, he suffers the consequences and must pay up. </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This is the explanation of the משנה according to ר"נ ור"י. However this explanation is not valid for שמואל –</w:t>
      </w:r>
    </w:p>
    <w:p>
      <w:pPr>
        <w:jc w:val="both"/>
        <w:bidi/>
      </w:pPr>
      <w:r>
        <w:rPr>
          <w:rFonts w:ascii="Times" w:hAnsi="Times" w:cs="Times"/>
          <w:sz w:val="28"/>
          <w:sz-cs w:val="28"/>
          <w:b/>
        </w:rPr>
        <w:t xml:space="preserve">דשמואל אית ליה בהדיא בפרק כל הנשבעין</w:t>
      </w:r>
      <w:r>
        <w:rPr>
          <w:rFonts w:ascii="Times" w:hAnsi="Times" w:cs="Times"/>
          <w:sz w:val="20"/>
          <w:sz-cs w:val="20"/>
          <w:b/>
        </w:rPr>
        <w:t xml:space="preserve"> (שבועות דף מז,א ושם)</w:t>
      </w:r>
      <w:r>
        <w:rPr>
          <w:rFonts w:ascii="Times" w:hAnsi="Times" w:cs="Times"/>
          <w:sz w:val="28"/>
          <w:sz-cs w:val="28"/>
          <w:b/>
        </w:rPr>
        <w:t xml:space="preserve"> -</w:t>
      </w:r>
      <w:r>
        <w:rPr>
          <w:rFonts w:ascii="Times New Roman" w:hAnsi="Times New Roman" w:cs="Times New Roman"/>
          <w:sz w:val="28"/>
          <w:sz-cs w:val="28"/>
          <w:b/>
        </w:rPr>
        <w:t xml:space="preserve"> </w:t>
      </w:r>
    </w:p>
    <w:p>
      <w:pPr>
        <w:jc w:val="both"/>
      </w:pPr>
      <w:r>
        <w:rPr>
          <w:rFonts w:ascii="Times New Roman" w:hAnsi="Times New Roman" w:cs="Times New Roman"/>
          <w:sz w:val="28"/>
          <w:sz-cs w:val="28"/>
          <w:b/>
        </w:rPr>
        <w:t xml:space="preserve">For שמואל clearly maintains in פרק כל הנשבעין </w:t>
      </w:r>
      <w:r>
        <w:rPr>
          <w:rFonts w:ascii="Times New Roman" w:hAnsi="Times New Roman" w:cs="Times New Roman"/>
          <w:sz w:val="24"/>
          <w:sz-cs w:val="24"/>
        </w:rPr>
        <w:t xml:space="preserve">that if the oath cannot be taken for any reason, then (we do not say מתוך שאינו יכול לישבע משלם, but rather) –</w:t>
      </w:r>
    </w:p>
    <w:p>
      <w:pPr>
        <w:jc w:val="both"/>
        <w:bidi/>
      </w:pPr>
      <w:r>
        <w:rPr>
          <w:rFonts w:ascii="Times" w:hAnsi="Times" w:cs="Times"/>
          <w:sz w:val="28"/>
          <w:sz-cs w:val="28"/>
          <w:b/>
        </w:rPr>
        <w:t xml:space="preserve">דחזרה שבועה לסיני ולא משלם - </w:t>
      </w:r>
    </w:p>
    <w:p>
      <w:pPr>
        <w:jc w:val="both"/>
      </w:pPr>
      <w:r>
        <w:rPr>
          <w:rFonts w:ascii="Times New Roman" w:hAnsi="Times New Roman" w:cs="Times New Roman"/>
          <w:sz w:val="28"/>
          <w:sz-cs w:val="28"/>
          <w:b/>
        </w:rPr>
        <w:t xml:space="preserve">That the oath returns to </w:t>
      </w:r>
      <w:r>
        <w:rPr>
          <w:rFonts w:ascii="Times New Roman" w:hAnsi="Times New Roman" w:cs="Times New Roman"/>
          <w:sz w:val="28"/>
          <w:sz-cs w:val="28"/>
        </w:rPr>
        <w:t xml:space="preserve">הר </w:t>
      </w:r>
      <w:r>
        <w:rPr>
          <w:rFonts w:ascii="Times New Roman" w:hAnsi="Times New Roman" w:cs="Times New Roman"/>
          <w:sz w:val="28"/>
          <w:sz-cs w:val="28"/>
          <w:b/>
        </w:rPr>
        <w:t xml:space="preserve">סיני; </w:t>
      </w:r>
      <w:r>
        <w:rPr>
          <w:rFonts w:ascii="Times New Roman" w:hAnsi="Times New Roman" w:cs="Times New Roman"/>
          <w:sz w:val="28"/>
          <w:sz-cs w:val="28"/>
        </w:rPr>
        <w:t xml:space="preserve">Hashem will deal with it </w:t>
      </w:r>
      <w:r>
        <w:rPr>
          <w:rFonts w:ascii="Times New Roman" w:hAnsi="Times New Roman" w:cs="Times New Roman"/>
          <w:sz w:val="28"/>
          <w:sz-cs w:val="28"/>
          <w:b/>
        </w:rPr>
        <w:t xml:space="preserve">and </w:t>
      </w:r>
      <w:r>
        <w:rPr>
          <w:rFonts w:ascii="Times New Roman" w:hAnsi="Times New Roman" w:cs="Times New Roman"/>
          <w:sz w:val="28"/>
          <w:sz-cs w:val="28"/>
        </w:rPr>
        <w:t xml:space="preserve">the defendant </w:t>
      </w:r>
      <w:r>
        <w:rPr>
          <w:rFonts w:ascii="Times New Roman" w:hAnsi="Times New Roman" w:cs="Times New Roman"/>
          <w:sz w:val="28"/>
          <w:sz-cs w:val="28"/>
          <w:b/>
        </w:rPr>
        <w:t xml:space="preserve">does not pay. </w:t>
      </w:r>
      <w:r>
        <w:rPr>
          <w:rFonts w:ascii="Times New Roman" w:hAnsi="Times New Roman" w:cs="Times New Roman"/>
          <w:sz w:val="24"/>
          <w:sz-cs w:val="24"/>
        </w:rPr>
        <w:t xml:space="preserve">Therefore we cannot answer that the משנה in השואל is discussing a case of גלגול שבועה. Even if the שומר is obligated to swear on account of the גלגול, however, since he cannot swear, he is not obligated to pay (according to שמואל). The question remains that how can we possibly say that שמואל disagrees with ר"י ור"ה and maintains that בו"ש לאו ברי עדיף; how will he then explain the משנה in השואל where the ברי is עדיף and the שמא is required to pay.</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תוספות answers:</w:t>
      </w:r>
    </w:p>
    <w:p>
      <w:pPr>
        <w:jc w:val="both"/>
        <w:bidi/>
      </w:pPr>
      <w:r>
        <w:rPr>
          <w:rFonts w:ascii="Times" w:hAnsi="Times" w:cs="Times"/>
          <w:sz w:val="28"/>
          <w:sz-cs w:val="28"/>
          <w:b/>
        </w:rPr>
        <w:t xml:space="preserve">ויש לומר דאיכא למימר דלעולם מנה לי בידך והלה אומר איני יודע לשמואל פטור -</w:t>
      </w:r>
      <w:r>
        <w:rPr>
          <w:rFonts w:ascii="Times New Roman" w:hAnsi="Times New Roman" w:cs="Times New Roman"/>
          <w:sz w:val="28"/>
          <w:sz-cs w:val="28"/>
          <w:b/>
        </w:rPr>
        <w:t xml:space="preserve"> </w:t>
      </w:r>
    </w:p>
    <w:p>
      <w:pPr>
        <w:jc w:val="both"/>
      </w:pPr>
      <w:r>
        <w:rPr>
          <w:rFonts w:ascii="Times New Roman" w:hAnsi="Times New Roman" w:cs="Times New Roman"/>
          <w:sz w:val="28"/>
          <w:sz-cs w:val="28"/>
          <w:b/>
        </w:rPr>
        <w:t xml:space="preserve">and one can say that it can be said, that in truth</w:t>
      </w:r>
      <w:r>
        <w:rPr>
          <w:rFonts w:ascii="Times New Roman" w:hAnsi="Times New Roman" w:cs="Times New Roman"/>
          <w:sz w:val="28"/>
          <w:sz-cs w:val="28"/>
        </w:rPr>
        <w:t xml:space="preserve"> in a case where the מלוה claims</w:t>
      </w:r>
      <w:r>
        <w:rPr>
          <w:rFonts w:ascii="Times New Roman" w:hAnsi="Times New Roman" w:cs="Times New Roman"/>
          <w:sz w:val="28"/>
          <w:sz-cs w:val="28"/>
          <w:b/>
        </w:rPr>
        <w:t xml:space="preserve"> you have my מנה in your possession;</w:t>
      </w:r>
      <w:r>
        <w:rPr>
          <w:rFonts w:ascii="Times New Roman" w:hAnsi="Times New Roman" w:cs="Times New Roman"/>
          <w:sz w:val="28"/>
          <w:sz-cs w:val="28"/>
        </w:rPr>
        <w:t xml:space="preserve"> you owe me a מנה </w:t>
      </w:r>
      <w:r>
        <w:rPr>
          <w:rFonts w:ascii="Times New Roman" w:hAnsi="Times New Roman" w:cs="Times New Roman"/>
          <w:sz w:val="28"/>
          <w:sz-cs w:val="28"/>
          <w:b/>
        </w:rPr>
        <w:t xml:space="preserve">and </w:t>
      </w:r>
      <w:r>
        <w:rPr>
          <w:rFonts w:ascii="Times New Roman" w:hAnsi="Times New Roman" w:cs="Times New Roman"/>
          <w:sz w:val="28"/>
          <w:sz-cs w:val="28"/>
        </w:rPr>
        <w:t xml:space="preserve">the לוה </w:t>
      </w:r>
      <w:r>
        <w:rPr>
          <w:rFonts w:ascii="Times New Roman" w:hAnsi="Times New Roman" w:cs="Times New Roman"/>
          <w:sz w:val="28"/>
          <w:sz-cs w:val="28"/>
          <w:b/>
        </w:rPr>
        <w:t xml:space="preserve">claims I do not know </w:t>
      </w:r>
      <w:r>
        <w:rPr>
          <w:rFonts w:ascii="Times New Roman" w:hAnsi="Times New Roman" w:cs="Times New Roman"/>
          <w:sz w:val="28"/>
          <w:sz-cs w:val="28"/>
        </w:rPr>
        <w:t xml:space="preserve">if I owe you a מנה, that </w:t>
      </w:r>
      <w:r>
        <w:rPr>
          <w:rFonts w:ascii="Times New Roman" w:hAnsi="Times New Roman" w:cs="Times New Roman"/>
          <w:sz w:val="28"/>
          <w:sz-cs w:val="28"/>
          <w:b/>
        </w:rPr>
        <w:t xml:space="preserve">according to שמואל </w:t>
      </w:r>
      <w:r>
        <w:rPr>
          <w:rFonts w:ascii="Times New Roman" w:hAnsi="Times New Roman" w:cs="Times New Roman"/>
          <w:sz w:val="28"/>
          <w:sz-cs w:val="28"/>
        </w:rPr>
        <w:t xml:space="preserve">the לוה is </w:t>
      </w:r>
      <w:r>
        <w:rPr>
          <w:rFonts w:ascii="Times New Roman" w:hAnsi="Times New Roman" w:cs="Times New Roman"/>
          <w:sz w:val="28"/>
          <w:sz-cs w:val="28"/>
          <w:b/>
        </w:rPr>
        <w:t xml:space="preserve">פטור </w:t>
      </w:r>
      <w:r>
        <w:rPr>
          <w:rFonts w:ascii="Times New Roman" w:hAnsi="Times New Roman" w:cs="Times New Roman"/>
          <w:sz w:val="24"/>
          <w:sz-cs w:val="24"/>
        </w:rPr>
        <w:t xml:space="preserve">from paying; and concerning the משנה in השואל –</w:t>
      </w:r>
      <w:r>
        <w:rPr>
          <w:rFonts w:ascii="Times New Roman" w:hAnsi="Times New Roman" w:cs="Times New Roman"/>
          <w:sz w:val="24"/>
          <w:sz-cs w:val="24"/>
          <w:b/>
        </w:rPr>
        <w:t xml:space="preserve"> </w:t>
      </w:r>
    </w:p>
    <w:p>
      <w:pPr>
        <w:jc w:val="both"/>
        <w:bidi/>
      </w:pPr>
      <w:r>
        <w:rPr>
          <w:rFonts w:ascii="Times" w:hAnsi="Times" w:cs="Times"/>
          <w:sz w:val="28"/>
          <w:sz-cs w:val="28"/>
          <w:b/>
        </w:rPr>
        <w:t xml:space="preserve">ומוקי שמואל מתניתין דהשואל כשיש עסק שבועה -</w:t>
      </w:r>
      <w:r>
        <w:rPr>
          <w:rFonts w:ascii="Times New Roman" w:hAnsi="Times New Roman" w:cs="Times New Roman"/>
          <w:sz w:val="28"/>
          <w:sz-cs w:val="28"/>
          <w:b/>
        </w:rPr>
        <w:t xml:space="preserve"> </w:t>
      </w:r>
    </w:p>
    <w:p>
      <w:pPr>
        <w:jc w:val="both"/>
      </w:pPr>
      <w:r>
        <w:rPr>
          <w:rFonts w:ascii="Times New Roman" w:hAnsi="Times New Roman" w:cs="Times New Roman"/>
          <w:sz w:val="28"/>
          <w:sz-cs w:val="28"/>
          <w:b/>
        </w:rPr>
        <w:t xml:space="preserve">שמואל will establish </w:t>
      </w:r>
      <w:r>
        <w:rPr>
          <w:rFonts w:ascii="Times New Roman" w:hAnsi="Times New Roman" w:cs="Times New Roman"/>
          <w:sz w:val="28"/>
          <w:sz-cs w:val="28"/>
        </w:rPr>
        <w:t xml:space="preserve">that </w:t>
      </w:r>
      <w:r>
        <w:rPr>
          <w:rFonts w:ascii="Times New Roman" w:hAnsi="Times New Roman" w:cs="Times New Roman"/>
          <w:sz w:val="28"/>
          <w:sz-cs w:val="28"/>
          <w:b/>
        </w:rPr>
        <w:t xml:space="preserve">the משנה in השואל </w:t>
      </w:r>
      <w:r>
        <w:rPr>
          <w:rFonts w:ascii="Times New Roman" w:hAnsi="Times New Roman" w:cs="Times New Roman"/>
          <w:sz w:val="28"/>
          <w:sz-cs w:val="28"/>
        </w:rPr>
        <w:t xml:space="preserve">is discussing a case </w:t>
      </w:r>
      <w:r>
        <w:rPr>
          <w:rFonts w:ascii="Times New Roman" w:hAnsi="Times New Roman" w:cs="Times New Roman"/>
          <w:sz w:val="28"/>
          <w:sz-cs w:val="28"/>
          <w:b/>
        </w:rPr>
        <w:t xml:space="preserve">that there is an entanglement of a שבועה </w:t>
      </w:r>
      <w:r>
        <w:rPr>
          <w:rFonts w:ascii="Times New Roman" w:hAnsi="Times New Roman" w:cs="Times New Roman"/>
          <w:sz w:val="24"/>
          <w:sz-cs w:val="24"/>
        </w:rPr>
        <w:t xml:space="preserve">between the משאיל and the שואל; the same answer that ר"נ  ור"י give. The reason the שואל has to pay, even though שמואל does not maintain משאי"מ, is because שמואל will insist that the משנה in השואל follows the opinion –</w:t>
      </w:r>
    </w:p>
    <w:p>
      <w:pPr>
        <w:jc w:val="both"/>
        <w:bidi/>
      </w:pPr>
      <w:r>
        <w:rPr>
          <w:rFonts w:ascii="Times" w:hAnsi="Times" w:cs="Times"/>
          <w:sz w:val="28"/>
          <w:sz-cs w:val="28"/>
          <w:b/>
        </w:rPr>
        <w:t xml:space="preserve">וכההוא תנא דאית ליה מתוך שאינו יכול לישבע משלם והוא סבר כאידך תנא - </w:t>
      </w:r>
    </w:p>
    <w:p>
      <w:pPr>
        <w:jc w:val="both"/>
      </w:pPr>
      <w:r>
        <w:rPr>
          <w:rFonts w:ascii="Times New Roman" w:hAnsi="Times New Roman" w:cs="Times New Roman"/>
          <w:sz w:val="28"/>
          <w:sz-cs w:val="28"/>
          <w:b/>
        </w:rPr>
        <w:t xml:space="preserve">of that תנא who does maintain that משאיל"מ; and </w:t>
      </w:r>
      <w:r>
        <w:rPr>
          <w:rFonts w:ascii="Times New Roman" w:hAnsi="Times New Roman" w:cs="Times New Roman"/>
          <w:sz w:val="28"/>
          <w:sz-cs w:val="28"/>
        </w:rPr>
        <w:t xml:space="preserve">שמואל himself </w:t>
      </w:r>
      <w:r>
        <w:rPr>
          <w:rFonts w:ascii="Times New Roman" w:hAnsi="Times New Roman" w:cs="Times New Roman"/>
          <w:sz w:val="28"/>
          <w:sz-cs w:val="28"/>
          <w:b/>
        </w:rPr>
        <w:t xml:space="preserve">maintains like the other תנא; </w:t>
      </w:r>
      <w:r>
        <w:rPr>
          <w:rFonts w:ascii="Times New Roman" w:hAnsi="Times New Roman" w:cs="Times New Roman"/>
          <w:sz w:val="24"/>
          <w:sz-cs w:val="24"/>
        </w:rPr>
        <w:t xml:space="preserve">that we do not say משאיל"מ, but rather חזרה שבועה לסיני </w:t>
      </w:r>
      <w:r>
        <w:rPr>
          <w:rFonts w:ascii="Times New Roman" w:hAnsi="Times New Roman" w:cs="Times New Roman"/>
          <w:sz w:val="22"/>
          <w:sz-cs w:val="22"/>
        </w:rPr>
        <w:t xml:space="preserve">–</w:t>
      </w:r>
    </w:p>
    <w:p>
      <w:pPr>
        <w:jc w:val="both"/>
        <w:bidi/>
      </w:pPr>
      <w:r>
        <w:rPr>
          <w:rFonts w:ascii="Times" w:hAnsi="Times" w:cs="Times"/>
          <w:sz w:val="28"/>
          <w:sz-cs w:val="28"/>
          <w:b/>
        </w:rPr>
        <w:t xml:space="preserve">דפלוגתא דתנאי היא בפרק כל השנבעין</w:t>
      </w:r>
      <w:r>
        <w:rPr>
          <w:rFonts w:ascii="Times" w:hAnsi="Times" w:cs="Times"/>
          <w:sz w:val="20"/>
          <w:sz-cs w:val="20"/>
          <w:b/>
        </w:rPr>
        <w:t xml:space="preserve"> (שם).</w:t>
      </w:r>
      <w:r>
        <w:rPr>
          <w:rFonts w:ascii="Times" w:hAnsi="Times" w:cs="Times"/>
          <w:sz w:val="28"/>
          <w:sz-cs w:val="28"/>
          <w:b/>
        </w:rPr>
        <w:t xml:space="preserve"> </w:t>
      </w:r>
    </w:p>
    <w:p>
      <w:pPr>
        <w:jc w:val="both"/>
      </w:pPr>
      <w:r>
        <w:rPr>
          <w:rFonts w:ascii="Times New Roman" w:hAnsi="Times New Roman" w:cs="Times New Roman"/>
          <w:sz w:val="28"/>
          <w:sz-cs w:val="28"/>
          <w:b/>
        </w:rPr>
        <w:t xml:space="preserve">For it is a dispute among תנאים in פרק כל הנשבעין, </w:t>
      </w:r>
      <w:r>
        <w:rPr>
          <w:rFonts w:ascii="Times New Roman" w:hAnsi="Times New Roman" w:cs="Times New Roman"/>
          <w:sz w:val="24"/>
          <w:sz-cs w:val="24"/>
        </w:rPr>
        <w:t xml:space="preserve">whether we say משאיל"מ or חזרה שבועה לסיני. Therefore the משנה in השואל follows the opinion of the תנא who maintains משאיל"מ, while שמואל follows the opinion of the other תנא that we say חזרה שבועה. According to שמואל by a ברי ושמא, even if the שמא is מחוייב a שבועה, nevertheless he may be פטור; for שמואל may maintain that בו"ש לאו ברי עדיף and by a שאינו יכול לישבע we say חזרה שבועה לסיני and he does not pay.</w:t>
      </w:r>
      <w:r>
        <w:rPr>
          <w:rFonts w:ascii="Times New Roman" w:hAnsi="Times New Roman" w:cs="Times New Roman"/>
          <w:sz w:val="24"/>
          <w:sz-cs w:val="24"/>
          <w:b/>
        </w:rPr>
        <w:t xml:space="preserve"> </w:t>
      </w:r>
      <w:r>
        <w:rPr>
          <w:rFonts w:ascii="Times New Roman" w:hAnsi="Times New Roman" w:cs="Times New Roman"/>
          <w:sz w:val="24"/>
          <w:sz-cs w:val="24"/>
        </w:rPr>
        <w:t xml:space="preserve"> </w:t>
      </w:r>
    </w:p>
    <w:p>
      <w:pPr>
        <w:jc w:val="both"/>
        <w:bidi/>
      </w:pPr>
      <w:r>
        <w:rPr>
          <w:rFonts w:ascii="Times New Roman" w:hAnsi="Times New Roman" w:cs="Times New Roman"/>
          <w:sz w:val="20"/>
          <w:sz-cs w:val="20"/>
          <w:b/>
        </w:rPr>
        <w:t xml:space="preserve">[ועיין ביתר ביאור תוספות בבא מציא צז,ב סוף דיבור המתחיל רב הונא]:</w:t>
      </w:r>
      <w:r>
        <w:rPr>
          <w:rFonts w:ascii="Times New Roman" w:hAnsi="Times New Roman" w:cs="Times New Roman"/>
          <w:sz w:val="24"/>
          <w:sz-cs w:val="24"/>
        </w:rPr>
        <w:t xml:space="preserve"/>
      </w:r>
    </w:p>
    <w:p>
      <w:pPr>
        <w:jc w:val="both"/>
      </w:pPr>
      <w:r>
        <w:rPr>
          <w:rFonts w:ascii="Copperplate" w:hAnsi="Copperplate" w:cs="Copperplate"/>
          <w:sz w:val="28"/>
          <w:sz-cs w:val="28"/>
          <w:u w:val="double"/>
        </w:rPr>
        <w:t xml:space="preserve">Summary</w:t>
      </w:r>
    </w:p>
    <w:p>
      <w:pPr>
        <w:jc w:val="both"/>
      </w:pPr>
      <w:r>
        <w:rPr>
          <w:rFonts w:ascii="Times New Roman" w:hAnsi="Times New Roman" w:cs="Times New Roman"/>
          <w:sz w:val="28"/>
          <w:sz-cs w:val="28"/>
        </w:rPr>
        <w:t xml:space="preserve">In the case of a מוכת עץ, ר' יוחנן cannot agree with ר"ג ור"א based on the explanation of מיגו (alone). שמואל can disagree with the משנה in השואל that requires the שמא to pay (on account of גלגול שבועה and משאיל"מ); for שמואל will follow the opinion of those תנאים that maintain חזרה שבועה לסיני.</w:t>
      </w: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Copperplate" w:hAnsi="Copperplate" w:cs="Copperplate"/>
          <w:sz w:val="28"/>
          <w:sz-cs w:val="28"/>
          <w:u w:val="double"/>
        </w:rPr>
        <w:t xml:space="preserve">Thinking it over</w:t>
      </w:r>
    </w:p>
    <w:p>
      <w:pPr>
        <w:jc w:val="both"/>
      </w:pPr>
      <w:r>
        <w:rPr>
          <w:rFonts w:ascii="Times New Roman" w:hAnsi="Times New Roman" w:cs="Times New Roman"/>
          <w:sz w:val="28"/>
          <w:sz-cs w:val="28"/>
        </w:rPr>
        <w:t xml:space="preserve">1. Is there any connection between the first part of תוספות (concerning ר' יוחנן) and the subsequent question and answer (concerning שמואל)?</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2. The ר"י מקורבי"ל asks that שמואל must maintain בו"ש ברי עדיף. What difficulty is there if we accept that assumption?</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3. When the ר"י מקובי"ל asked the question on שמואל, was he not aware that there is a מחלוקת תנאים concerning משאיל"מ?</w:t>
      </w:r>
    </w:p>
    <w:p>
      <w:pPr>
        <w:jc w:val="both"/>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4. How can the גמרא have originally assumed that ר"ה ור' יהודה (who maintain בו"ש ברי עדיף) follow the opinion of ר"ג ור"א in the משנה? In the משנה the בו"ש is a ברי גרוע ושמא טוב. We have learnt in the previous תוספות that by a בגוש"ט, that ר"י rules that המע"ה!!</w:t>
      </w:r>
    </w:p>
    <w:p>
      <w:pPr>
        <w:jc w:val="both"/>
      </w:pPr>
      <w:r>
        <w:rPr>
          <w:rFonts w:ascii="Times New Roman" w:hAnsi="Times New Roman" w:cs="Times New Roman"/>
          <w:sz w:val="20"/>
          <w:sz-cs w:val="20"/>
        </w:rPr>
        <w:t xml:space="preserve"> That is why he rules like ר"ג ור"א of our משניות.</w:t>
      </w:r>
    </w:p>
    <w:p>
      <w:pPr>
        <w:jc w:val="both"/>
      </w:pPr>
      <w:r>
        <w:rPr>
          <w:rFonts w:ascii="Times New Roman" w:hAnsi="Times New Roman" w:cs="Times New Roman"/>
          <w:sz w:val="20"/>
          <w:sz-cs w:val="20"/>
        </w:rPr>
        <w:t xml:space="preserve"> In the case of מנה לי בידך והלה אומר איני יודע, there is no מיגו or חזקה to support the מלוה. However by our משניות the claim of the אשה (who is a ברי) is (also) supported by either a מיגו or a חזקה.</w:t>
      </w:r>
    </w:p>
    <w:p>
      <w:pPr>
        <w:jc w:val="both"/>
      </w:pPr>
      <w:r>
        <w:rPr>
          <w:rFonts w:ascii="Times New Roman" w:hAnsi="Times New Roman" w:cs="Times New Roman"/>
          <w:sz w:val="20"/>
          <w:sz-cs w:val="20"/>
        </w:rPr>
        <w:t xml:space="preserve"> דף יג,א. She claims she was merely a מוכת עץ. He claims that (perhaps) you are a בעולה.</w:t>
      </w:r>
    </w:p>
    <w:p>
      <w:pPr>
        <w:jc w:val="both"/>
      </w:pPr>
      <w:r>
        <w:rPr>
          <w:rFonts w:ascii="Times New Roman" w:hAnsi="Times New Roman" w:cs="Times New Roman"/>
          <w:sz w:val="20"/>
          <w:sz-cs w:val="20"/>
        </w:rPr>
        <w:t xml:space="preserve"> A מוכת עץ is a woman who lost her בתולים due to physical trauma; but she is not a בעולה. The literal translation is ‘struck (by) wood’.</w:t>
      </w:r>
    </w:p>
    <w:p>
      <w:pPr>
        <w:jc w:val="both"/>
      </w:pPr>
      <w:r>
        <w:rPr>
          <w:rFonts w:ascii="Times New Roman" w:hAnsi="Times New Roman" w:cs="Times New Roman"/>
          <w:sz w:val="20"/>
          <w:sz-cs w:val="20"/>
        </w:rPr>
        <w:t xml:space="preserve"> There is a מחלוקת between ר"מ and the חכמים (in a משנה on דף יא,א), concerning the כתובה of a מוכת עץ. The חכמים maintain that her כתובה is (only) a מנה, while ר"מ maintains that her כתובה is the full מאתיים. There is an additional מחלוקת (of אמוראים on דף יא,ב) what the דין is in a case where the husband assumed that his betrothed is a בתולה and it turned out the she was a בעולה before the אירוסין. Some maintain that she loses the entire כתובה; while ר' יוחנן maintains that she receives a מנה (see following footnote # 6).</w:t>
      </w:r>
    </w:p>
    <w:p>
      <w:pPr>
        <w:jc w:val="both"/>
      </w:pPr>
      <w:r>
        <w:rPr>
          <w:rFonts w:ascii="Times New Roman" w:hAnsi="Times New Roman" w:cs="Times New Roman"/>
          <w:sz w:val="20"/>
          <w:sz-cs w:val="20"/>
        </w:rPr>
        <w:t xml:space="preserve"> ר"י maintains that כנסה בחזקת בתולה ונמצאת בעולה, she has a כתובה מנה. Therefore he interprets the following משנה of מוכת עץ, that she is claiming a כתובה of מאתיים (following the opinion of ר"מ), while he claims that he owes her only a מנה. According to ר"י, this woman has no מיגו; there is no other claim she can present, where she would be either more believed or receive more money. Those who maintain that in a case of כנסה בחזקת בתולה ונמצאת בעולה she receives no כתובה at all; they can interpret the משנה of מו"ע according to the רבנן, where she is claiming (merely) a מנה. According to them, the woman has a מיגו for she could have claimed I became a מוכת עץ after the אירוסין; in which case she would be owed מאתיים. However according to ר"י there is no מיגו for (even) as a מוכת עץ before אירוסין she is entitled to receive מאתיים.  </w:t>
      </w:r>
    </w:p>
    <w:p>
      <w:pPr>
        <w:jc w:val="both"/>
      </w:pPr>
      <w:r>
        <w:rPr>
          <w:rFonts w:ascii="Times New Roman" w:hAnsi="Times New Roman" w:cs="Times New Roman"/>
          <w:sz w:val="20"/>
          <w:sz-cs w:val="20"/>
        </w:rPr>
        <w:t xml:space="preserve"> דף יג,א [it would be advisable to peruse that סוגיא for a better understanding of this תוספות] .</w:t>
      </w:r>
    </w:p>
    <w:p>
      <w:pPr>
        <w:jc w:val="both"/>
      </w:pPr>
      <w:r>
        <w:rPr>
          <w:rFonts w:ascii="Times New Roman" w:hAnsi="Times New Roman" w:cs="Times New Roman"/>
          <w:sz w:val="20"/>
          <w:sz-cs w:val="20"/>
        </w:rPr>
        <w:t xml:space="preserve"> This may be why the גמרא gives an additional answer that in these משניות the woman is believed because she has a חזקה. This answer applies to ר' יוחנן as well; that he may agree to ר"ג ור"א, even in the case of מו"ע.</w:t>
      </w:r>
    </w:p>
    <w:p>
      <w:pPr>
        <w:jc w:val="both"/>
      </w:pPr>
      <w:r>
        <w:rPr>
          <w:rFonts w:ascii="Times New Roman" w:hAnsi="Times New Roman" w:cs="Times New Roman"/>
          <w:sz w:val="20"/>
          <w:sz-cs w:val="20"/>
        </w:rPr>
        <w:t xml:space="preserve"> That can be explained on account of מיגו or חזקה. See ‘Thinking it over’ # 2.</w:t>
      </w:r>
    </w:p>
    <w:p>
      <w:pPr>
        <w:jc w:val="both"/>
      </w:pPr>
      <w:r>
        <w:rPr>
          <w:rFonts w:ascii="Times New Roman" w:hAnsi="Times New Roman" w:cs="Times New Roman"/>
          <w:sz w:val="20"/>
          <w:sz-cs w:val="20"/>
        </w:rPr>
        <w:t xml:space="preserve"> See previous תוספות ד"ה רב הונא footnote # 21.</w:t>
      </w:r>
    </w:p>
    <w:p>
      <w:pPr>
        <w:jc w:val="both"/>
      </w:pPr>
      <w:r>
        <w:rPr>
          <w:rFonts w:ascii="Times New Roman" w:hAnsi="Times New Roman" w:cs="Times New Roman"/>
          <w:sz w:val="20"/>
          <w:sz-cs w:val="20"/>
        </w:rPr>
        <w:t xml:space="preserve"> See previous תוספות ד"ה רב הונא footnote # 1.</w:t>
      </w:r>
    </w:p>
    <w:p>
      <w:pPr>
        <w:jc w:val="both"/>
      </w:pPr>
      <w:r>
        <w:rPr>
          <w:rFonts w:ascii="Times New Roman" w:hAnsi="Times New Roman" w:cs="Times New Roman"/>
          <w:sz w:val="20"/>
          <w:sz-cs w:val="20"/>
        </w:rPr>
        <w:t xml:space="preserve"> What follows is not something that we must say (that שמואל maintains בו"ש לאו ברי עדיף), but rather what שמואל can possibly maintain. In reality though, שמואל can just as well maintain that בו"ש ברי עדיף.</w:t>
      </w:r>
    </w:p>
    <w:p>
      <w:pPr>
        <w:jc w:val="both"/>
      </w:pPr>
      <w:r>
        <w:rPr>
          <w:rFonts w:ascii="Times New Roman" w:hAnsi="Times New Roman" w:cs="Times New Roman"/>
          <w:sz w:val="20"/>
          <w:sz-cs w:val="20"/>
        </w:rPr>
        <w:t xml:space="preserve"> The גמרא there states that ר"א derives the דין of משאיל"מ from a ברייתא which teaches the דרשה on the פסוק שבועת ה' תהי' בין שניהם and not בין היורשין (see previous תוספות ד"ה רב הונא footnote # 3). Others (who disagree with ר"א) cite another ברייתא that the פסוק בין שניהם teaches us something else and not ולא בין היורשים. Therefore, there is no source for the דין of משאיל"מ. It is these ברייתות that תוספות may be referring to when he says that משאיל"מ is a מחלוקת תנאים.  </w:t>
      </w:r>
    </w:p>
    <w:p>
      <w:pPr/>
      <w:r>
        <w:rPr>
          <w:rFonts w:ascii="Times New Roman" w:hAnsi="Times New Roman" w:cs="Times New Roman"/>
          <w:sz w:val="20"/>
          <w:sz-cs w:val="20"/>
        </w:rPr>
        <w:t xml:space="preserve"> See footnote # 9.</w:t>
      </w:r>
    </w:p>
    <w:p>
      <w:pPr>
        <w:jc w:val="both"/>
      </w:pPr>
      <w:r>
        <w:rPr>
          <w:rFonts w:ascii="Times New Roman" w:hAnsi="Times New Roman" w:cs="Times New Roman"/>
          <w:sz w:val="20"/>
          <w:sz-cs w:val="20"/>
        </w:rPr>
        <w:t xml:space="preserve"> See חידושי בתרא אות קכח.</w:t>
      </w:r>
    </w:p>
    <w:p>
      <w:pPr>
        <w:jc w:val="both"/>
      </w:pPr>
      <w:r>
        <w:rPr>
          <w:rFonts w:ascii="Times New Roman" w:hAnsi="Times New Roman" w:cs="Times New Roman"/>
          <w:sz w:val="20"/>
          <w:sz-cs w:val="20"/>
        </w:rPr>
        <w:t xml:space="preserve"> See ח"ב מ"ת אות קמ.</w:t>
      </w:r>
    </w:p>
    <w:p>
      <w:pPr>
        <w:jc w:val="both"/>
      </w:pPr>
      <w:r>
        <w:rPr>
          <w:rFonts w:ascii="Times New Roman" w:hAnsi="Times New Roman" w:cs="Times New Roman"/>
          <w:sz w:val="20"/>
          <w:sz-cs w:val="20"/>
        </w:rPr>
        <w:t xml:space="preserve"> This question is (more) relevant to the previous תוספות וכפשוט!</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jc w:val="right"/>
      </w:pPr>
      <w:r>
        <w:rPr>
          <w:rFonts w:ascii="Times New Roman" w:hAnsi="Times New Roman" w:cs="Times New Roman"/>
          <w:sz w:val="24"/>
          <w:sz-cs w:val="24"/>
        </w:rPr>
        <w:t xml:space="preserve">בס"ד. כתובות יב,ב תוס' ד"ה אלא</w:t>
      </w:r>
    </w:p>
    <w:p>
      <w:pPr/>
      <w:r>
        <w:rPr>
          <w:rFonts w:ascii="Times New Roman" w:hAnsi="Times New Roman" w:cs="Times New Roman"/>
          <w:sz w:val="28"/>
          <w:sz-cs w:val="28"/>
        </w:rPr>
        <w:t xml:space="preserve"/>
      </w:r>
    </w:p>
    <w:p>
      <w:pPr/>
      <w:r>
        <w:rPr>
          <w:rFonts w:ascii="Times New Roman" w:hAnsi="Times New Roman" w:cs="Times New Roman"/>
          <w:sz w:val="24"/>
          <w:sz-cs w:val="24"/>
        </w:rPr>
        <w:t xml:space="preserve">PAGE  </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jc w:val="center"/>
      </w:pPr>
      <w:r>
        <w:rPr>
          <w:rFonts w:ascii="Times New Roman" w:hAnsi="Times New Roman" w:cs="Times New Roman"/>
          <w:sz w:val="20"/>
          <w:sz-cs w:val="20"/>
        </w:rPr>
        <w:t xml:space="preserve"> PAGE   \* MERGEFORMAT 4</w:t>
      </w:r>
      <w:r>
        <w:rPr>
          <w:rFonts w:ascii="Times New Roman" w:hAnsi="Times New Roman" w:cs="Times New Roman"/>
          <w:sz w:val="16"/>
          <w:sz-cs w:val="16"/>
        </w:rPr>
        <w:t xml:space="preserve"/>
      </w:r>
    </w:p>
    <w:p>
      <w:pPr>
        <w:jc w:val="center"/>
      </w:pPr>
      <w:r>
        <w:rPr>
          <w:rFonts w:ascii="Times New Roman" w:hAnsi="Times New Roman" w:cs="Times New Roman"/>
          <w:sz w:val="16"/>
          <w:sz-cs w:val="16"/>
        </w:rPr>
        <w:t xml:space="preserve">TosfosInEnglish.com</w:t>
      </w:r>
    </w:p>
    <w:p>
      <w:pPr>
        <w:jc w:val="center"/>
      </w:pPr>
      <w:r>
        <w:rPr>
          <w:rFonts w:ascii="Times New Roman" w:hAnsi="Times New Roman" w:cs="Times New Roman"/>
          <w:sz w:val="16"/>
          <w:sz-cs w:val="16"/>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jc w:val="both"/>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אלא דאיכא מיגו – Only because there is a מיגו</dc:title>
  <dc:subject/>
  <dc:creator> </dc:creator>
  <cp:keywords/>
  <dc:description/>
  <cp:lastModifiedBy>Ephraim</cp:lastModifiedBy>
  <dcterms:created>2008-03-10T22:00:00Z</dcterms:created>
  <dcterms:modified>2008-03-10T22:00:00Z</dcterms:modified>
</cp:coreProperties>
</file>

<file path=docProps/meta.xml><?xml version="1.0" encoding="utf-8"?>
<meta xmlns="http://schemas.apple.com/cocoa/2006/metadata">
  <generator>CocoaOOXMLWriter/2113</generator>
</meta>
</file>