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B7" w:rsidRDefault="00AF19F9" w:rsidP="008207B7">
      <w:pPr>
        <w:widowControl w:val="0"/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לדברי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המכשיר בה פוסל בבתה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AF19F9" w:rsidP="0081345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According to the opinion that approves her,</w:t>
      </w:r>
      <w:r>
        <w:rPr>
          <w:sz w:val="32"/>
          <w:szCs w:val="32"/>
          <w:lang w:bidi="he-IL"/>
        </w:rPr>
        <w:t xml:space="preserve"> nevertheless </w:t>
      </w:r>
      <w:r>
        <w:rPr>
          <w:b/>
          <w:bCs/>
          <w:sz w:val="32"/>
          <w:szCs w:val="32"/>
          <w:lang w:bidi="he-IL"/>
        </w:rPr>
        <w:t>he</w:t>
      </w:r>
      <w:r w:rsidRPr="00AF19F9">
        <w:rPr>
          <w:b/>
          <w:bCs/>
          <w:sz w:val="32"/>
          <w:szCs w:val="32"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 xml:space="preserve">disqualifies her daughter </w:t>
      </w:r>
      <w:r>
        <w:rPr>
          <w:sz w:val="32"/>
          <w:szCs w:val="32"/>
          <w:lang w:bidi="he-IL"/>
        </w:rPr>
        <w:t xml:space="preserve">from marrying into </w:t>
      </w:r>
      <w:r>
        <w:rPr>
          <w:rFonts w:hint="cs"/>
          <w:sz w:val="32"/>
          <w:szCs w:val="32"/>
          <w:rtl/>
          <w:lang w:bidi="he-IL"/>
        </w:rPr>
        <w:t>כהונה</w:t>
      </w:r>
      <w:r>
        <w:rPr>
          <w:sz w:val="32"/>
          <w:szCs w:val="32"/>
          <w:lang w:bidi="he-IL"/>
        </w:rPr>
        <w:t>.</w:t>
      </w:r>
    </w:p>
    <w:p w:rsidR="00AF19F9" w:rsidRDefault="00AF19F9" w:rsidP="0081345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AF19F9" w:rsidRPr="008207B7" w:rsidRDefault="008731D2" w:rsidP="0081345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8207B7">
        <w:rPr>
          <w:rFonts w:ascii="Copperplate Gothic Bold" w:hAnsi="Copperplate Gothic Bold"/>
          <w:u w:val="double"/>
          <w:lang w:bidi="he-IL"/>
        </w:rPr>
        <w:t>Overview</w:t>
      </w:r>
    </w:p>
    <w:p w:rsidR="008731D2" w:rsidRPr="008731D2" w:rsidRDefault="008731D2" w:rsidP="0081345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mentions that there is an opinion that even </w:t>
      </w:r>
      <w:r>
        <w:rPr>
          <w:rFonts w:hint="cs"/>
          <w:rtl/>
          <w:lang w:bidi="he-IL"/>
        </w:rPr>
        <w:t>ר"ג ור"א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מכשיר</w:t>
      </w:r>
      <w:r>
        <w:rPr>
          <w:lang w:bidi="he-IL"/>
        </w:rPr>
        <w:t xml:space="preserve"> only the mother; however the daughter is always </w:t>
      </w:r>
      <w:r>
        <w:rPr>
          <w:rFonts w:hint="cs"/>
          <w:rtl/>
          <w:lang w:bidi="he-IL"/>
        </w:rPr>
        <w:t>פסולה לכהונה</w:t>
      </w:r>
      <w:r>
        <w:rPr>
          <w:lang w:bidi="he-IL"/>
        </w:rPr>
        <w:t xml:space="preserve">. The question arises; if the daughter is </w:t>
      </w:r>
      <w:r>
        <w:rPr>
          <w:rFonts w:hint="cs"/>
          <w:rtl/>
          <w:lang w:bidi="he-IL"/>
        </w:rPr>
        <w:t>פסולה לכהונה</w:t>
      </w:r>
      <w:r>
        <w:rPr>
          <w:lang w:bidi="he-IL"/>
        </w:rPr>
        <w:t xml:space="preserve"> why mention </w:t>
      </w:r>
      <w:r>
        <w:rPr>
          <w:rFonts w:hint="cs"/>
          <w:rtl/>
          <w:lang w:bidi="he-IL"/>
        </w:rPr>
        <w:t>מעוברת</w:t>
      </w:r>
      <w:r>
        <w:rPr>
          <w:lang w:bidi="he-IL"/>
        </w:rPr>
        <w:t xml:space="preserve"> (which indicates we are discussing the </w:t>
      </w:r>
      <w:r>
        <w:rPr>
          <w:rStyle w:val="FootnoteReference"/>
          <w:lang w:bidi="he-IL"/>
        </w:rPr>
        <w:footnoteReference w:id="1"/>
      </w:r>
      <w:r>
        <w:rPr>
          <w:rFonts w:hint="cs"/>
          <w:rtl/>
          <w:lang w:bidi="he-IL"/>
        </w:rPr>
        <w:t>עובר</w:t>
      </w:r>
      <w:r>
        <w:rPr>
          <w:lang w:bidi="he-IL"/>
        </w:rPr>
        <w:t xml:space="preserve">) at all?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should have merely said </w:t>
      </w:r>
      <w:r>
        <w:rPr>
          <w:rFonts w:hint="cs"/>
          <w:rtl/>
          <w:lang w:bidi="he-IL"/>
        </w:rPr>
        <w:t>ראוה שנבעלה</w:t>
      </w:r>
      <w:r>
        <w:rPr>
          <w:lang w:bidi="he-IL"/>
        </w:rPr>
        <w:t xml:space="preserve">. </w:t>
      </w:r>
      <w:r w:rsidR="00F43230">
        <w:rPr>
          <w:lang w:bidi="he-IL"/>
        </w:rPr>
        <w:t xml:space="preserve">Our </w:t>
      </w:r>
      <w:r w:rsidR="00F43230">
        <w:rPr>
          <w:rFonts w:hint="cs"/>
          <w:rtl/>
          <w:lang w:bidi="he-IL"/>
        </w:rPr>
        <w:t>תוספות</w:t>
      </w:r>
      <w:r w:rsidR="00F43230">
        <w:rPr>
          <w:lang w:bidi="he-IL"/>
        </w:rPr>
        <w:t xml:space="preserve"> will resolve this issue.</w:t>
      </w:r>
    </w:p>
    <w:p w:rsidR="00AF19F9" w:rsidRDefault="008207B7" w:rsidP="008207B7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------------------------</w:t>
      </w:r>
    </w:p>
    <w:p w:rsidR="008207B7" w:rsidRPr="008207B7" w:rsidRDefault="00AF19F9" w:rsidP="008207B7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8207B7">
        <w:rPr>
          <w:rFonts w:ascii="David" w:hAnsi="David" w:cs="David"/>
          <w:b/>
          <w:bCs/>
          <w:rtl/>
          <w:lang w:bidi="he-IL"/>
        </w:rPr>
        <w:t>ומעוברת דנקט</w:t>
      </w:r>
      <w:r w:rsidR="008207B7" w:rsidRPr="008207B7">
        <w:rPr>
          <w:rFonts w:ascii="David" w:hAnsi="David" w:cs="David"/>
          <w:b/>
          <w:bCs/>
          <w:rtl/>
          <w:lang w:bidi="he-IL"/>
        </w:rPr>
        <w:t xml:space="preserve"> משום לישנא מעליא</w:t>
      </w:r>
      <w:r w:rsidR="008207B7">
        <w:rPr>
          <w:rFonts w:ascii="David" w:hAnsi="David" w:cs="David" w:hint="cs"/>
          <w:b/>
          <w:bCs/>
          <w:rtl/>
          <w:lang w:bidi="he-IL"/>
        </w:rPr>
        <w:t>:</w:t>
      </w:r>
    </w:p>
    <w:p w:rsidR="00AF19F9" w:rsidRDefault="008207B7" w:rsidP="008207B7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AF19F9">
        <w:rPr>
          <w:b/>
          <w:bCs/>
          <w:lang w:bidi="he-IL"/>
        </w:rPr>
        <w:t xml:space="preserve"> </w:t>
      </w:r>
      <w:r w:rsidR="00AF19F9">
        <w:rPr>
          <w:lang w:bidi="he-IL"/>
        </w:rPr>
        <w:t xml:space="preserve">the reason the </w:t>
      </w:r>
      <w:r w:rsidR="00AF19F9">
        <w:rPr>
          <w:rFonts w:hint="cs"/>
          <w:rtl/>
          <w:lang w:bidi="he-IL"/>
        </w:rPr>
        <w:t>משנה</w:t>
      </w:r>
      <w:r w:rsidR="00AF19F9">
        <w:rPr>
          <w:lang w:bidi="he-IL"/>
        </w:rPr>
        <w:t xml:space="preserve"> </w:t>
      </w:r>
      <w:r w:rsidR="008731D2">
        <w:rPr>
          <w:b/>
          <w:bCs/>
          <w:lang w:bidi="he-IL"/>
        </w:rPr>
        <w:t>state</w:t>
      </w:r>
      <w:r w:rsidR="00AF19F9">
        <w:rPr>
          <w:b/>
          <w:bCs/>
          <w:lang w:bidi="he-IL"/>
        </w:rPr>
        <w:t xml:space="preserve">s </w:t>
      </w:r>
      <w:r w:rsidR="00AF19F9">
        <w:rPr>
          <w:lang w:bidi="he-IL"/>
        </w:rPr>
        <w:t xml:space="preserve">the term </w:t>
      </w:r>
      <w:r w:rsidR="00AF19F9" w:rsidRPr="00F43230">
        <w:rPr>
          <w:rFonts w:hint="cs"/>
          <w:b/>
          <w:bCs/>
          <w:rtl/>
          <w:lang w:bidi="he-IL"/>
        </w:rPr>
        <w:t>מעוברת</w:t>
      </w:r>
      <w:r w:rsidR="00AF19F9">
        <w:rPr>
          <w:lang w:bidi="he-IL"/>
        </w:rPr>
        <w:t xml:space="preserve">, </w:t>
      </w:r>
      <w:r w:rsidR="00F332A0" w:rsidRPr="008207B7">
        <w:rPr>
          <w:lang w:bidi="he-IL"/>
        </w:rPr>
        <w:t>when it is not relevant;</w:t>
      </w:r>
      <w:r w:rsidR="00AF19F9" w:rsidRPr="008207B7">
        <w:rPr>
          <w:lang w:bidi="he-IL"/>
        </w:rPr>
        <w:t xml:space="preserve"> since the </w:t>
      </w:r>
      <w:r w:rsidR="00AF19F9" w:rsidRPr="008207B7">
        <w:rPr>
          <w:rFonts w:hint="cs"/>
          <w:rtl/>
          <w:lang w:bidi="he-IL"/>
        </w:rPr>
        <w:t>עובר</w:t>
      </w:r>
      <w:r w:rsidR="00AF19F9" w:rsidRPr="008207B7">
        <w:rPr>
          <w:lang w:bidi="he-IL"/>
        </w:rPr>
        <w:t xml:space="preserve"> or daughter is </w:t>
      </w:r>
      <w:r w:rsidR="00AF19F9" w:rsidRPr="008207B7">
        <w:rPr>
          <w:rFonts w:hint="cs"/>
          <w:rtl/>
          <w:lang w:bidi="he-IL"/>
        </w:rPr>
        <w:t>פסולה לכהונה</w:t>
      </w:r>
      <w:r w:rsidR="00AF19F9" w:rsidRPr="008207B7">
        <w:rPr>
          <w:lang w:bidi="he-IL"/>
        </w:rPr>
        <w:t xml:space="preserve"> according to everyone (even </w:t>
      </w:r>
      <w:r w:rsidR="00AF19F9" w:rsidRPr="008207B7">
        <w:rPr>
          <w:rFonts w:hint="cs"/>
          <w:rtl/>
          <w:lang w:bidi="he-IL"/>
        </w:rPr>
        <w:t>ר"ג ור"א</w:t>
      </w:r>
      <w:r w:rsidR="00F332A0" w:rsidRPr="008207B7">
        <w:rPr>
          <w:lang w:bidi="he-IL"/>
        </w:rPr>
        <w:t>),</w:t>
      </w:r>
      <w:r w:rsidR="00AF19F9" w:rsidRPr="008207B7">
        <w:rPr>
          <w:lang w:bidi="he-IL"/>
        </w:rPr>
        <w:t xml:space="preserve"> the </w:t>
      </w:r>
      <w:r w:rsidR="00AF19F9" w:rsidRPr="008207B7">
        <w:rPr>
          <w:rFonts w:hint="cs"/>
          <w:rtl/>
          <w:lang w:bidi="he-IL"/>
        </w:rPr>
        <w:t>משנה</w:t>
      </w:r>
      <w:r w:rsidR="00AF19F9" w:rsidRPr="008207B7">
        <w:rPr>
          <w:lang w:bidi="he-IL"/>
        </w:rPr>
        <w:t xml:space="preserve"> should have merely said </w:t>
      </w:r>
      <w:r w:rsidR="00AF19F9" w:rsidRPr="008207B7">
        <w:rPr>
          <w:rFonts w:hint="cs"/>
          <w:rtl/>
          <w:lang w:bidi="he-IL"/>
        </w:rPr>
        <w:t>ראוה שנבעלה</w:t>
      </w:r>
      <w:r w:rsidR="00F332A0" w:rsidRPr="008207B7">
        <w:rPr>
          <w:lang w:bidi="he-IL"/>
        </w:rPr>
        <w:t>.</w:t>
      </w:r>
      <w:r w:rsidR="00AF19F9" w:rsidRPr="008207B7">
        <w:rPr>
          <w:lang w:bidi="he-IL"/>
        </w:rPr>
        <w:t xml:space="preserve"> </w:t>
      </w:r>
      <w:r w:rsidR="00AF19F9" w:rsidRPr="008207B7">
        <w:rPr>
          <w:rFonts w:hint="cs"/>
          <w:rtl/>
          <w:lang w:bidi="he-IL"/>
        </w:rPr>
        <w:t>תוספות</w:t>
      </w:r>
      <w:r w:rsidR="00AF19F9" w:rsidRPr="008207B7">
        <w:rPr>
          <w:lang w:bidi="he-IL"/>
        </w:rPr>
        <w:t xml:space="preserve"> answers </w:t>
      </w:r>
      <w:r w:rsidR="00AF19F9">
        <w:rPr>
          <w:b/>
          <w:bCs/>
          <w:lang w:bidi="he-IL"/>
        </w:rPr>
        <w:t xml:space="preserve">because </w:t>
      </w:r>
      <w:r w:rsidR="00AF19F9">
        <w:rPr>
          <w:lang w:bidi="he-IL"/>
        </w:rPr>
        <w:t xml:space="preserve">the </w:t>
      </w:r>
      <w:r w:rsidR="00AF19F9">
        <w:rPr>
          <w:rFonts w:hint="cs"/>
          <w:rtl/>
          <w:lang w:bidi="he-IL"/>
        </w:rPr>
        <w:t>משנה</w:t>
      </w:r>
      <w:r w:rsidR="00AF19F9">
        <w:rPr>
          <w:lang w:bidi="he-IL"/>
        </w:rPr>
        <w:t xml:space="preserve"> wanted to use </w:t>
      </w:r>
      <w:r w:rsidR="00AF19F9">
        <w:rPr>
          <w:b/>
          <w:bCs/>
          <w:lang w:bidi="he-IL"/>
        </w:rPr>
        <w:t>a superior expression;</w:t>
      </w:r>
      <w:r w:rsidR="00AF19F9">
        <w:rPr>
          <w:lang w:bidi="he-IL"/>
        </w:rPr>
        <w:t xml:space="preserve"> </w:t>
      </w:r>
      <w:r w:rsidR="00AF19F9" w:rsidRPr="00F43230">
        <w:rPr>
          <w:sz w:val="24"/>
          <w:szCs w:val="24"/>
          <w:lang w:bidi="he-IL"/>
        </w:rPr>
        <w:t xml:space="preserve">therefore it chose </w:t>
      </w:r>
      <w:r w:rsidR="00AF19F9" w:rsidRPr="00F43230">
        <w:rPr>
          <w:rFonts w:hint="cs"/>
          <w:sz w:val="24"/>
          <w:szCs w:val="24"/>
          <w:rtl/>
          <w:lang w:bidi="he-IL"/>
        </w:rPr>
        <w:t>מעוברת</w:t>
      </w:r>
      <w:r w:rsidR="008731D2" w:rsidRPr="00F43230">
        <w:rPr>
          <w:sz w:val="24"/>
          <w:szCs w:val="24"/>
          <w:lang w:bidi="he-IL"/>
        </w:rPr>
        <w:t>, which is more refined,</w:t>
      </w:r>
      <w:r w:rsidR="0000006C">
        <w:rPr>
          <w:sz w:val="24"/>
          <w:szCs w:val="24"/>
          <w:lang w:bidi="he-IL"/>
        </w:rPr>
        <w:t xml:space="preserve"> rather than</w:t>
      </w:r>
      <w:r w:rsidR="00AF19F9" w:rsidRPr="00F43230">
        <w:rPr>
          <w:sz w:val="24"/>
          <w:szCs w:val="24"/>
          <w:lang w:bidi="he-IL"/>
        </w:rPr>
        <w:t xml:space="preserve"> </w:t>
      </w:r>
      <w:r w:rsidR="00AF19F9" w:rsidRPr="00F43230">
        <w:rPr>
          <w:rFonts w:hint="cs"/>
          <w:sz w:val="24"/>
          <w:szCs w:val="24"/>
          <w:rtl/>
          <w:lang w:bidi="he-IL"/>
        </w:rPr>
        <w:t>נבעלה</w:t>
      </w:r>
      <w:r w:rsidR="00AF19F9" w:rsidRPr="00F43230">
        <w:rPr>
          <w:sz w:val="24"/>
          <w:szCs w:val="24"/>
          <w:lang w:bidi="he-IL"/>
        </w:rPr>
        <w:t xml:space="preserve">. However the </w:t>
      </w:r>
      <w:r w:rsidR="00AF19F9" w:rsidRPr="00F43230">
        <w:rPr>
          <w:rFonts w:hint="cs"/>
          <w:sz w:val="24"/>
          <w:szCs w:val="24"/>
          <w:rtl/>
          <w:lang w:bidi="he-IL"/>
        </w:rPr>
        <w:t>משנה</w:t>
      </w:r>
      <w:r w:rsidR="00AF19F9" w:rsidRPr="00F43230">
        <w:rPr>
          <w:sz w:val="24"/>
          <w:szCs w:val="24"/>
          <w:lang w:bidi="he-IL"/>
        </w:rPr>
        <w:t xml:space="preserve"> (according to this </w:t>
      </w:r>
      <w:r w:rsidR="00AF19F9" w:rsidRPr="00F43230">
        <w:rPr>
          <w:rFonts w:hint="cs"/>
          <w:sz w:val="24"/>
          <w:szCs w:val="24"/>
          <w:rtl/>
          <w:lang w:bidi="he-IL"/>
        </w:rPr>
        <w:t>מ"ד</w:t>
      </w:r>
      <w:r w:rsidR="00AF19F9" w:rsidRPr="00F43230">
        <w:rPr>
          <w:sz w:val="24"/>
          <w:szCs w:val="24"/>
          <w:lang w:bidi="he-IL"/>
        </w:rPr>
        <w:t xml:space="preserve">) is only discussing the status of the mother. The </w:t>
      </w:r>
      <w:r w:rsidR="00AF19F9" w:rsidRPr="00F43230">
        <w:rPr>
          <w:rFonts w:hint="cs"/>
          <w:sz w:val="24"/>
          <w:szCs w:val="24"/>
          <w:rtl/>
          <w:lang w:bidi="he-IL"/>
        </w:rPr>
        <w:t>עובר</w:t>
      </w:r>
      <w:r w:rsidR="00AF19F9" w:rsidRPr="00F43230">
        <w:rPr>
          <w:sz w:val="24"/>
          <w:szCs w:val="24"/>
          <w:lang w:bidi="he-IL"/>
        </w:rPr>
        <w:t xml:space="preserve"> is </w:t>
      </w:r>
      <w:r w:rsidR="00AF19F9" w:rsidRPr="00F43230">
        <w:rPr>
          <w:rFonts w:hint="cs"/>
          <w:sz w:val="24"/>
          <w:szCs w:val="24"/>
          <w:rtl/>
          <w:lang w:bidi="he-IL"/>
        </w:rPr>
        <w:t>פסולה לכהונה לכו"ע</w:t>
      </w:r>
      <w:r w:rsidR="00AF19F9" w:rsidRPr="00F43230">
        <w:rPr>
          <w:sz w:val="24"/>
          <w:szCs w:val="24"/>
          <w:lang w:bidi="he-IL"/>
        </w:rPr>
        <w:t>.</w:t>
      </w:r>
    </w:p>
    <w:p w:rsidR="00F43230" w:rsidRDefault="00F43230" w:rsidP="0081345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F43230" w:rsidRPr="008207B7" w:rsidRDefault="00F43230" w:rsidP="0081345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8207B7">
        <w:rPr>
          <w:rFonts w:ascii="Copperplate Gothic Bold" w:hAnsi="Copperplate Gothic Bold"/>
          <w:u w:val="double"/>
          <w:lang w:bidi="he-IL"/>
        </w:rPr>
        <w:t>Summary</w:t>
      </w:r>
    </w:p>
    <w:p w:rsidR="00F43230" w:rsidRDefault="00F43230" w:rsidP="0081345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term </w:t>
      </w:r>
      <w:r>
        <w:rPr>
          <w:rFonts w:hint="cs"/>
          <w:rtl/>
          <w:lang w:bidi="he-IL"/>
        </w:rPr>
        <w:t>מעוברת</w:t>
      </w:r>
      <w:r>
        <w:rPr>
          <w:lang w:bidi="he-IL"/>
        </w:rPr>
        <w:t xml:space="preserve"> is used 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(according to the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פ</w:t>
      </w:r>
      <w:r w:rsidR="0000006C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סל בבתה</w:t>
      </w:r>
      <w:r>
        <w:rPr>
          <w:lang w:bidi="he-IL"/>
        </w:rPr>
        <w:t xml:space="preserve">) only as a </w:t>
      </w:r>
      <w:r>
        <w:rPr>
          <w:rFonts w:hint="cs"/>
          <w:rtl/>
          <w:lang w:bidi="he-IL"/>
        </w:rPr>
        <w:t>לישנא מעליא</w:t>
      </w:r>
      <w:r>
        <w:rPr>
          <w:lang w:bidi="he-IL"/>
        </w:rPr>
        <w:t xml:space="preserve">; however we are not discussing the </w:t>
      </w:r>
      <w:r>
        <w:rPr>
          <w:rFonts w:hint="cs"/>
          <w:rtl/>
          <w:lang w:bidi="he-IL"/>
        </w:rPr>
        <w:t>עובר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>.</w:t>
      </w:r>
    </w:p>
    <w:p w:rsidR="00F43230" w:rsidRDefault="00F43230" w:rsidP="0081345C">
      <w:pPr>
        <w:widowControl w:val="0"/>
        <w:spacing w:line="276" w:lineRule="auto"/>
        <w:jc w:val="both"/>
        <w:rPr>
          <w:lang w:bidi="he-IL"/>
        </w:rPr>
      </w:pPr>
    </w:p>
    <w:p w:rsidR="00F43230" w:rsidRPr="008207B7" w:rsidRDefault="00F43230" w:rsidP="0081345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8207B7">
        <w:rPr>
          <w:rFonts w:ascii="Copperplate Gothic Bold" w:hAnsi="Copperplate Gothic Bold"/>
          <w:u w:val="double"/>
          <w:lang w:bidi="he-IL"/>
        </w:rPr>
        <w:t>Thinking it over</w:t>
      </w:r>
    </w:p>
    <w:p w:rsidR="003D0401" w:rsidRPr="003D0401" w:rsidRDefault="003D0401" w:rsidP="0081345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Can </w:t>
      </w:r>
      <w:r>
        <w:rPr>
          <w:rFonts w:hint="cs"/>
          <w:rtl/>
          <w:lang w:bidi="he-IL"/>
        </w:rPr>
        <w:t>רב אסי</w:t>
      </w:r>
      <w:r>
        <w:rPr>
          <w:lang w:bidi="he-IL"/>
        </w:rPr>
        <w:t xml:space="preserve"> agree that </w:t>
      </w:r>
      <w:r>
        <w:rPr>
          <w:rFonts w:hint="cs"/>
          <w:rtl/>
          <w:lang w:bidi="he-IL"/>
        </w:rPr>
        <w:t>מעוברת דנקט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משום לישנא מעליא</w:t>
      </w:r>
      <w:r>
        <w:rPr>
          <w:lang w:bidi="he-IL"/>
        </w:rPr>
        <w:t>?</w:t>
      </w:r>
    </w:p>
    <w:p w:rsidR="00F43230" w:rsidRDefault="00F43230" w:rsidP="0081345C">
      <w:pPr>
        <w:widowControl w:val="0"/>
        <w:spacing w:line="276" w:lineRule="auto"/>
        <w:jc w:val="both"/>
        <w:rPr>
          <w:lang w:bidi="he-IL"/>
        </w:rPr>
      </w:pPr>
    </w:p>
    <w:p w:rsidR="00F43230" w:rsidRPr="00AF19F9" w:rsidRDefault="00F43230" w:rsidP="0081345C">
      <w:pPr>
        <w:widowControl w:val="0"/>
        <w:spacing w:line="276" w:lineRule="auto"/>
        <w:jc w:val="both"/>
        <w:rPr>
          <w:lang w:bidi="he-IL"/>
        </w:rPr>
      </w:pPr>
    </w:p>
    <w:sectPr w:rsidR="00F43230" w:rsidRPr="00AF19F9" w:rsidSect="001758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21E" w:rsidRDefault="00D5221E">
      <w:r>
        <w:separator/>
      </w:r>
    </w:p>
  </w:endnote>
  <w:endnote w:type="continuationSeparator" w:id="0">
    <w:p w:rsidR="00D5221E" w:rsidRDefault="00D5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401" w:rsidRDefault="003D0401">
    <w:pPr>
      <w:pStyle w:val="Footer"/>
      <w:rPr>
        <w:rFonts w:hint="cs"/>
        <w:rtl/>
        <w:lang w:bidi="he-IL"/>
      </w:rPr>
    </w:pPr>
  </w:p>
  <w:p w:rsidR="003D0401" w:rsidRPr="00AF19F9" w:rsidRDefault="003D0401" w:rsidP="00AF19F9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21E" w:rsidRDefault="00D5221E">
      <w:r>
        <w:separator/>
      </w:r>
    </w:p>
  </w:footnote>
  <w:footnote w:type="continuationSeparator" w:id="0">
    <w:p w:rsidR="00D5221E" w:rsidRDefault="00D5221E">
      <w:r>
        <w:continuationSeparator/>
      </w:r>
    </w:p>
  </w:footnote>
  <w:footnote w:id="1">
    <w:p w:rsidR="003D0401" w:rsidRDefault="003D0401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תוספות ד"ה חדא</w:t>
      </w:r>
      <w:r>
        <w:rPr>
          <w:lang w:bidi="he-IL"/>
        </w:rPr>
        <w:t xml:space="preserve"> footnote # 2.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401" w:rsidRPr="00AF19F9" w:rsidRDefault="003D0401" w:rsidP="00AF19F9">
    <w:pPr>
      <w:pStyle w:val="Header"/>
      <w:jc w:val="right"/>
      <w:rPr>
        <w:rFonts w:hint="cs"/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יג,א תוס' ד"ה לדברי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19F9"/>
    <w:rsid w:val="0000006C"/>
    <w:rsid w:val="001758CB"/>
    <w:rsid w:val="00184D2E"/>
    <w:rsid w:val="0020216B"/>
    <w:rsid w:val="00210A1E"/>
    <w:rsid w:val="00252910"/>
    <w:rsid w:val="003D0401"/>
    <w:rsid w:val="003F6705"/>
    <w:rsid w:val="00464DEC"/>
    <w:rsid w:val="007552E7"/>
    <w:rsid w:val="0081345C"/>
    <w:rsid w:val="008207B7"/>
    <w:rsid w:val="008731D2"/>
    <w:rsid w:val="0089054C"/>
    <w:rsid w:val="00AF19F9"/>
    <w:rsid w:val="00B241E3"/>
    <w:rsid w:val="00D00D84"/>
    <w:rsid w:val="00D5221E"/>
    <w:rsid w:val="00D80DE2"/>
    <w:rsid w:val="00F332A0"/>
    <w:rsid w:val="00F43230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2E5BAB6-1A54-47B7-BA7B-DEEDCE63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F19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19F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8731D2"/>
    <w:rPr>
      <w:sz w:val="20"/>
      <w:szCs w:val="20"/>
    </w:rPr>
  </w:style>
  <w:style w:type="character" w:styleId="FootnoteReference">
    <w:name w:val="footnote reference"/>
    <w:semiHidden/>
    <w:rsid w:val="008731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לדברי המכשיר בה פוסל בבתה – According to the opinion that approves her, nevertheless he disqualifies her daughter from marrying into כהונה</vt:lpstr>
    </vt:vector>
  </TitlesOfParts>
  <Company> 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לדברי המכשיר בה פוסל בבתה – According to the opinion that approves her, nevertheless he disqualifies her daughter from marrying into כהונה</dc:title>
  <dc:subject/>
  <dc:creator> </dc:creator>
  <cp:keywords/>
  <dc:description/>
  <cp:lastModifiedBy>Microsoft account</cp:lastModifiedBy>
  <cp:revision>2</cp:revision>
  <cp:lastPrinted>2016-04-19T10:49:00Z</cp:lastPrinted>
  <dcterms:created xsi:type="dcterms:W3CDTF">2022-04-05T10:47:00Z</dcterms:created>
  <dcterms:modified xsi:type="dcterms:W3CDTF">2022-04-05T10:47:00Z</dcterms:modified>
</cp:coreProperties>
</file>