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13" w:rsidRDefault="00085F21" w:rsidP="00134413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פשיטא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מי ידעינן אבוה מנו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085F21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It is obvious! Do we know who </w:t>
      </w:r>
      <w:r w:rsidR="001D36AE">
        <w:rPr>
          <w:b/>
          <w:bCs/>
          <w:sz w:val="32"/>
          <w:szCs w:val="32"/>
          <w:lang w:bidi="he-IL"/>
        </w:rPr>
        <w:t>the</w:t>
      </w:r>
      <w:r>
        <w:rPr>
          <w:b/>
          <w:bCs/>
          <w:sz w:val="32"/>
          <w:szCs w:val="32"/>
          <w:lang w:bidi="he-IL"/>
        </w:rPr>
        <w:t xml:space="preserve"> father is!?</w:t>
      </w:r>
    </w:p>
    <w:p w:rsidR="00085F21" w:rsidRDefault="00085F21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85F21" w:rsidRPr="007F7C38" w:rsidRDefault="00DB44EF" w:rsidP="0013441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F7C38">
        <w:rPr>
          <w:rFonts w:ascii="Copperplate Gothic Bold" w:hAnsi="Copperplate Gothic Bold"/>
          <w:u w:val="double"/>
          <w:lang w:bidi="he-IL"/>
        </w:rPr>
        <w:t>Overview</w:t>
      </w:r>
    </w:p>
    <w:p w:rsidR="00DB44EF" w:rsidRPr="00DB44EF" w:rsidRDefault="00DB44EF" w:rsidP="00134413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stated that if one of ten assembled </w:t>
      </w:r>
      <w:r>
        <w:rPr>
          <w:rFonts w:hint="cs"/>
          <w:rtl/>
          <w:lang w:bidi="he-IL"/>
        </w:rPr>
        <w:t>כהנים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a woman, the ensuing child is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questioned; in reference to what do we consider him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. It cannot mean that he cannot inherit his ‘father’; that is obvious, for we do not know who his father is!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explain why indeed we </w:t>
      </w:r>
      <w:r w:rsidR="00987A3A">
        <w:rPr>
          <w:lang w:bidi="he-IL"/>
        </w:rPr>
        <w:t xml:space="preserve">cannot </w:t>
      </w:r>
      <w:r>
        <w:rPr>
          <w:lang w:bidi="he-IL"/>
        </w:rPr>
        <w:t xml:space="preserve">say 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was discussing the inability of the child to inherit, even in special circumstances.</w:t>
      </w:r>
    </w:p>
    <w:p w:rsidR="00085F21" w:rsidRDefault="00987A3A" w:rsidP="00134413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987A3A" w:rsidRDefault="00987A3A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possible solution to the s</w:t>
      </w:r>
      <w:r>
        <w:rPr>
          <w:rFonts w:hint="cs"/>
          <w:sz w:val="24"/>
          <w:szCs w:val="24"/>
          <w:rtl/>
          <w:lang w:bidi="he-IL"/>
        </w:rPr>
        <w:t>גמרא'</w:t>
      </w:r>
      <w:r>
        <w:rPr>
          <w:sz w:val="24"/>
          <w:szCs w:val="24"/>
          <w:lang w:bidi="he-IL"/>
        </w:rPr>
        <w:t xml:space="preserve"> question of </w:t>
      </w:r>
      <w:r>
        <w:rPr>
          <w:rFonts w:hint="cs"/>
          <w:sz w:val="24"/>
          <w:szCs w:val="24"/>
          <w:rtl/>
          <w:lang w:bidi="he-IL"/>
        </w:rPr>
        <w:t>פשיטא</w:t>
      </w:r>
      <w:r>
        <w:rPr>
          <w:sz w:val="24"/>
          <w:szCs w:val="24"/>
          <w:lang w:bidi="he-IL"/>
        </w:rPr>
        <w:t xml:space="preserve">; it may be possible that </w:t>
      </w:r>
      <w:r>
        <w:rPr>
          <w:rFonts w:hint="cs"/>
          <w:sz w:val="24"/>
          <w:szCs w:val="24"/>
          <w:rtl/>
          <w:lang w:bidi="he-IL"/>
        </w:rPr>
        <w:t>שמואל</w:t>
      </w:r>
      <w:r>
        <w:rPr>
          <w:sz w:val="24"/>
          <w:szCs w:val="24"/>
          <w:lang w:bidi="he-IL"/>
        </w:rPr>
        <w:t xml:space="preserve"> does need to teach us concerning the </w:t>
      </w:r>
      <w:r w:rsidR="0038274E">
        <w:rPr>
          <w:sz w:val="24"/>
          <w:szCs w:val="24"/>
          <w:lang w:bidi="he-IL"/>
        </w:rPr>
        <w:t xml:space="preserve">inability of this child to </w:t>
      </w:r>
      <w:r>
        <w:rPr>
          <w:sz w:val="24"/>
          <w:szCs w:val="24"/>
          <w:lang w:bidi="he-IL"/>
        </w:rPr>
        <w:t>inherit:</w:t>
      </w:r>
    </w:p>
    <w:p w:rsidR="007F7C38" w:rsidRPr="000B6F1E" w:rsidRDefault="00085F21" w:rsidP="000B6F1E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0B6F1E">
        <w:rPr>
          <w:rFonts w:ascii="David" w:hAnsi="David" w:cs="David"/>
          <w:b/>
          <w:bCs/>
          <w:rtl/>
          <w:lang w:bidi="he-IL"/>
        </w:rPr>
        <w:t>הכא</w:t>
      </w:r>
      <w:r w:rsidR="007F7C38" w:rsidRPr="000B6F1E">
        <w:rPr>
          <w:rStyle w:val="FootnoteReference"/>
          <w:rFonts w:ascii="David" w:hAnsi="David" w:cs="David"/>
          <w:b/>
          <w:bCs/>
          <w:lang w:bidi="he-IL"/>
        </w:rPr>
        <w:footnoteReference w:id="1"/>
      </w:r>
      <w:r w:rsidRPr="000B6F1E">
        <w:rPr>
          <w:rFonts w:ascii="David" w:hAnsi="David" w:cs="David"/>
          <w:b/>
          <w:bCs/>
          <w:rtl/>
          <w:lang w:bidi="he-IL"/>
        </w:rPr>
        <w:t xml:space="preserve"> לא בעי לשנויי</w:t>
      </w:r>
      <w:r w:rsidR="007F7C38" w:rsidRPr="000B6F1E">
        <w:rPr>
          <w:rFonts w:ascii="David" w:hAnsi="David" w:cs="David"/>
          <w:b/>
          <w:bCs/>
          <w:rtl/>
          <w:lang w:bidi="he-IL"/>
        </w:rPr>
        <w:t xml:space="preserve"> לא צריכא</w:t>
      </w:r>
      <w:r w:rsidR="007F7C38" w:rsidRPr="000B6F1E">
        <w:rPr>
          <w:rStyle w:val="FootnoteReference"/>
          <w:rFonts w:ascii="David" w:hAnsi="David" w:cs="David"/>
          <w:b/>
          <w:bCs/>
          <w:lang w:bidi="he-IL"/>
        </w:rPr>
        <w:footnoteReference w:id="2"/>
      </w:r>
      <w:r w:rsidR="007F7C38" w:rsidRPr="000B6F1E">
        <w:rPr>
          <w:rFonts w:ascii="David" w:hAnsi="David" w:cs="David"/>
          <w:b/>
          <w:bCs/>
          <w:rtl/>
          <w:lang w:bidi="he-IL"/>
        </w:rPr>
        <w:t xml:space="preserve"> דאי תפס</w:t>
      </w:r>
      <w:r w:rsidRPr="000B6F1E">
        <w:rPr>
          <w:rFonts w:ascii="David" w:hAnsi="David" w:cs="David"/>
          <w:b/>
          <w:bCs/>
          <w:lang w:bidi="he-IL"/>
        </w:rPr>
        <w:t xml:space="preserve"> </w:t>
      </w:r>
      <w:r w:rsidR="000B6F1E">
        <w:rPr>
          <w:rFonts w:ascii="David" w:hAnsi="David" w:cs="David"/>
          <w:b/>
          <w:bCs/>
          <w:lang w:bidi="he-IL"/>
        </w:rPr>
        <w:t>-</w:t>
      </w:r>
      <w:r w:rsidRPr="000B6F1E">
        <w:rPr>
          <w:rFonts w:ascii="David" w:hAnsi="David" w:cs="David"/>
          <w:b/>
          <w:bCs/>
          <w:lang w:bidi="he-IL"/>
        </w:rPr>
        <w:t xml:space="preserve"> </w:t>
      </w:r>
    </w:p>
    <w:p w:rsidR="00DF0DAC" w:rsidRDefault="00085F21" w:rsidP="007F7C3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Here</w:t>
      </w:r>
      <w:r>
        <w:rPr>
          <w:lang w:bidi="he-IL"/>
        </w:rPr>
        <w:t xml:space="preserve">, </w:t>
      </w:r>
      <w:r w:rsidRPr="00085F21">
        <w:rPr>
          <w:lang w:bidi="he-IL"/>
        </w:rPr>
        <w:t xml:space="preserve">the </w:t>
      </w:r>
      <w:r w:rsidRPr="00085F21">
        <w:rPr>
          <w:rFonts w:hint="cs"/>
          <w:rtl/>
          <w:lang w:bidi="he-IL"/>
        </w:rPr>
        <w:t>גמרא</w:t>
      </w:r>
      <w:r>
        <w:rPr>
          <w:b/>
          <w:bCs/>
          <w:lang w:bidi="he-IL"/>
        </w:rPr>
        <w:t xml:space="preserve"> did not want to answer </w:t>
      </w:r>
      <w:r w:rsidRPr="007F7C38">
        <w:rPr>
          <w:lang w:bidi="he-IL"/>
        </w:rPr>
        <w:t xml:space="preserve">that </w:t>
      </w:r>
      <w:r w:rsidR="0038274E" w:rsidRPr="007F7C38">
        <w:rPr>
          <w:lang w:bidi="he-IL"/>
        </w:rPr>
        <w:t xml:space="preserve">admittedly, </w:t>
      </w:r>
      <w:r w:rsidRPr="007F7C38">
        <w:rPr>
          <w:lang w:bidi="he-IL"/>
        </w:rPr>
        <w:t xml:space="preserve">the ruling of </w:t>
      </w:r>
      <w:r w:rsidRPr="007F7C38">
        <w:rPr>
          <w:rFonts w:hint="cs"/>
          <w:rtl/>
          <w:lang w:bidi="he-IL"/>
        </w:rPr>
        <w:t>שמואל</w:t>
      </w:r>
      <w:r w:rsidRPr="007F7C38">
        <w:rPr>
          <w:lang w:bidi="he-IL"/>
        </w:rPr>
        <w:t xml:space="preserve"> that the </w:t>
      </w:r>
      <w:r w:rsidRPr="007F7C38">
        <w:rPr>
          <w:rFonts w:hint="cs"/>
          <w:rtl/>
          <w:lang w:bidi="he-IL"/>
        </w:rPr>
        <w:t>שתוקי</w:t>
      </w:r>
      <w:r w:rsidRPr="007F7C38">
        <w:rPr>
          <w:lang w:bidi="he-IL"/>
        </w:rPr>
        <w:t xml:space="preserve"> child is deprived of the inheritance</w:t>
      </w:r>
      <w:r w:rsidR="0038274E" w:rsidRPr="007F7C38">
        <w:rPr>
          <w:lang w:bidi="he-IL"/>
        </w:rPr>
        <w:t>, is generally</w:t>
      </w:r>
      <w:r w:rsidRPr="00630EFE">
        <w:rPr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not </w:t>
      </w:r>
      <w:r w:rsidRPr="00085F21">
        <w:rPr>
          <w:b/>
          <w:bCs/>
          <w:lang w:bidi="he-IL"/>
        </w:rPr>
        <w:t>necessary</w:t>
      </w:r>
      <w:r>
        <w:rPr>
          <w:b/>
          <w:bCs/>
          <w:lang w:bidi="he-IL"/>
        </w:rPr>
        <w:t xml:space="preserve">; </w:t>
      </w:r>
      <w:r>
        <w:rPr>
          <w:lang w:bidi="he-IL"/>
        </w:rPr>
        <w:t xml:space="preserve">except for the case </w:t>
      </w:r>
      <w:r>
        <w:rPr>
          <w:b/>
          <w:bCs/>
          <w:lang w:bidi="he-IL"/>
        </w:rPr>
        <w:t xml:space="preserve">if he </w:t>
      </w:r>
      <w:r w:rsidR="007F7C38">
        <w:rPr>
          <w:b/>
          <w:bCs/>
          <w:lang w:bidi="he-IL"/>
        </w:rPr>
        <w:t>seized</w:t>
      </w:r>
      <w:r>
        <w:rPr>
          <w:b/>
          <w:bCs/>
          <w:lang w:bidi="he-IL"/>
        </w:rPr>
        <w:t xml:space="preserve"> </w:t>
      </w:r>
      <w:r w:rsidRPr="00630EFE">
        <w:rPr>
          <w:sz w:val="24"/>
          <w:szCs w:val="24"/>
          <w:lang w:bidi="he-IL"/>
        </w:rPr>
        <w:t xml:space="preserve">the assets of his purported </w:t>
      </w:r>
      <w:r w:rsidR="0038274E">
        <w:rPr>
          <w:sz w:val="24"/>
          <w:szCs w:val="24"/>
          <w:lang w:bidi="he-IL"/>
        </w:rPr>
        <w:t xml:space="preserve">deceased </w:t>
      </w:r>
      <w:r w:rsidRPr="00630EFE">
        <w:rPr>
          <w:sz w:val="24"/>
          <w:szCs w:val="24"/>
          <w:lang w:bidi="he-IL"/>
        </w:rPr>
        <w:t>father</w:t>
      </w:r>
      <w:r w:rsidR="007F7C38">
        <w:rPr>
          <w:sz w:val="24"/>
          <w:szCs w:val="24"/>
          <w:lang w:bidi="he-IL"/>
        </w:rPr>
        <w:t>.</w:t>
      </w:r>
      <w:r w:rsidR="00987A3A" w:rsidRPr="00630EFE">
        <w:rPr>
          <w:rStyle w:val="FootnoteReference"/>
          <w:sz w:val="24"/>
          <w:szCs w:val="24"/>
          <w:lang w:bidi="he-IL"/>
        </w:rPr>
        <w:footnoteReference w:id="3"/>
      </w:r>
      <w:r w:rsidRPr="00630EFE">
        <w:rPr>
          <w:sz w:val="24"/>
          <w:szCs w:val="24"/>
          <w:lang w:bidi="he-IL"/>
        </w:rPr>
        <w:t xml:space="preserve"> In that situation </w:t>
      </w:r>
      <w:r w:rsidRPr="00630EFE">
        <w:rPr>
          <w:rFonts w:hint="cs"/>
          <w:sz w:val="24"/>
          <w:szCs w:val="24"/>
          <w:rtl/>
          <w:lang w:bidi="he-IL"/>
        </w:rPr>
        <w:t>שמואל</w:t>
      </w:r>
      <w:r w:rsidRPr="00630EFE">
        <w:rPr>
          <w:sz w:val="24"/>
          <w:szCs w:val="24"/>
          <w:lang w:bidi="he-IL"/>
        </w:rPr>
        <w:t xml:space="preserve"> teaches us that even though the </w:t>
      </w:r>
      <w:r w:rsidRPr="00630EFE">
        <w:rPr>
          <w:rFonts w:hint="cs"/>
          <w:sz w:val="24"/>
          <w:szCs w:val="24"/>
          <w:rtl/>
          <w:lang w:bidi="he-IL"/>
        </w:rPr>
        <w:t>שתוקי</w:t>
      </w:r>
      <w:r w:rsidRPr="00630EFE">
        <w:rPr>
          <w:sz w:val="24"/>
          <w:szCs w:val="24"/>
          <w:lang w:bidi="he-IL"/>
        </w:rPr>
        <w:t xml:space="preserve"> is in possession of the assets</w:t>
      </w:r>
      <w:r w:rsidR="007F7C38">
        <w:rPr>
          <w:sz w:val="24"/>
          <w:szCs w:val="24"/>
          <w:lang w:bidi="he-IL"/>
        </w:rPr>
        <w:t>,</w:t>
      </w:r>
      <w:r w:rsidR="00987A3A" w:rsidRPr="00630EFE">
        <w:rPr>
          <w:rStyle w:val="FootnoteReference"/>
          <w:sz w:val="24"/>
          <w:szCs w:val="24"/>
          <w:lang w:bidi="he-IL"/>
        </w:rPr>
        <w:footnoteReference w:id="4"/>
      </w:r>
      <w:r w:rsidRPr="00630EFE">
        <w:rPr>
          <w:sz w:val="24"/>
          <w:szCs w:val="24"/>
          <w:lang w:bidi="he-IL"/>
        </w:rPr>
        <w:t xml:space="preserve"> nevertheless we remove him from them, since we are not certain that </w:t>
      </w:r>
      <w:r w:rsidR="0038274E">
        <w:rPr>
          <w:sz w:val="24"/>
          <w:szCs w:val="24"/>
          <w:lang w:bidi="he-IL"/>
        </w:rPr>
        <w:t>t</w:t>
      </w:r>
      <w:r w:rsidRPr="00630EFE">
        <w:rPr>
          <w:sz w:val="24"/>
          <w:szCs w:val="24"/>
          <w:lang w:bidi="he-IL"/>
        </w:rPr>
        <w:t>he</w:t>
      </w:r>
      <w:r w:rsidR="0038274E">
        <w:rPr>
          <w:sz w:val="24"/>
          <w:szCs w:val="24"/>
          <w:lang w:bidi="he-IL"/>
        </w:rPr>
        <w:t xml:space="preserve"> deceased</w:t>
      </w:r>
      <w:r w:rsidRPr="00630EFE">
        <w:rPr>
          <w:sz w:val="24"/>
          <w:szCs w:val="24"/>
          <w:lang w:bidi="he-IL"/>
        </w:rPr>
        <w:t xml:space="preserve"> is his father.</w:t>
      </w:r>
      <w:r w:rsidR="00DC328C" w:rsidRPr="00630EFE">
        <w:rPr>
          <w:sz w:val="24"/>
          <w:szCs w:val="24"/>
          <w:lang w:bidi="he-IL"/>
        </w:rPr>
        <w:t xml:space="preserve"> </w:t>
      </w:r>
      <w:r w:rsidR="00DF0DAC">
        <w:rPr>
          <w:sz w:val="24"/>
          <w:szCs w:val="24"/>
          <w:lang w:bidi="he-IL"/>
        </w:rPr>
        <w:t>This would seemingly answer the s</w:t>
      </w:r>
      <w:r w:rsidR="00DF0DAC">
        <w:rPr>
          <w:rFonts w:hint="cs"/>
          <w:sz w:val="24"/>
          <w:szCs w:val="24"/>
          <w:rtl/>
          <w:lang w:bidi="he-IL"/>
        </w:rPr>
        <w:t>גמרא'</w:t>
      </w:r>
      <w:r w:rsidR="00DF0DAC">
        <w:rPr>
          <w:sz w:val="24"/>
          <w:szCs w:val="24"/>
          <w:lang w:bidi="he-IL"/>
        </w:rPr>
        <w:t xml:space="preserve"> question of </w:t>
      </w:r>
      <w:r w:rsidR="00DF0DAC">
        <w:rPr>
          <w:rFonts w:hint="cs"/>
          <w:sz w:val="24"/>
          <w:szCs w:val="24"/>
          <w:rtl/>
          <w:lang w:bidi="he-IL"/>
        </w:rPr>
        <w:t>פשיטא</w:t>
      </w:r>
      <w:r w:rsidR="00DF0DAC">
        <w:rPr>
          <w:sz w:val="24"/>
          <w:szCs w:val="24"/>
          <w:lang w:bidi="he-IL"/>
        </w:rPr>
        <w:t>!</w:t>
      </w:r>
    </w:p>
    <w:p w:rsidR="00DF0DAC" w:rsidRDefault="00DF0DAC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C328C" w:rsidRPr="00630EFE" w:rsidRDefault="00DC328C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30EFE">
        <w:rPr>
          <w:rFonts w:hint="cs"/>
          <w:sz w:val="24"/>
          <w:szCs w:val="24"/>
          <w:rtl/>
          <w:lang w:bidi="he-IL"/>
        </w:rPr>
        <w:t>תוספות</w:t>
      </w:r>
      <w:r w:rsidRPr="00630EFE">
        <w:rPr>
          <w:sz w:val="24"/>
          <w:szCs w:val="24"/>
          <w:lang w:bidi="he-IL"/>
        </w:rPr>
        <w:t xml:space="preserve"> will </w:t>
      </w:r>
      <w:r w:rsidR="00987A3A" w:rsidRPr="00630EFE">
        <w:rPr>
          <w:sz w:val="24"/>
          <w:szCs w:val="24"/>
          <w:lang w:bidi="he-IL"/>
        </w:rPr>
        <w:t xml:space="preserve">initially </w:t>
      </w:r>
      <w:r w:rsidRPr="00630EFE">
        <w:rPr>
          <w:sz w:val="24"/>
          <w:szCs w:val="24"/>
          <w:lang w:bidi="he-IL"/>
        </w:rPr>
        <w:t xml:space="preserve">attempt to prove </w:t>
      </w:r>
      <w:r w:rsidR="00FD0837" w:rsidRPr="00630EFE">
        <w:rPr>
          <w:sz w:val="24"/>
          <w:szCs w:val="24"/>
          <w:lang w:bidi="he-IL"/>
        </w:rPr>
        <w:t>why</w:t>
      </w:r>
      <w:r w:rsidRPr="00630EFE">
        <w:rPr>
          <w:sz w:val="24"/>
          <w:szCs w:val="24"/>
          <w:lang w:bidi="he-IL"/>
        </w:rPr>
        <w:t xml:space="preserve"> this may indeed be a proper explanation of s</w:t>
      </w:r>
      <w:r w:rsidRPr="00630EFE">
        <w:rPr>
          <w:rFonts w:hint="cs"/>
          <w:sz w:val="24"/>
          <w:szCs w:val="24"/>
          <w:rtl/>
          <w:lang w:bidi="he-IL"/>
        </w:rPr>
        <w:t>שמואל'</w:t>
      </w:r>
      <w:r w:rsidRPr="00630EFE">
        <w:rPr>
          <w:sz w:val="24"/>
          <w:szCs w:val="24"/>
          <w:lang w:bidi="he-IL"/>
        </w:rPr>
        <w:t xml:space="preserve"> ruling</w:t>
      </w:r>
      <w:r w:rsidR="00987A3A" w:rsidRPr="00630EFE">
        <w:rPr>
          <w:sz w:val="24"/>
          <w:szCs w:val="24"/>
          <w:lang w:bidi="he-IL"/>
        </w:rPr>
        <w:t>,</w:t>
      </w:r>
      <w:r w:rsidRPr="00630EFE">
        <w:rPr>
          <w:sz w:val="24"/>
          <w:szCs w:val="24"/>
          <w:lang w:bidi="he-IL"/>
        </w:rPr>
        <w:t xml:space="preserve"> for we find </w:t>
      </w:r>
      <w:r w:rsidR="00FD0837" w:rsidRPr="00630EFE">
        <w:rPr>
          <w:sz w:val="24"/>
          <w:szCs w:val="24"/>
          <w:lang w:bidi="he-IL"/>
        </w:rPr>
        <w:t>this</w:t>
      </w:r>
      <w:r w:rsidRPr="00630EFE">
        <w:rPr>
          <w:sz w:val="24"/>
          <w:szCs w:val="24"/>
          <w:lang w:bidi="he-IL"/>
        </w:rPr>
        <w:t xml:space="preserve"> explanation elsewhere –</w:t>
      </w:r>
    </w:p>
    <w:p w:rsidR="007F7C38" w:rsidRPr="000B6F1E" w:rsidRDefault="00DC328C" w:rsidP="007F7C38">
      <w:pPr>
        <w:widowControl w:val="0"/>
        <w:bidi/>
        <w:spacing w:line="276" w:lineRule="auto"/>
        <w:jc w:val="both"/>
        <w:rPr>
          <w:rFonts w:ascii="David" w:hAnsi="David" w:cs="David" w:hint="cs"/>
          <w:b/>
          <w:bCs/>
          <w:rtl/>
          <w:lang w:bidi="he-IL"/>
        </w:rPr>
      </w:pPr>
      <w:r w:rsidRPr="000B6F1E">
        <w:rPr>
          <w:rFonts w:ascii="David" w:hAnsi="David" w:cs="David"/>
          <w:b/>
          <w:bCs/>
          <w:rtl/>
          <w:lang w:bidi="he-IL"/>
        </w:rPr>
        <w:t>כדמשני בפרק עשרה יוחסין</w:t>
      </w:r>
      <w:r w:rsidRPr="000B6F1E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(שם דף עה,א ושם)</w:t>
      </w:r>
      <w:r w:rsidR="007F7C38" w:rsidRPr="000B6F1E">
        <w:rPr>
          <w:rFonts w:ascii="David" w:hAnsi="David" w:cs="David"/>
          <w:b/>
          <w:bCs/>
          <w:rtl/>
          <w:lang w:bidi="he-IL"/>
        </w:rPr>
        <w:t xml:space="preserve"> גבי ארוסה שעיברה</w:t>
      </w:r>
      <w:r w:rsidR="007F7C38" w:rsidRPr="000B6F1E">
        <w:rPr>
          <w:rStyle w:val="FootnoteReference"/>
          <w:rFonts w:ascii="David" w:hAnsi="David" w:cs="David"/>
          <w:b/>
          <w:bCs/>
          <w:lang w:bidi="he-IL"/>
        </w:rPr>
        <w:footnoteReference w:id="5"/>
      </w:r>
      <w:r w:rsidR="000B6F1E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2C1A88" w:rsidRDefault="00DC328C" w:rsidP="009E4D90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as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answers in </w:t>
      </w:r>
      <w:r>
        <w:rPr>
          <w:rFonts w:hint="cs"/>
          <w:b/>
          <w:bCs/>
          <w:rtl/>
          <w:lang w:bidi="he-IL"/>
        </w:rPr>
        <w:t>פרק עשרה יוחסין</w:t>
      </w:r>
      <w:r>
        <w:rPr>
          <w:b/>
          <w:bCs/>
          <w:lang w:bidi="he-IL"/>
        </w:rPr>
        <w:t xml:space="preserve"> </w:t>
      </w:r>
      <w:r w:rsidR="007F7C38">
        <w:rPr>
          <w:b/>
          <w:bCs/>
          <w:lang w:bidi="he-IL"/>
        </w:rPr>
        <w:t>regard</w:t>
      </w:r>
      <w:r>
        <w:rPr>
          <w:b/>
          <w:bCs/>
          <w:lang w:bidi="he-IL"/>
        </w:rPr>
        <w:t xml:space="preserve">ing a betrothed </w:t>
      </w:r>
      <w:r>
        <w:rPr>
          <w:lang w:bidi="he-IL"/>
        </w:rPr>
        <w:t xml:space="preserve">woman </w:t>
      </w:r>
      <w:r>
        <w:rPr>
          <w:b/>
          <w:bCs/>
          <w:lang w:bidi="he-IL"/>
        </w:rPr>
        <w:t xml:space="preserve">who was pregnant. </w:t>
      </w:r>
      <w:r w:rsidRPr="00630EFE">
        <w:rPr>
          <w:rFonts w:hint="cs"/>
          <w:sz w:val="24"/>
          <w:szCs w:val="24"/>
          <w:rtl/>
          <w:lang w:bidi="he-IL"/>
        </w:rPr>
        <w:t>שמואל</w:t>
      </w:r>
      <w:r w:rsidRPr="00630EFE">
        <w:rPr>
          <w:sz w:val="24"/>
          <w:szCs w:val="24"/>
          <w:lang w:bidi="he-IL"/>
        </w:rPr>
        <w:t xml:space="preserve"> stated there that the child of this </w:t>
      </w:r>
      <w:r w:rsidRPr="00630EFE">
        <w:rPr>
          <w:rFonts w:hint="cs"/>
          <w:sz w:val="24"/>
          <w:szCs w:val="24"/>
          <w:rtl/>
          <w:lang w:bidi="he-IL"/>
        </w:rPr>
        <w:t>ארוסה שעיברה</w:t>
      </w:r>
      <w:r w:rsidRPr="00630EFE">
        <w:rPr>
          <w:sz w:val="24"/>
          <w:szCs w:val="24"/>
          <w:lang w:bidi="he-IL"/>
        </w:rPr>
        <w:t xml:space="preserve"> is denied the inheritance of the estate of his mother’s </w:t>
      </w:r>
      <w:r w:rsidRPr="00630EFE">
        <w:rPr>
          <w:rFonts w:hint="cs"/>
          <w:sz w:val="24"/>
          <w:szCs w:val="24"/>
          <w:rtl/>
          <w:lang w:bidi="he-IL"/>
        </w:rPr>
        <w:t>ארוס</w:t>
      </w:r>
      <w:r w:rsidRPr="00630EFE">
        <w:rPr>
          <w:sz w:val="24"/>
          <w:szCs w:val="24"/>
          <w:lang w:bidi="he-IL"/>
        </w:rPr>
        <w:t xml:space="preserve">. The </w:t>
      </w:r>
      <w:r w:rsidRPr="00630EFE">
        <w:rPr>
          <w:rFonts w:hint="cs"/>
          <w:sz w:val="24"/>
          <w:szCs w:val="24"/>
          <w:rtl/>
          <w:lang w:bidi="he-IL"/>
        </w:rPr>
        <w:t>גמרא</w:t>
      </w:r>
      <w:r w:rsidRPr="00630EFE">
        <w:rPr>
          <w:sz w:val="24"/>
          <w:szCs w:val="24"/>
          <w:lang w:bidi="he-IL"/>
        </w:rPr>
        <w:t xml:space="preserve"> asked that this is obvious; we do not know who the father of this child is. Why should he inherit the estate of the </w:t>
      </w:r>
      <w:r w:rsidRPr="00630EFE">
        <w:rPr>
          <w:rFonts w:hint="cs"/>
          <w:sz w:val="24"/>
          <w:szCs w:val="24"/>
          <w:rtl/>
          <w:lang w:bidi="he-IL"/>
        </w:rPr>
        <w:t>ארוס</w:t>
      </w:r>
      <w:r w:rsidRPr="00630EFE">
        <w:rPr>
          <w:sz w:val="24"/>
          <w:szCs w:val="24"/>
          <w:lang w:bidi="he-IL"/>
        </w:rPr>
        <w:t xml:space="preserve">? The </w:t>
      </w:r>
      <w:r w:rsidRPr="00630EFE">
        <w:rPr>
          <w:rFonts w:hint="cs"/>
          <w:sz w:val="24"/>
          <w:szCs w:val="24"/>
          <w:rtl/>
          <w:lang w:bidi="he-IL"/>
        </w:rPr>
        <w:t>גמרא</w:t>
      </w:r>
      <w:r w:rsidRPr="00630EFE">
        <w:rPr>
          <w:sz w:val="24"/>
          <w:szCs w:val="24"/>
          <w:lang w:bidi="he-IL"/>
        </w:rPr>
        <w:t xml:space="preserve"> answered that </w:t>
      </w:r>
      <w:r w:rsidRPr="00630EFE">
        <w:rPr>
          <w:rFonts w:hint="cs"/>
          <w:sz w:val="24"/>
          <w:szCs w:val="24"/>
          <w:rtl/>
          <w:lang w:bidi="he-IL"/>
        </w:rPr>
        <w:t>שמואל</w:t>
      </w:r>
      <w:r w:rsidRPr="00630EFE">
        <w:rPr>
          <w:sz w:val="24"/>
          <w:szCs w:val="24"/>
          <w:lang w:bidi="he-IL"/>
        </w:rPr>
        <w:t xml:space="preserve"> is teaching us that even if the child </w:t>
      </w:r>
      <w:r w:rsidR="007F7C38">
        <w:rPr>
          <w:sz w:val="24"/>
          <w:szCs w:val="24"/>
          <w:lang w:bidi="he-IL"/>
        </w:rPr>
        <w:t>seized</w:t>
      </w:r>
      <w:r w:rsidRPr="00630EFE">
        <w:rPr>
          <w:sz w:val="24"/>
          <w:szCs w:val="24"/>
          <w:lang w:bidi="he-IL"/>
        </w:rPr>
        <w:t xml:space="preserve"> the assets of the estate; nevertheless we remove him from it.</w:t>
      </w:r>
      <w:r w:rsidR="002C1A88" w:rsidRPr="00630EFE">
        <w:rPr>
          <w:sz w:val="24"/>
          <w:szCs w:val="24"/>
          <w:lang w:bidi="he-IL"/>
        </w:rPr>
        <w:t xml:space="preserve"> We see from that </w:t>
      </w:r>
      <w:r w:rsidR="002C1A88" w:rsidRPr="00630EFE">
        <w:rPr>
          <w:rFonts w:hint="cs"/>
          <w:sz w:val="24"/>
          <w:szCs w:val="24"/>
          <w:rtl/>
          <w:lang w:bidi="he-IL"/>
        </w:rPr>
        <w:t>גמרא</w:t>
      </w:r>
      <w:r w:rsidR="002C1A88" w:rsidRPr="00630EFE">
        <w:rPr>
          <w:sz w:val="24"/>
          <w:szCs w:val="24"/>
          <w:lang w:bidi="he-IL"/>
        </w:rPr>
        <w:t xml:space="preserve"> that even in</w:t>
      </w:r>
      <w:r w:rsidR="009A0364">
        <w:rPr>
          <w:sz w:val="24"/>
          <w:szCs w:val="24"/>
          <w:lang w:bidi="he-IL"/>
        </w:rPr>
        <w:t xml:space="preserve"> a</w:t>
      </w:r>
      <w:r w:rsidR="002C1A88" w:rsidRPr="00630EFE">
        <w:rPr>
          <w:sz w:val="24"/>
          <w:szCs w:val="24"/>
          <w:lang w:bidi="he-IL"/>
        </w:rPr>
        <w:t xml:space="preserve"> case where it is </w:t>
      </w:r>
      <w:r w:rsidR="002C1A88" w:rsidRPr="00630EFE">
        <w:rPr>
          <w:rFonts w:hint="cs"/>
          <w:sz w:val="24"/>
          <w:szCs w:val="24"/>
          <w:rtl/>
          <w:lang w:bidi="he-IL"/>
        </w:rPr>
        <w:t>פשיטא</w:t>
      </w:r>
      <w:r w:rsidR="002C1A88" w:rsidRPr="00630EFE">
        <w:rPr>
          <w:sz w:val="24"/>
          <w:szCs w:val="24"/>
          <w:lang w:bidi="he-IL"/>
        </w:rPr>
        <w:t xml:space="preserve"> that the child does not</w:t>
      </w:r>
      <w:r w:rsidR="00DF0DAC">
        <w:rPr>
          <w:sz w:val="24"/>
          <w:szCs w:val="24"/>
          <w:lang w:bidi="he-IL"/>
        </w:rPr>
        <w:t xml:space="preserve"> initially</w:t>
      </w:r>
      <w:r w:rsidR="002C1A88" w:rsidRPr="00630EFE">
        <w:rPr>
          <w:sz w:val="24"/>
          <w:szCs w:val="24"/>
          <w:lang w:bidi="he-IL"/>
        </w:rPr>
        <w:t xml:space="preserve"> inherit, nevertheless there is a necessity to teach us that </w:t>
      </w:r>
      <w:r w:rsidR="009A0364">
        <w:rPr>
          <w:sz w:val="24"/>
          <w:szCs w:val="24"/>
          <w:lang w:bidi="he-IL"/>
        </w:rPr>
        <w:t>(</w:t>
      </w:r>
      <w:r w:rsidR="002C1A88" w:rsidRPr="00630EFE">
        <w:rPr>
          <w:sz w:val="24"/>
          <w:szCs w:val="24"/>
          <w:lang w:bidi="he-IL"/>
        </w:rPr>
        <w:t>even</w:t>
      </w:r>
      <w:r w:rsidR="009A0364">
        <w:rPr>
          <w:sz w:val="24"/>
          <w:szCs w:val="24"/>
          <w:lang w:bidi="he-IL"/>
        </w:rPr>
        <w:t>)</w:t>
      </w:r>
      <w:r w:rsidR="002C1A88" w:rsidRPr="00630EFE">
        <w:rPr>
          <w:sz w:val="24"/>
          <w:szCs w:val="24"/>
          <w:lang w:bidi="he-IL"/>
        </w:rPr>
        <w:t xml:space="preserve"> if he took possession of the estate he may not retain it. The </w:t>
      </w:r>
      <w:r w:rsidR="002C1A88" w:rsidRPr="00630EFE">
        <w:rPr>
          <w:rFonts w:hint="cs"/>
          <w:sz w:val="24"/>
          <w:szCs w:val="24"/>
          <w:rtl/>
          <w:lang w:bidi="he-IL"/>
        </w:rPr>
        <w:t>גמרא</w:t>
      </w:r>
      <w:r w:rsidR="002C1A88" w:rsidRPr="00630EFE">
        <w:rPr>
          <w:sz w:val="24"/>
          <w:szCs w:val="24"/>
          <w:lang w:bidi="he-IL"/>
        </w:rPr>
        <w:t xml:space="preserve"> could have answered the same in our case, that even </w:t>
      </w:r>
      <w:r w:rsidR="002C1A88" w:rsidRPr="00630EFE">
        <w:rPr>
          <w:sz w:val="24"/>
          <w:szCs w:val="24"/>
          <w:lang w:bidi="he-IL"/>
        </w:rPr>
        <w:lastRenderedPageBreak/>
        <w:t>though it is obvious that the child does not</w:t>
      </w:r>
      <w:r w:rsidR="00DF0DAC">
        <w:rPr>
          <w:sz w:val="24"/>
          <w:szCs w:val="24"/>
          <w:lang w:bidi="he-IL"/>
        </w:rPr>
        <w:t xml:space="preserve"> initially</w:t>
      </w:r>
      <w:r w:rsidR="002C1A88" w:rsidRPr="00630EFE">
        <w:rPr>
          <w:sz w:val="24"/>
          <w:szCs w:val="24"/>
          <w:lang w:bidi="he-IL"/>
        </w:rPr>
        <w:t xml:space="preserve"> inherit the estate of any of these ten people, nevertheless </w:t>
      </w:r>
      <w:r w:rsidR="002C1A88" w:rsidRPr="00630EFE">
        <w:rPr>
          <w:rFonts w:hint="cs"/>
          <w:sz w:val="24"/>
          <w:szCs w:val="24"/>
          <w:rtl/>
          <w:lang w:bidi="he-IL"/>
        </w:rPr>
        <w:t>שמואל</w:t>
      </w:r>
      <w:r w:rsidR="002C1A88" w:rsidRPr="00630EFE">
        <w:rPr>
          <w:sz w:val="24"/>
          <w:szCs w:val="24"/>
          <w:lang w:bidi="he-IL"/>
        </w:rPr>
        <w:t xml:space="preserve"> is teaching us that even if </w:t>
      </w:r>
      <w:r w:rsidR="002C1A88" w:rsidRPr="00630EFE">
        <w:rPr>
          <w:rFonts w:hint="cs"/>
          <w:sz w:val="24"/>
          <w:szCs w:val="24"/>
          <w:rtl/>
          <w:lang w:bidi="he-IL"/>
        </w:rPr>
        <w:t>תפס</w:t>
      </w:r>
      <w:r w:rsidR="002C1A88" w:rsidRPr="00630EFE">
        <w:rPr>
          <w:sz w:val="24"/>
          <w:szCs w:val="24"/>
          <w:lang w:bidi="he-IL"/>
        </w:rPr>
        <w:t>, he does not retain it.</w:t>
      </w:r>
    </w:p>
    <w:p w:rsidR="007F7C38" w:rsidRPr="00630EFE" w:rsidRDefault="007F7C38" w:rsidP="009E4D9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2C1A88" w:rsidRPr="00630EFE" w:rsidRDefault="002C1A88" w:rsidP="009E4D9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30EFE">
        <w:rPr>
          <w:rFonts w:hint="cs"/>
          <w:sz w:val="24"/>
          <w:szCs w:val="24"/>
          <w:rtl/>
          <w:lang w:bidi="he-IL"/>
        </w:rPr>
        <w:t>תוספות</w:t>
      </w:r>
      <w:r w:rsidRPr="00630EFE">
        <w:rPr>
          <w:sz w:val="24"/>
          <w:szCs w:val="24"/>
          <w:lang w:bidi="he-IL"/>
        </w:rPr>
        <w:t xml:space="preserve"> answers that the case of an </w:t>
      </w:r>
      <w:r w:rsidRPr="00630EFE">
        <w:rPr>
          <w:rFonts w:hint="cs"/>
          <w:sz w:val="24"/>
          <w:szCs w:val="24"/>
          <w:rtl/>
          <w:lang w:bidi="he-IL"/>
        </w:rPr>
        <w:t>ארוסה</w:t>
      </w:r>
      <w:r w:rsidRPr="00630EFE">
        <w:rPr>
          <w:sz w:val="24"/>
          <w:szCs w:val="24"/>
          <w:lang w:bidi="he-IL"/>
        </w:rPr>
        <w:t xml:space="preserve"> is different tha</w:t>
      </w:r>
      <w:r w:rsidR="008C114E">
        <w:rPr>
          <w:sz w:val="24"/>
          <w:szCs w:val="24"/>
          <w:lang w:bidi="he-IL"/>
        </w:rPr>
        <w:t>n</w:t>
      </w:r>
      <w:r w:rsidRPr="00630EFE">
        <w:rPr>
          <w:sz w:val="24"/>
          <w:szCs w:val="24"/>
          <w:lang w:bidi="he-IL"/>
        </w:rPr>
        <w:t xml:space="preserve"> our case here:</w:t>
      </w:r>
    </w:p>
    <w:p w:rsidR="007F7C38" w:rsidRPr="000B6F1E" w:rsidRDefault="002C1A88" w:rsidP="009E4D90">
      <w:pPr>
        <w:widowControl w:val="0"/>
        <w:bidi/>
        <w:spacing w:line="276" w:lineRule="auto"/>
        <w:jc w:val="both"/>
        <w:rPr>
          <w:b/>
          <w:bCs/>
          <w:rtl/>
          <w:lang w:bidi="he-IL"/>
        </w:rPr>
      </w:pPr>
      <w:r w:rsidRPr="000B6F1E">
        <w:rPr>
          <w:rFonts w:ascii="David" w:hAnsi="David" w:cs="David"/>
          <w:b/>
          <w:bCs/>
          <w:rtl/>
          <w:lang w:bidi="he-IL"/>
        </w:rPr>
        <w:t>דהתם רגלים לדבר</w:t>
      </w:r>
      <w:r w:rsidR="007F7C38" w:rsidRPr="000B6F1E">
        <w:rPr>
          <w:rFonts w:ascii="David" w:hAnsi="David" w:cs="David"/>
          <w:b/>
          <w:bCs/>
          <w:rtl/>
          <w:lang w:bidi="he-IL"/>
        </w:rPr>
        <w:t xml:space="preserve"> דמארוס נתעברה ואיכא למיתלי ביה טפי מבאיניש דעלמא</w:t>
      </w:r>
      <w:r w:rsidRPr="000B6F1E">
        <w:rPr>
          <w:rFonts w:ascii="David" w:hAnsi="David" w:cs="David"/>
          <w:b/>
          <w:bCs/>
          <w:lang w:bidi="he-IL"/>
        </w:rPr>
        <w:t xml:space="preserve"> </w:t>
      </w:r>
      <w:r w:rsidR="000B6F1E">
        <w:rPr>
          <w:rFonts w:ascii="David" w:hAnsi="David" w:cs="David" w:hint="cs"/>
          <w:b/>
          <w:bCs/>
          <w:rtl/>
          <w:lang w:bidi="he-IL"/>
        </w:rPr>
        <w:t>-</w:t>
      </w:r>
      <w:r w:rsidRPr="000B6F1E">
        <w:rPr>
          <w:b/>
          <w:bCs/>
          <w:lang w:bidi="he-IL"/>
        </w:rPr>
        <w:t xml:space="preserve"> </w:t>
      </w:r>
    </w:p>
    <w:p w:rsidR="002C1A88" w:rsidRDefault="002C1A88" w:rsidP="007F7C3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 there it is indicative</w:t>
      </w:r>
      <w:r>
        <w:rPr>
          <w:lang w:bidi="he-IL"/>
        </w:rPr>
        <w:t xml:space="preserve">; </w:t>
      </w:r>
      <w:r w:rsidRPr="007F7C38">
        <w:rPr>
          <w:lang w:bidi="he-IL"/>
        </w:rPr>
        <w:t>there are ample grounds to assume</w:t>
      </w:r>
      <w:r w:rsidRPr="007F7C38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that she was impregnated from the </w:t>
      </w:r>
      <w:r>
        <w:rPr>
          <w:rFonts w:hint="cs"/>
          <w:b/>
          <w:bCs/>
          <w:rtl/>
          <w:lang w:bidi="he-IL"/>
        </w:rPr>
        <w:t>ארוס</w:t>
      </w:r>
      <w:r>
        <w:rPr>
          <w:b/>
          <w:bCs/>
          <w:lang w:bidi="he-IL"/>
        </w:rPr>
        <w:t xml:space="preserve"> and we can </w:t>
      </w:r>
      <w:r w:rsidR="00FD0837">
        <w:rPr>
          <w:b/>
          <w:bCs/>
          <w:lang w:bidi="he-IL"/>
        </w:rPr>
        <w:t>assign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pregnancy </w:t>
      </w:r>
      <w:r w:rsidR="00FD0837">
        <w:rPr>
          <w:b/>
          <w:bCs/>
          <w:lang w:bidi="he-IL"/>
        </w:rPr>
        <w:t>to</w:t>
      </w:r>
      <w:r>
        <w:rPr>
          <w:b/>
          <w:bCs/>
          <w:lang w:bidi="he-IL"/>
        </w:rPr>
        <w:t xml:space="preserve"> him</w:t>
      </w:r>
      <w:r>
        <w:rPr>
          <w:lang w:bidi="he-IL"/>
        </w:rPr>
        <w:t xml:space="preserve">; </w:t>
      </w:r>
      <w:r w:rsidRPr="007F7C38">
        <w:rPr>
          <w:lang w:bidi="he-IL"/>
        </w:rPr>
        <w:t xml:space="preserve">the </w:t>
      </w:r>
      <w:r w:rsidRPr="007F7C38">
        <w:rPr>
          <w:rFonts w:hint="cs"/>
          <w:rtl/>
          <w:lang w:bidi="he-IL"/>
        </w:rPr>
        <w:t>ארוס</w:t>
      </w:r>
      <w:r w:rsidR="000B6F1E">
        <w:rPr>
          <w:lang w:bidi="he-IL"/>
        </w:rPr>
        <w:t>,</w:t>
      </w:r>
      <w:r w:rsidR="00085F21" w:rsidRPr="007F7C38">
        <w:rPr>
          <w:lang w:bidi="he-IL"/>
        </w:rPr>
        <w:t xml:space="preserve"> </w:t>
      </w:r>
      <w:r>
        <w:rPr>
          <w:b/>
          <w:bCs/>
          <w:lang w:bidi="he-IL"/>
        </w:rPr>
        <w:t>more than from another person.</w:t>
      </w:r>
      <w:r>
        <w:rPr>
          <w:lang w:bidi="he-IL"/>
        </w:rPr>
        <w:t xml:space="preserve"> </w:t>
      </w:r>
      <w:r w:rsidRPr="00630EFE">
        <w:rPr>
          <w:sz w:val="24"/>
          <w:szCs w:val="24"/>
          <w:lang w:bidi="he-IL"/>
        </w:rPr>
        <w:t xml:space="preserve">It is more readily assumable that the child was fathered by the </w:t>
      </w:r>
      <w:r w:rsidRPr="00630EFE">
        <w:rPr>
          <w:rFonts w:hint="cs"/>
          <w:sz w:val="24"/>
          <w:szCs w:val="24"/>
          <w:rtl/>
          <w:lang w:bidi="he-IL"/>
        </w:rPr>
        <w:t>ארוס</w:t>
      </w:r>
      <w:r w:rsidRPr="00630EFE">
        <w:rPr>
          <w:sz w:val="24"/>
          <w:szCs w:val="24"/>
          <w:lang w:bidi="he-IL"/>
        </w:rPr>
        <w:t xml:space="preserve">, since the </w:t>
      </w:r>
      <w:r w:rsidRPr="00630EFE">
        <w:rPr>
          <w:rFonts w:hint="cs"/>
          <w:sz w:val="24"/>
          <w:szCs w:val="24"/>
          <w:rtl/>
          <w:lang w:bidi="he-IL"/>
        </w:rPr>
        <w:t>ארוס וארוסה</w:t>
      </w:r>
      <w:r w:rsidRPr="00630EFE">
        <w:rPr>
          <w:sz w:val="24"/>
          <w:szCs w:val="24"/>
          <w:lang w:bidi="he-IL"/>
        </w:rPr>
        <w:t xml:space="preserve"> were close to each other, and preparing to marry each other. Therefore there is a </w:t>
      </w:r>
      <w:r w:rsidRPr="00630EFE">
        <w:rPr>
          <w:rFonts w:hint="cs"/>
          <w:sz w:val="24"/>
          <w:szCs w:val="24"/>
          <w:rtl/>
          <w:lang w:bidi="he-IL"/>
        </w:rPr>
        <w:t>חידוש</w:t>
      </w:r>
      <w:r w:rsidRPr="00630EFE">
        <w:rPr>
          <w:sz w:val="24"/>
          <w:szCs w:val="24"/>
          <w:lang w:bidi="he-IL"/>
        </w:rPr>
        <w:t xml:space="preserve">, that even if the child was </w:t>
      </w:r>
      <w:r w:rsidRPr="00630EFE">
        <w:rPr>
          <w:rFonts w:hint="cs"/>
          <w:sz w:val="24"/>
          <w:szCs w:val="24"/>
          <w:rtl/>
          <w:lang w:bidi="he-IL"/>
        </w:rPr>
        <w:t>תופס</w:t>
      </w:r>
      <w:r w:rsidRPr="00630EFE">
        <w:rPr>
          <w:sz w:val="24"/>
          <w:szCs w:val="24"/>
          <w:lang w:bidi="he-IL"/>
        </w:rPr>
        <w:t xml:space="preserve">, nevertheless we remove from him any assets </w:t>
      </w:r>
      <w:r w:rsidR="00DF0DAC">
        <w:rPr>
          <w:sz w:val="24"/>
          <w:szCs w:val="24"/>
          <w:lang w:bidi="he-IL"/>
        </w:rPr>
        <w:t xml:space="preserve">which </w:t>
      </w:r>
      <w:r w:rsidRPr="00630EFE">
        <w:rPr>
          <w:sz w:val="24"/>
          <w:szCs w:val="24"/>
          <w:lang w:bidi="he-IL"/>
        </w:rPr>
        <w:t xml:space="preserve">he took. We do not assume that he is the heir. However, in our case, where one person from ten was </w:t>
      </w:r>
      <w:r w:rsidRPr="00630EFE">
        <w:rPr>
          <w:rFonts w:hint="cs"/>
          <w:sz w:val="24"/>
          <w:szCs w:val="24"/>
          <w:rtl/>
          <w:lang w:bidi="he-IL"/>
        </w:rPr>
        <w:t>בועל</w:t>
      </w:r>
      <w:r w:rsidRPr="00630EFE">
        <w:rPr>
          <w:sz w:val="24"/>
          <w:szCs w:val="24"/>
          <w:lang w:bidi="he-IL"/>
        </w:rPr>
        <w:t xml:space="preserve"> this woman; </w:t>
      </w:r>
      <w:r w:rsidR="00DB44EF" w:rsidRPr="00630EFE">
        <w:rPr>
          <w:sz w:val="24"/>
          <w:szCs w:val="24"/>
          <w:lang w:bidi="he-IL"/>
        </w:rPr>
        <w:t>there is no reason to</w:t>
      </w:r>
      <w:r w:rsidRPr="00630EFE">
        <w:rPr>
          <w:sz w:val="24"/>
          <w:szCs w:val="24"/>
          <w:lang w:bidi="he-IL"/>
        </w:rPr>
        <w:t xml:space="preserve"> even think that if the child was </w:t>
      </w:r>
      <w:r w:rsidRPr="00630EFE">
        <w:rPr>
          <w:rFonts w:hint="cs"/>
          <w:sz w:val="24"/>
          <w:szCs w:val="24"/>
          <w:rtl/>
          <w:lang w:bidi="he-IL"/>
        </w:rPr>
        <w:t>תופס</w:t>
      </w:r>
      <w:r w:rsidRPr="00630EFE">
        <w:rPr>
          <w:sz w:val="24"/>
          <w:szCs w:val="24"/>
          <w:lang w:bidi="he-IL"/>
        </w:rPr>
        <w:t xml:space="preserve"> the estate of any of these ten</w:t>
      </w:r>
      <w:r w:rsidR="00DB44EF" w:rsidRPr="00630EFE">
        <w:rPr>
          <w:sz w:val="24"/>
          <w:szCs w:val="24"/>
          <w:lang w:bidi="he-IL"/>
        </w:rPr>
        <w:t>,</w:t>
      </w:r>
      <w:r w:rsidRPr="00630EFE">
        <w:rPr>
          <w:sz w:val="24"/>
          <w:szCs w:val="24"/>
          <w:lang w:bidi="he-IL"/>
        </w:rPr>
        <w:t xml:space="preserve"> that he has any right to it. This person is</w:t>
      </w:r>
      <w:r w:rsidR="00FD0837" w:rsidRPr="00630EFE">
        <w:rPr>
          <w:sz w:val="24"/>
          <w:szCs w:val="24"/>
          <w:lang w:bidi="he-IL"/>
        </w:rPr>
        <w:t xml:space="preserve"> in the</w:t>
      </w:r>
      <w:r w:rsidRPr="00630EFE">
        <w:rPr>
          <w:sz w:val="24"/>
          <w:szCs w:val="24"/>
          <w:lang w:bidi="he-IL"/>
        </w:rPr>
        <w:t xml:space="preserve"> minority</w:t>
      </w:r>
      <w:r w:rsidR="00DB44EF" w:rsidRPr="00630EFE">
        <w:rPr>
          <w:sz w:val="24"/>
          <w:szCs w:val="24"/>
          <w:lang w:bidi="he-IL"/>
        </w:rPr>
        <w:t xml:space="preserve">. It is more readily assumable that his father is from the other nine; the majority. Therefore it is </w:t>
      </w:r>
      <w:r w:rsidR="00DB44EF" w:rsidRPr="00630EFE">
        <w:rPr>
          <w:rFonts w:hint="cs"/>
          <w:sz w:val="24"/>
          <w:szCs w:val="24"/>
          <w:rtl/>
          <w:lang w:bidi="he-IL"/>
        </w:rPr>
        <w:t>פשיטא</w:t>
      </w:r>
      <w:r w:rsidR="00DB44EF" w:rsidRPr="00630EFE">
        <w:rPr>
          <w:sz w:val="24"/>
          <w:szCs w:val="24"/>
          <w:lang w:bidi="he-IL"/>
        </w:rPr>
        <w:t xml:space="preserve"> that even if</w:t>
      </w:r>
      <w:r w:rsidR="009A0364">
        <w:rPr>
          <w:sz w:val="24"/>
          <w:szCs w:val="24"/>
          <w:lang w:bidi="he-IL"/>
        </w:rPr>
        <w:t xml:space="preserve"> the child was</w:t>
      </w:r>
      <w:r w:rsidR="00DB44EF" w:rsidRPr="00630EFE">
        <w:rPr>
          <w:sz w:val="24"/>
          <w:szCs w:val="24"/>
          <w:lang w:bidi="he-IL"/>
        </w:rPr>
        <w:t xml:space="preserve"> </w:t>
      </w:r>
      <w:r w:rsidR="00DB44EF" w:rsidRPr="00630EFE">
        <w:rPr>
          <w:rFonts w:hint="cs"/>
          <w:sz w:val="24"/>
          <w:szCs w:val="24"/>
          <w:rtl/>
          <w:lang w:bidi="he-IL"/>
        </w:rPr>
        <w:t>תפס</w:t>
      </w:r>
      <w:r w:rsidR="009A0364">
        <w:rPr>
          <w:sz w:val="24"/>
          <w:szCs w:val="24"/>
          <w:lang w:bidi="he-IL"/>
        </w:rPr>
        <w:t>,</w:t>
      </w:r>
      <w:r w:rsidR="00DB44EF" w:rsidRPr="00630EFE">
        <w:rPr>
          <w:sz w:val="24"/>
          <w:szCs w:val="24"/>
          <w:lang w:bidi="he-IL"/>
        </w:rPr>
        <w:t xml:space="preserve"> </w:t>
      </w:r>
      <w:r w:rsidR="00FD0837" w:rsidRPr="00630EFE">
        <w:rPr>
          <w:sz w:val="24"/>
          <w:szCs w:val="24"/>
          <w:lang w:bidi="he-IL"/>
        </w:rPr>
        <w:t>we dispossess him</w:t>
      </w:r>
      <w:r w:rsidR="00DB44EF" w:rsidRPr="00630EFE">
        <w:rPr>
          <w:sz w:val="24"/>
          <w:szCs w:val="24"/>
          <w:lang w:bidi="he-IL"/>
        </w:rPr>
        <w:t>.</w:t>
      </w:r>
    </w:p>
    <w:p w:rsidR="00630EFE" w:rsidRDefault="00630EFE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30EFE" w:rsidRPr="007F7C38" w:rsidRDefault="00630EFE" w:rsidP="0013441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F7C38">
        <w:rPr>
          <w:rFonts w:ascii="Copperplate Gothic Bold" w:hAnsi="Copperplate Gothic Bold"/>
          <w:u w:val="double"/>
          <w:lang w:bidi="he-IL"/>
        </w:rPr>
        <w:t>Summary</w:t>
      </w:r>
    </w:p>
    <w:p w:rsidR="00630EFE" w:rsidRDefault="00630EFE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There is more reason to suspect that </w:t>
      </w:r>
      <w:r w:rsidR="00FB5A7B">
        <w:rPr>
          <w:lang w:bidi="he-IL"/>
        </w:rPr>
        <w:t>the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became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 from her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>, than</w:t>
      </w:r>
      <w:r w:rsidR="00FB5A7B">
        <w:rPr>
          <w:lang w:bidi="he-IL"/>
        </w:rPr>
        <w:t xml:space="preserve"> to assume that</w:t>
      </w:r>
      <w:r>
        <w:rPr>
          <w:lang w:bidi="he-IL"/>
        </w:rPr>
        <w:t xml:space="preserve"> any specific one of the ten is the father of the child.</w:t>
      </w:r>
    </w:p>
    <w:p w:rsidR="00630EFE" w:rsidRDefault="00630EFE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30EFE" w:rsidRPr="007F7C38" w:rsidRDefault="00630EFE" w:rsidP="0013441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F7C38">
        <w:rPr>
          <w:rFonts w:ascii="Copperplate Gothic Bold" w:hAnsi="Copperplate Gothic Bold"/>
          <w:u w:val="double"/>
          <w:lang w:bidi="he-IL"/>
        </w:rPr>
        <w:t>Thinking it over</w:t>
      </w:r>
    </w:p>
    <w:p w:rsidR="000B6F1E" w:rsidRDefault="007802A9" w:rsidP="00B31155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1. Why indeed do we not say</w:t>
      </w:r>
      <w:r w:rsidR="00630EFE">
        <w:rPr>
          <w:lang w:bidi="he-IL"/>
        </w:rPr>
        <w:t xml:space="preserve"> </w:t>
      </w:r>
      <w:r w:rsidR="00630EFE">
        <w:rPr>
          <w:rFonts w:hint="cs"/>
          <w:rtl/>
          <w:lang w:bidi="he-IL"/>
        </w:rPr>
        <w:t>המוציא מחברו עליו הראיה</w:t>
      </w:r>
      <w:r w:rsidR="00630EFE">
        <w:rPr>
          <w:lang w:bidi="he-IL"/>
        </w:rPr>
        <w:t xml:space="preserve"> if the child was </w:t>
      </w:r>
      <w:r w:rsidR="00630EFE">
        <w:rPr>
          <w:rFonts w:hint="cs"/>
          <w:rtl/>
          <w:lang w:bidi="he-IL"/>
        </w:rPr>
        <w:t>תפס</w:t>
      </w:r>
      <w:r w:rsidR="00630EFE">
        <w:rPr>
          <w:lang w:bidi="he-IL"/>
        </w:rPr>
        <w:t xml:space="preserve"> (both in our case and in </w:t>
      </w:r>
      <w:r w:rsidR="00630EFE">
        <w:rPr>
          <w:rFonts w:hint="cs"/>
          <w:rtl/>
          <w:lang w:bidi="he-IL"/>
        </w:rPr>
        <w:t>קדושין</w:t>
      </w:r>
      <w:r w:rsidR="00B31155">
        <w:rPr>
          <w:lang w:bidi="he-IL"/>
        </w:rPr>
        <w:t xml:space="preserve"> [especially if he was </w:t>
      </w:r>
      <w:r w:rsidR="00B31155">
        <w:rPr>
          <w:rFonts w:hint="cs"/>
          <w:rtl/>
          <w:lang w:bidi="he-IL"/>
        </w:rPr>
        <w:t>תופס שלא בעדים</w:t>
      </w:r>
      <w:r w:rsidR="00B31155">
        <w:rPr>
          <w:lang w:bidi="he-IL"/>
        </w:rPr>
        <w:t xml:space="preserve"> where he a </w:t>
      </w:r>
      <w:r w:rsidR="00B31155">
        <w:rPr>
          <w:rFonts w:hint="cs"/>
          <w:rtl/>
          <w:lang w:bidi="he-IL"/>
        </w:rPr>
        <w:t>מיגו</w:t>
      </w:r>
      <w:r w:rsidR="00B31155">
        <w:rPr>
          <w:lang w:bidi="he-IL"/>
        </w:rPr>
        <w:t xml:space="preserve"> that </w:t>
      </w:r>
      <w:r w:rsidR="00B31155">
        <w:rPr>
          <w:rFonts w:hint="cs"/>
          <w:rtl/>
          <w:lang w:bidi="he-IL"/>
        </w:rPr>
        <w:t>לא תפסתי</w:t>
      </w:r>
      <w:r w:rsidR="00B31155">
        <w:rPr>
          <w:lang w:bidi="he-IL"/>
        </w:rPr>
        <w:t>.</w:t>
      </w:r>
      <w:r w:rsidR="00B31155">
        <w:rPr>
          <w:rStyle w:val="FootnoteReference"/>
          <w:lang w:bidi="he-IL"/>
        </w:rPr>
        <w:footnoteReference w:id="6"/>
      </w:r>
      <w:r w:rsidR="00B31155">
        <w:rPr>
          <w:lang w:bidi="he-IL"/>
        </w:rPr>
        <w:t>]</w:t>
      </w:r>
      <w:r w:rsidR="00630EFE">
        <w:rPr>
          <w:lang w:bidi="he-IL"/>
        </w:rPr>
        <w:t>)?</w:t>
      </w:r>
      <w:r w:rsidR="001D36AE">
        <w:rPr>
          <w:rStyle w:val="FootnoteReference"/>
          <w:lang w:bidi="he-IL"/>
        </w:rPr>
        <w:footnoteReference w:id="7"/>
      </w:r>
      <w:r w:rsidR="000B6F1E">
        <w:rPr>
          <w:lang w:bidi="he-IL"/>
        </w:rPr>
        <w:t xml:space="preserve"> </w:t>
      </w:r>
    </w:p>
    <w:p w:rsidR="00630EFE" w:rsidRDefault="00630EFE" w:rsidP="00134413">
      <w:pPr>
        <w:widowControl w:val="0"/>
        <w:spacing w:line="276" w:lineRule="auto"/>
        <w:jc w:val="both"/>
        <w:rPr>
          <w:lang w:bidi="he-IL"/>
        </w:rPr>
      </w:pPr>
    </w:p>
    <w:p w:rsidR="00630EFE" w:rsidRPr="00630EFE" w:rsidRDefault="007802A9" w:rsidP="00134413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630EFE">
        <w:rPr>
          <w:lang w:bidi="he-IL"/>
        </w:rPr>
        <w:t xml:space="preserve">How can we justify the </w:t>
      </w:r>
      <w:r w:rsidR="00630EFE">
        <w:rPr>
          <w:rFonts w:hint="cs"/>
          <w:rtl/>
          <w:lang w:bidi="he-IL"/>
        </w:rPr>
        <w:t>הו"א</w:t>
      </w:r>
      <w:r w:rsidR="00630EFE">
        <w:rPr>
          <w:lang w:bidi="he-IL"/>
        </w:rPr>
        <w:t xml:space="preserve"> of </w:t>
      </w:r>
      <w:r w:rsidR="00630EFE">
        <w:rPr>
          <w:rFonts w:hint="cs"/>
          <w:rtl/>
          <w:lang w:bidi="he-IL"/>
        </w:rPr>
        <w:t>תוספות</w:t>
      </w:r>
      <w:r w:rsidR="00630EFE">
        <w:rPr>
          <w:lang w:bidi="he-IL"/>
        </w:rPr>
        <w:t>, that</w:t>
      </w:r>
      <w:r>
        <w:rPr>
          <w:lang w:bidi="he-IL"/>
        </w:rPr>
        <w:t xml:space="preserve"> the child’s claim in</w:t>
      </w:r>
      <w:r w:rsidR="00630EFE">
        <w:rPr>
          <w:lang w:bidi="he-IL"/>
        </w:rPr>
        <w:t xml:space="preserve"> our case is equal</w:t>
      </w:r>
      <w:r>
        <w:rPr>
          <w:lang w:bidi="he-IL"/>
        </w:rPr>
        <w:t xml:space="preserve"> to</w:t>
      </w:r>
      <w:r w:rsidR="00630EFE">
        <w:rPr>
          <w:lang w:bidi="he-IL"/>
        </w:rPr>
        <w:t xml:space="preserve"> (or</w:t>
      </w:r>
      <w:r>
        <w:rPr>
          <w:lang w:bidi="he-IL"/>
        </w:rPr>
        <w:t xml:space="preserve"> perhaps</w:t>
      </w:r>
      <w:r w:rsidR="00630EFE">
        <w:rPr>
          <w:lang w:bidi="he-IL"/>
        </w:rPr>
        <w:t xml:space="preserve"> even stronger</w:t>
      </w:r>
      <w:r>
        <w:rPr>
          <w:lang w:bidi="he-IL"/>
        </w:rPr>
        <w:t xml:space="preserve"> than)</w:t>
      </w:r>
      <w:r w:rsidR="00630EFE">
        <w:rPr>
          <w:lang w:bidi="he-IL"/>
        </w:rPr>
        <w:t xml:space="preserve"> the</w:t>
      </w:r>
      <w:r>
        <w:rPr>
          <w:lang w:bidi="he-IL"/>
        </w:rPr>
        <w:t xml:space="preserve"> child’s claim in the</w:t>
      </w:r>
      <w:r w:rsidR="00630EFE">
        <w:rPr>
          <w:lang w:bidi="he-IL"/>
        </w:rPr>
        <w:t xml:space="preserve"> case of the </w:t>
      </w:r>
      <w:r w:rsidR="00630EFE">
        <w:rPr>
          <w:rFonts w:hint="cs"/>
          <w:rtl/>
          <w:lang w:bidi="he-IL"/>
        </w:rPr>
        <w:t>ארוסה</w:t>
      </w:r>
      <w:r w:rsidR="00DF0DAC">
        <w:rPr>
          <w:rFonts w:hint="cs"/>
          <w:rtl/>
          <w:lang w:bidi="he-IL"/>
        </w:rPr>
        <w:t xml:space="preserve"> שנתעברה</w:t>
      </w:r>
      <w:r w:rsidR="00630EFE">
        <w:rPr>
          <w:lang w:bidi="he-IL"/>
        </w:rPr>
        <w:t>?</w:t>
      </w:r>
    </w:p>
    <w:p w:rsidR="002C1A88" w:rsidRPr="00630EFE" w:rsidRDefault="002C1A88" w:rsidP="0013441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sectPr w:rsidR="002C1A88" w:rsidRPr="00630EFE" w:rsidSect="001244F5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E58" w:rsidRDefault="00C90E58">
      <w:r>
        <w:separator/>
      </w:r>
    </w:p>
  </w:endnote>
  <w:endnote w:type="continuationSeparator" w:id="0">
    <w:p w:rsidR="00C90E58" w:rsidRDefault="00C9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7B" w:rsidRDefault="00FB5A7B" w:rsidP="000934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5A7B" w:rsidRDefault="00FB5A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413" w:rsidRDefault="00134413">
    <w:pPr>
      <w:pStyle w:val="Footer"/>
      <w:jc w:val="center"/>
      <w:rPr>
        <w:noProof/>
        <w:sz w:val="16"/>
        <w:szCs w:val="16"/>
      </w:rPr>
    </w:pPr>
    <w:r w:rsidRPr="00134413">
      <w:rPr>
        <w:sz w:val="20"/>
        <w:szCs w:val="20"/>
      </w:rPr>
      <w:fldChar w:fldCharType="begin"/>
    </w:r>
    <w:r w:rsidRPr="00134413">
      <w:rPr>
        <w:sz w:val="20"/>
        <w:szCs w:val="20"/>
      </w:rPr>
      <w:instrText xml:space="preserve"> PAGE   \* MERGEFORMAT </w:instrText>
    </w:r>
    <w:r w:rsidRPr="00134413">
      <w:rPr>
        <w:sz w:val="20"/>
        <w:szCs w:val="20"/>
      </w:rPr>
      <w:fldChar w:fldCharType="separate"/>
    </w:r>
    <w:r w:rsidR="00C70872">
      <w:rPr>
        <w:noProof/>
        <w:sz w:val="20"/>
        <w:szCs w:val="20"/>
      </w:rPr>
      <w:t>2</w:t>
    </w:r>
    <w:r w:rsidRPr="00134413">
      <w:rPr>
        <w:noProof/>
        <w:sz w:val="20"/>
        <w:szCs w:val="20"/>
      </w:rPr>
      <w:fldChar w:fldCharType="end"/>
    </w:r>
  </w:p>
  <w:p w:rsidR="00134413" w:rsidRPr="00134413" w:rsidRDefault="00134413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FB5A7B" w:rsidRPr="00085F21" w:rsidRDefault="00FB5A7B" w:rsidP="00085F21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E58" w:rsidRDefault="00C90E58">
      <w:r>
        <w:separator/>
      </w:r>
    </w:p>
  </w:footnote>
  <w:footnote w:type="continuationSeparator" w:id="0">
    <w:p w:rsidR="00C90E58" w:rsidRDefault="00C90E58">
      <w:r>
        <w:continuationSeparator/>
      </w:r>
    </w:p>
  </w:footnote>
  <w:footnote w:id="1">
    <w:p w:rsidR="007F7C38" w:rsidRDefault="007F7C38" w:rsidP="000B6F1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meant to exclude elsewhere, where such an answer is given, 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shortly state.</w:t>
      </w:r>
    </w:p>
  </w:footnote>
  <w:footnote w:id="2">
    <w:p w:rsidR="007F7C38" w:rsidRDefault="007F7C38" w:rsidP="000B6F1E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We do not even know who the father is.</w:t>
      </w:r>
    </w:p>
  </w:footnote>
  <w:footnote w:id="3">
    <w:p w:rsidR="00FB5A7B" w:rsidRDefault="00FB5A7B" w:rsidP="000B6F1E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‘child’ claims that this person is his father.</w:t>
      </w:r>
    </w:p>
  </w:footnote>
  <w:footnote w:id="4">
    <w:p w:rsidR="00FB5A7B" w:rsidRDefault="00FB5A7B" w:rsidP="000B6F1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child is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. There is 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, that possibly this person is the father. Perhaps the ruling should be that </w:t>
      </w:r>
      <w:r>
        <w:rPr>
          <w:rFonts w:hint="cs"/>
          <w:rtl/>
          <w:lang w:bidi="he-IL"/>
        </w:rPr>
        <w:t>המוציא מחברו עליו הראיה</w:t>
      </w:r>
      <w:r>
        <w:rPr>
          <w:lang w:bidi="he-IL"/>
        </w:rPr>
        <w:t>. The other heirs should prove that he is not the child of the deceased.</w:t>
      </w:r>
      <w:r w:rsidR="009A0364">
        <w:rPr>
          <w:lang w:bidi="he-IL"/>
        </w:rPr>
        <w:t xml:space="preserve"> See ‘Thinking it over’ # 1.</w:t>
      </w:r>
    </w:p>
  </w:footnote>
  <w:footnote w:id="5">
    <w:p w:rsidR="007F7C38" w:rsidRDefault="007F7C38" w:rsidP="000B6F1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is prohibited from having marital relations with anyone, including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, until the time of </w:t>
      </w:r>
      <w:r>
        <w:rPr>
          <w:rFonts w:hint="cs"/>
          <w:rtl/>
          <w:lang w:bidi="he-IL"/>
        </w:rPr>
        <w:t>נישואין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, by being promiscuous, placed the paternal lineage of this </w:t>
      </w:r>
      <w:r>
        <w:rPr>
          <w:rFonts w:hint="cs"/>
          <w:rtl/>
          <w:lang w:bidi="he-IL"/>
        </w:rPr>
        <w:t>עובר</w:t>
      </w:r>
      <w:r>
        <w:rPr>
          <w:lang w:bidi="he-IL"/>
        </w:rPr>
        <w:t xml:space="preserve"> in question. </w:t>
      </w:r>
    </w:p>
  </w:footnote>
  <w:footnote w:id="6">
    <w:p w:rsidR="00B31155" w:rsidRDefault="00B31155" w:rsidP="00B31155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ריטב"א</w:t>
      </w:r>
      <w:r>
        <w:rPr>
          <w:lang w:bidi="he-IL"/>
        </w:rPr>
        <w:t>.</w:t>
      </w:r>
    </w:p>
  </w:footnote>
  <w:footnote w:id="7">
    <w:p w:rsidR="001D36AE" w:rsidRDefault="001D36AE" w:rsidP="000B6F1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 w:rsidR="009A0364">
        <w:t xml:space="preserve"> See footnote # </w:t>
      </w:r>
      <w:r w:rsidR="00DF0DAC">
        <w:t>4</w:t>
      </w:r>
      <w:r w:rsidR="009A0364">
        <w:t>.</w:t>
      </w:r>
      <w:r>
        <w:t xml:space="preserve"> See </w:t>
      </w:r>
      <w:r>
        <w:rPr>
          <w:rFonts w:hint="cs"/>
          <w:rtl/>
          <w:lang w:bidi="he-IL"/>
        </w:rPr>
        <w:t>סוכ"ד אות עז, אילת השחר, ח"ב (מ"ת)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7B" w:rsidRPr="00085F21" w:rsidRDefault="00FB5A7B" w:rsidP="00085F21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יג,ב תוס' ד"ה פשיטא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5F21"/>
    <w:rsid w:val="00085F21"/>
    <w:rsid w:val="0009340F"/>
    <w:rsid w:val="000B6F1E"/>
    <w:rsid w:val="001244F5"/>
    <w:rsid w:val="00134413"/>
    <w:rsid w:val="00184D2E"/>
    <w:rsid w:val="001D36AE"/>
    <w:rsid w:val="0020216B"/>
    <w:rsid w:val="00210A1E"/>
    <w:rsid w:val="002C1A88"/>
    <w:rsid w:val="0038274E"/>
    <w:rsid w:val="003F6705"/>
    <w:rsid w:val="005D12C1"/>
    <w:rsid w:val="00630EFE"/>
    <w:rsid w:val="007552E7"/>
    <w:rsid w:val="007802A9"/>
    <w:rsid w:val="007F7C38"/>
    <w:rsid w:val="0089054C"/>
    <w:rsid w:val="008C114E"/>
    <w:rsid w:val="00987A3A"/>
    <w:rsid w:val="009A0364"/>
    <w:rsid w:val="009E4D90"/>
    <w:rsid w:val="00B31155"/>
    <w:rsid w:val="00BA621C"/>
    <w:rsid w:val="00C70872"/>
    <w:rsid w:val="00C90E58"/>
    <w:rsid w:val="00D54370"/>
    <w:rsid w:val="00D80DE2"/>
    <w:rsid w:val="00DB44EF"/>
    <w:rsid w:val="00DC328C"/>
    <w:rsid w:val="00DF0DAC"/>
    <w:rsid w:val="00FB5A7B"/>
    <w:rsid w:val="00FD0837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948CF3-F570-41E9-82C9-2F0ED83B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5F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85F2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C328C"/>
    <w:rPr>
      <w:sz w:val="20"/>
      <w:szCs w:val="20"/>
    </w:rPr>
  </w:style>
  <w:style w:type="character" w:styleId="FootnoteReference">
    <w:name w:val="footnote reference"/>
    <w:semiHidden/>
    <w:rsid w:val="00DC328C"/>
    <w:rPr>
      <w:vertAlign w:val="superscript"/>
    </w:rPr>
  </w:style>
  <w:style w:type="character" w:styleId="PageNumber">
    <w:name w:val="page number"/>
    <w:basedOn w:val="DefaultParagraphFont"/>
    <w:rsid w:val="00FD0837"/>
  </w:style>
  <w:style w:type="character" w:customStyle="1" w:styleId="FooterChar">
    <w:name w:val="Footer Char"/>
    <w:link w:val="Footer"/>
    <w:uiPriority w:val="99"/>
    <w:rsid w:val="00134413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פשיטא מי ידעינן אבוה מנו – It is obvious</vt:lpstr>
    </vt:vector>
  </TitlesOfParts>
  <Company> 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פשיטא מי ידעינן אבוה מנו – It is obvious</dc:title>
  <dc:subject/>
  <dc:creator> </dc:creator>
  <cp:keywords/>
  <dc:description/>
  <cp:lastModifiedBy>Microsoft account</cp:lastModifiedBy>
  <cp:revision>2</cp:revision>
  <cp:lastPrinted>2016-04-19T11:01:00Z</cp:lastPrinted>
  <dcterms:created xsi:type="dcterms:W3CDTF">2022-04-05T10:47:00Z</dcterms:created>
  <dcterms:modified xsi:type="dcterms:W3CDTF">2022-04-05T10:47:00Z</dcterms:modified>
</cp:coreProperties>
</file>