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58" w:rsidRPr="000939F6" w:rsidRDefault="00130758" w:rsidP="009C128B">
      <w:pPr>
        <w:bidi/>
        <w:spacing w:line="276" w:lineRule="auto"/>
        <w:jc w:val="both"/>
        <w:rPr>
          <w:sz w:val="20"/>
          <w:szCs w:val="20"/>
          <w:lang w:bidi="he-IL"/>
        </w:rPr>
      </w:pPr>
      <w:bookmarkStart w:id="0" w:name="_GoBack"/>
      <w:bookmarkEnd w:id="0"/>
      <w:r w:rsidRPr="00542453">
        <w:rPr>
          <w:rFonts w:hint="cs"/>
          <w:b/>
          <w:bCs/>
          <w:spacing w:val="-4"/>
          <w:sz w:val="36"/>
          <w:szCs w:val="36"/>
          <w:rtl/>
          <w:lang w:bidi="he-IL"/>
        </w:rPr>
        <w:t>בעינן</w:t>
      </w:r>
      <w:r w:rsidRPr="00542453">
        <w:rPr>
          <w:rFonts w:hint="cs"/>
          <w:b/>
          <w:bCs/>
          <w:spacing w:val="-4"/>
          <w:sz w:val="32"/>
          <w:szCs w:val="32"/>
          <w:rtl/>
          <w:lang w:bidi="he-IL"/>
        </w:rPr>
        <w:t xml:space="preserve"> זרעו מיוחס אחריו</w:t>
      </w:r>
      <w:r w:rsidR="00542453">
        <w:rPr>
          <w:rFonts w:hint="cs"/>
          <w:b/>
          <w:bCs/>
          <w:spacing w:val="-4"/>
          <w:sz w:val="32"/>
          <w:szCs w:val="32"/>
          <w:rtl/>
          <w:lang w:bidi="he-IL"/>
        </w:rPr>
        <w:t xml:space="preserve"> - </w:t>
      </w:r>
      <w:r w:rsidR="00542453" w:rsidRPr="00542453">
        <w:rPr>
          <w:b/>
          <w:bCs/>
          <w:spacing w:val="-4"/>
          <w:sz w:val="32"/>
          <w:szCs w:val="32"/>
          <w:lang w:bidi="he-IL"/>
        </w:rPr>
        <w:t xml:space="preserve">We require </w:t>
      </w:r>
      <w:r w:rsidR="00542453" w:rsidRPr="00542453">
        <w:rPr>
          <w:spacing w:val="-4"/>
          <w:sz w:val="32"/>
          <w:szCs w:val="32"/>
          <w:lang w:bidi="he-IL"/>
        </w:rPr>
        <w:t>that</w:t>
      </w:r>
      <w:r w:rsidR="00542453" w:rsidRPr="00542453">
        <w:rPr>
          <w:b/>
          <w:bCs/>
          <w:spacing w:val="-4"/>
          <w:sz w:val="32"/>
          <w:szCs w:val="32"/>
          <w:lang w:bidi="he-IL"/>
        </w:rPr>
        <w:t xml:space="preserve"> his seed be pedigreed after him</w:t>
      </w:r>
      <w:r w:rsidR="009C128B">
        <w:rPr>
          <w:b/>
          <w:bCs/>
          <w:spacing w:val="-4"/>
          <w:sz w:val="32"/>
          <w:szCs w:val="32"/>
          <w:lang w:bidi="he-IL"/>
        </w:rPr>
        <w:t xml:space="preserve"> </w:t>
      </w:r>
      <w:r w:rsidR="009C128B">
        <w:rPr>
          <w:b/>
          <w:bCs/>
          <w:spacing w:val="-4"/>
          <w:sz w:val="16"/>
          <w:szCs w:val="16"/>
          <w:lang w:bidi="he-IL"/>
        </w:rPr>
        <w:t xml:space="preserve"> </w:t>
      </w:r>
      <w:r w:rsidR="009C128B">
        <w:rPr>
          <w:b/>
          <w:bCs/>
          <w:spacing w:val="-4"/>
          <w:sz w:val="32"/>
          <w:szCs w:val="32"/>
          <w:lang w:bidi="he-IL"/>
        </w:rPr>
        <w:t xml:space="preserve">   </w:t>
      </w:r>
    </w:p>
    <w:p w:rsidR="00130758" w:rsidRPr="00542453" w:rsidRDefault="00F65EE0" w:rsidP="0054245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42453">
        <w:rPr>
          <w:rFonts w:ascii="Copperplate Gothic Bold" w:hAnsi="Copperplate Gothic Bold"/>
          <w:u w:val="double"/>
          <w:lang w:bidi="he-IL"/>
        </w:rPr>
        <w:t>Overview</w:t>
      </w:r>
    </w:p>
    <w:p w:rsidR="00F65EE0" w:rsidRPr="00F65EE0" w:rsidRDefault="00F65EE0" w:rsidP="0054245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ולזרעו אחריו וגו'</w:t>
      </w:r>
      <w:r>
        <w:rPr>
          <w:lang w:bidi="he-IL"/>
        </w:rPr>
        <w:t xml:space="preserve">, teaches us that in order to be </w:t>
      </w:r>
      <w:r>
        <w:rPr>
          <w:rFonts w:hint="cs"/>
          <w:rtl/>
          <w:lang w:bidi="he-IL"/>
        </w:rPr>
        <w:t>כשר לכהונה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must be </w:t>
      </w:r>
      <w:r>
        <w:rPr>
          <w:rFonts w:hint="cs"/>
          <w:rtl/>
          <w:lang w:bidi="he-IL"/>
        </w:rPr>
        <w:t>מיוחס</w:t>
      </w:r>
      <w:r>
        <w:rPr>
          <w:lang w:bidi="he-IL"/>
        </w:rPr>
        <w:t xml:space="preserve">. His lineage must be known.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cite a seemingly contradictory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and resolve the contradiction.</w:t>
      </w:r>
    </w:p>
    <w:p w:rsidR="00F65EE0" w:rsidRDefault="00F65EE0" w:rsidP="00542453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130758" w:rsidRDefault="001355BB" w:rsidP="000939F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0939F6">
        <w:rPr>
          <w:sz w:val="24"/>
          <w:szCs w:val="24"/>
          <w:lang w:bidi="he-IL"/>
        </w:rPr>
        <w:t xml:space="preserve">responds to an </w:t>
      </w:r>
      <w:r w:rsidR="00542453">
        <w:rPr>
          <w:sz w:val="24"/>
          <w:szCs w:val="24"/>
          <w:lang w:bidi="he-IL"/>
        </w:rPr>
        <w:t>anticipate</w:t>
      </w:r>
      <w:r w:rsidR="000939F6">
        <w:rPr>
          <w:sz w:val="24"/>
          <w:szCs w:val="24"/>
          <w:lang w:bidi="he-IL"/>
        </w:rPr>
        <w:t>d</w:t>
      </w:r>
      <w:r w:rsidR="00542453">
        <w:rPr>
          <w:sz w:val="24"/>
          <w:szCs w:val="24"/>
          <w:lang w:bidi="he-IL"/>
        </w:rPr>
        <w:t xml:space="preserve"> difficulty</w:t>
      </w:r>
      <w:r>
        <w:rPr>
          <w:sz w:val="24"/>
          <w:szCs w:val="24"/>
          <w:lang w:bidi="he-IL"/>
        </w:rPr>
        <w:t>:</w:t>
      </w:r>
    </w:p>
    <w:p w:rsidR="00542453" w:rsidRPr="004847DF" w:rsidRDefault="00130758" w:rsidP="004847DF">
      <w:pPr>
        <w:bidi/>
        <w:spacing w:line="276" w:lineRule="auto"/>
        <w:jc w:val="both"/>
        <w:rPr>
          <w:b/>
          <w:bCs/>
          <w:rtl/>
          <w:lang w:bidi="he-IL"/>
        </w:rPr>
      </w:pPr>
      <w:r w:rsidRPr="004847DF">
        <w:rPr>
          <w:rFonts w:ascii="David" w:hAnsi="David" w:cs="David"/>
          <w:b/>
          <w:bCs/>
          <w:rtl/>
          <w:lang w:bidi="he-IL"/>
        </w:rPr>
        <w:t>והא דאמר בהחולץ</w:t>
      </w:r>
      <w:r w:rsidRPr="004847DF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(יבמות דף לז,א)</w:t>
      </w:r>
      <w:r w:rsidR="00542453" w:rsidRPr="004847DF">
        <w:rPr>
          <w:rFonts w:ascii="David" w:hAnsi="David" w:cs="David"/>
          <w:b/>
          <w:bCs/>
          <w:rtl/>
          <w:lang w:bidi="he-IL"/>
        </w:rPr>
        <w:t xml:space="preserve"> ראשון ראוי להיות כהן גדול</w:t>
      </w:r>
      <w:r w:rsidR="00542453" w:rsidRPr="004847DF">
        <w:rPr>
          <w:rStyle w:val="FootnoteReference"/>
          <w:rFonts w:ascii="David" w:hAnsi="David" w:cs="David"/>
          <w:b/>
          <w:bCs/>
          <w:rtl/>
          <w:lang w:bidi="he-IL"/>
        </w:rPr>
        <w:footnoteReference w:id="1"/>
      </w:r>
      <w:r w:rsidR="00542453" w:rsidRPr="004847DF">
        <w:rPr>
          <w:rFonts w:ascii="David" w:hAnsi="David" w:cs="David"/>
          <w:b/>
          <w:bCs/>
          <w:rtl/>
          <w:lang w:bidi="he-IL"/>
        </w:rPr>
        <w:t xml:space="preserve"> גבי ספק בן תשע לראשון</w:t>
      </w:r>
      <w:r w:rsidRPr="004847DF">
        <w:rPr>
          <w:rFonts w:ascii="David" w:hAnsi="David" w:cs="David"/>
          <w:b/>
          <w:bCs/>
          <w:sz w:val="20"/>
          <w:szCs w:val="20"/>
          <w:lang w:bidi="he-IL"/>
        </w:rPr>
        <w:t xml:space="preserve"> </w:t>
      </w:r>
      <w:r w:rsidR="004847DF">
        <w:rPr>
          <w:rFonts w:ascii="David" w:hAnsi="David" w:cs="David"/>
          <w:b/>
          <w:bCs/>
          <w:lang w:bidi="he-IL"/>
        </w:rPr>
        <w:t>-</w:t>
      </w:r>
      <w:r w:rsidRPr="004847DF">
        <w:rPr>
          <w:b/>
          <w:bCs/>
          <w:lang w:bidi="he-IL"/>
        </w:rPr>
        <w:t xml:space="preserve"> </w:t>
      </w:r>
    </w:p>
    <w:p w:rsidR="001355BB" w:rsidRPr="000939F6" w:rsidRDefault="00130758" w:rsidP="00D94625">
      <w:pPr>
        <w:spacing w:line="276" w:lineRule="auto"/>
        <w:jc w:val="both"/>
        <w:rPr>
          <w:spacing w:val="-4"/>
          <w:sz w:val="20"/>
          <w:szCs w:val="20"/>
          <w:lang w:bidi="he-IL"/>
        </w:rPr>
      </w:pPr>
      <w:r w:rsidRPr="000939F6">
        <w:rPr>
          <w:b/>
          <w:bCs/>
          <w:spacing w:val="-2"/>
          <w:lang w:bidi="he-IL"/>
        </w:rPr>
        <w:t xml:space="preserve">And </w:t>
      </w:r>
      <w:r w:rsidRPr="000939F6">
        <w:rPr>
          <w:spacing w:val="-2"/>
          <w:lang w:bidi="he-IL"/>
        </w:rPr>
        <w:t xml:space="preserve">concerning </w:t>
      </w:r>
      <w:r w:rsidRPr="000939F6">
        <w:rPr>
          <w:b/>
          <w:bCs/>
          <w:spacing w:val="-2"/>
          <w:lang w:bidi="he-IL"/>
        </w:rPr>
        <w:t xml:space="preserve">that </w:t>
      </w:r>
      <w:r w:rsidRPr="000939F6">
        <w:rPr>
          <w:spacing w:val="-2"/>
          <w:lang w:bidi="he-IL"/>
        </w:rPr>
        <w:t xml:space="preserve">which the </w:t>
      </w:r>
      <w:r w:rsidR="00F65EE0" w:rsidRPr="000939F6">
        <w:rPr>
          <w:rFonts w:hint="cs"/>
          <w:spacing w:val="-2"/>
          <w:rtl/>
          <w:lang w:bidi="he-IL"/>
        </w:rPr>
        <w:t>ברייתא</w:t>
      </w:r>
      <w:r w:rsidRPr="000939F6">
        <w:rPr>
          <w:spacing w:val="-2"/>
          <w:lang w:bidi="he-IL"/>
        </w:rPr>
        <w:t xml:space="preserve"> </w:t>
      </w:r>
      <w:r w:rsidRPr="000939F6">
        <w:rPr>
          <w:b/>
          <w:bCs/>
          <w:spacing w:val="-2"/>
          <w:lang w:bidi="he-IL"/>
        </w:rPr>
        <w:t xml:space="preserve">states in </w:t>
      </w:r>
      <w:r w:rsidRPr="000939F6">
        <w:rPr>
          <w:rFonts w:hint="cs"/>
          <w:spacing w:val="-2"/>
          <w:rtl/>
          <w:lang w:bidi="he-IL"/>
        </w:rPr>
        <w:t xml:space="preserve">פרק </w:t>
      </w:r>
      <w:r w:rsidRPr="000939F6">
        <w:rPr>
          <w:rFonts w:hint="cs"/>
          <w:b/>
          <w:bCs/>
          <w:spacing w:val="-2"/>
          <w:rtl/>
          <w:lang w:bidi="he-IL"/>
        </w:rPr>
        <w:t>החולץ</w:t>
      </w:r>
      <w:r w:rsidRPr="000939F6">
        <w:rPr>
          <w:b/>
          <w:bCs/>
          <w:spacing w:val="-2"/>
          <w:lang w:bidi="he-IL"/>
        </w:rPr>
        <w:t xml:space="preserve"> </w:t>
      </w:r>
      <w:r w:rsidR="00542453" w:rsidRPr="000939F6">
        <w:rPr>
          <w:b/>
          <w:bCs/>
          <w:spacing w:val="-2"/>
          <w:lang w:bidi="he-IL"/>
        </w:rPr>
        <w:t>regarding a child</w:t>
      </w:r>
      <w:r w:rsidR="00542453" w:rsidRPr="000939F6">
        <w:rPr>
          <w:spacing w:val="-2"/>
          <w:lang w:bidi="he-IL"/>
        </w:rPr>
        <w:t xml:space="preserve"> of </w:t>
      </w:r>
      <w:r w:rsidR="00542453" w:rsidRPr="000939F6">
        <w:rPr>
          <w:b/>
          <w:bCs/>
          <w:spacing w:val="-2"/>
          <w:lang w:bidi="he-IL"/>
        </w:rPr>
        <w:t>questionable</w:t>
      </w:r>
      <w:r w:rsidR="00542453" w:rsidRPr="000939F6">
        <w:rPr>
          <w:spacing w:val="-2"/>
          <w:lang w:bidi="he-IL"/>
        </w:rPr>
        <w:t xml:space="preserve"> paternity; whether there was a </w:t>
      </w:r>
      <w:r w:rsidR="00542453" w:rsidRPr="000939F6">
        <w:rPr>
          <w:b/>
          <w:bCs/>
          <w:spacing w:val="-2"/>
          <w:lang w:bidi="he-IL"/>
        </w:rPr>
        <w:t xml:space="preserve">nine </w:t>
      </w:r>
      <w:r w:rsidR="00542453" w:rsidRPr="000939F6">
        <w:rPr>
          <w:spacing w:val="-2"/>
          <w:lang w:bidi="he-IL"/>
        </w:rPr>
        <w:t xml:space="preserve">month pregnancy from the </w:t>
      </w:r>
      <w:r w:rsidR="00542453" w:rsidRPr="000939F6">
        <w:rPr>
          <w:b/>
          <w:bCs/>
          <w:spacing w:val="-2"/>
          <w:lang w:bidi="he-IL"/>
        </w:rPr>
        <w:t xml:space="preserve">first </w:t>
      </w:r>
      <w:r w:rsidR="00542453" w:rsidRPr="000939F6">
        <w:rPr>
          <w:spacing w:val="-4"/>
          <w:lang w:bidi="he-IL"/>
        </w:rPr>
        <w:t xml:space="preserve">husband, or a seven month pregnancy from the </w:t>
      </w:r>
      <w:r w:rsidR="00542453" w:rsidRPr="000939F6">
        <w:rPr>
          <w:rFonts w:hint="cs"/>
          <w:spacing w:val="-4"/>
          <w:rtl/>
          <w:lang w:bidi="he-IL"/>
        </w:rPr>
        <w:t>יבם</w:t>
      </w:r>
      <w:r w:rsidR="00D94625" w:rsidRPr="000939F6">
        <w:rPr>
          <w:spacing w:val="-4"/>
          <w:lang w:bidi="he-IL"/>
        </w:rPr>
        <w:t>;</w:t>
      </w:r>
      <w:r w:rsidR="00542453" w:rsidRPr="000939F6">
        <w:rPr>
          <w:spacing w:val="-4"/>
          <w:sz w:val="24"/>
          <w:szCs w:val="24"/>
          <w:lang w:bidi="he-IL"/>
        </w:rPr>
        <w:t xml:space="preserve"> </w:t>
      </w:r>
      <w:r w:rsidRPr="000939F6">
        <w:rPr>
          <w:b/>
          <w:bCs/>
          <w:spacing w:val="-4"/>
          <w:lang w:bidi="he-IL"/>
        </w:rPr>
        <w:t xml:space="preserve">the first </w:t>
      </w:r>
      <w:r w:rsidRPr="000939F6">
        <w:rPr>
          <w:spacing w:val="-4"/>
          <w:lang w:bidi="he-IL"/>
        </w:rPr>
        <w:t xml:space="preserve">child </w:t>
      </w:r>
      <w:r w:rsidRPr="000939F6">
        <w:rPr>
          <w:b/>
          <w:bCs/>
          <w:spacing w:val="-4"/>
          <w:lang w:bidi="he-IL"/>
        </w:rPr>
        <w:t xml:space="preserve">is fit to be a </w:t>
      </w:r>
      <w:r w:rsidRPr="000939F6">
        <w:rPr>
          <w:rFonts w:hint="cs"/>
          <w:b/>
          <w:bCs/>
          <w:spacing w:val="-4"/>
          <w:rtl/>
          <w:lang w:bidi="he-IL"/>
        </w:rPr>
        <w:t>כה"ג</w:t>
      </w:r>
      <w:r w:rsidR="000939F6" w:rsidRPr="000939F6">
        <w:rPr>
          <w:spacing w:val="-4"/>
          <w:lang w:bidi="he-IL"/>
        </w:rPr>
        <w:t xml:space="preserve"> -</w:t>
      </w:r>
      <w:r w:rsidRPr="000939F6">
        <w:rPr>
          <w:spacing w:val="-4"/>
          <w:lang w:bidi="he-IL"/>
        </w:rPr>
        <w:t xml:space="preserve"> </w:t>
      </w:r>
    </w:p>
    <w:p w:rsidR="00542453" w:rsidRPr="004847DF" w:rsidRDefault="001355BB" w:rsidP="004847D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4847DF">
        <w:rPr>
          <w:rFonts w:ascii="David" w:hAnsi="David" w:cs="David"/>
          <w:b/>
          <w:bCs/>
          <w:rtl/>
          <w:lang w:bidi="he-IL"/>
        </w:rPr>
        <w:t xml:space="preserve">בפרק נושאין על האנוסה </w:t>
      </w:r>
      <w:r w:rsidRPr="004847DF">
        <w:rPr>
          <w:rFonts w:ascii="David" w:hAnsi="David" w:cs="David"/>
          <w:b/>
          <w:bCs/>
          <w:sz w:val="20"/>
          <w:szCs w:val="20"/>
          <w:rtl/>
          <w:lang w:bidi="he-IL"/>
        </w:rPr>
        <w:t>(שם דף ק,ב)</w:t>
      </w:r>
      <w:r w:rsidRPr="004847DF">
        <w:rPr>
          <w:rFonts w:ascii="David" w:hAnsi="David" w:cs="David"/>
          <w:b/>
          <w:bCs/>
          <w:rtl/>
          <w:lang w:bidi="he-IL"/>
        </w:rPr>
        <w:t xml:space="preserve"> פריך לה</w:t>
      </w:r>
      <w:r w:rsidR="00542453" w:rsidRPr="004847DF">
        <w:rPr>
          <w:rFonts w:ascii="David" w:hAnsi="David" w:cs="David"/>
          <w:b/>
          <w:bCs/>
          <w:rtl/>
          <w:lang w:bidi="he-IL"/>
        </w:rPr>
        <w:t xml:space="preserve"> ומשני זרעו מיוחס אחריו דרבנן</w:t>
      </w:r>
      <w:r w:rsidRPr="004847DF">
        <w:rPr>
          <w:rFonts w:ascii="David" w:hAnsi="David" w:cs="David"/>
          <w:b/>
          <w:bCs/>
          <w:sz w:val="20"/>
          <w:szCs w:val="20"/>
          <w:lang w:bidi="he-IL"/>
        </w:rPr>
        <w:t xml:space="preserve"> </w:t>
      </w:r>
      <w:r w:rsidR="004847DF">
        <w:rPr>
          <w:rFonts w:ascii="David" w:hAnsi="David" w:cs="David"/>
          <w:b/>
          <w:bCs/>
          <w:lang w:bidi="he-IL"/>
        </w:rPr>
        <w:t>-</w:t>
      </w:r>
      <w:r w:rsidRPr="004847DF">
        <w:rPr>
          <w:rFonts w:ascii="David" w:hAnsi="David" w:cs="David"/>
          <w:b/>
          <w:bCs/>
          <w:lang w:bidi="he-IL"/>
        </w:rPr>
        <w:t xml:space="preserve"> </w:t>
      </w:r>
    </w:p>
    <w:p w:rsidR="001355BB" w:rsidRPr="00F65EE0" w:rsidRDefault="000939F6" w:rsidP="000939F6">
      <w:pPr>
        <w:spacing w:line="276" w:lineRule="auto"/>
        <w:jc w:val="both"/>
        <w:rPr>
          <w:sz w:val="24"/>
          <w:szCs w:val="24"/>
          <w:lang w:bidi="he-IL"/>
        </w:rPr>
      </w:pPr>
      <w:r w:rsidRPr="000939F6">
        <w:rPr>
          <w:rFonts w:hint="cs"/>
          <w:rtl/>
          <w:lang w:bidi="he-IL"/>
        </w:rPr>
        <w:t>תוספות</w:t>
      </w:r>
      <w:r w:rsidRPr="000939F6">
        <w:rPr>
          <w:lang w:bidi="he-IL"/>
        </w:rPr>
        <w:t xml:space="preserve"> replies: the </w:t>
      </w:r>
      <w:r w:rsidRPr="000939F6">
        <w:rPr>
          <w:rFonts w:hint="cs"/>
          <w:rtl/>
          <w:lang w:bidi="he-IL"/>
        </w:rPr>
        <w:t>גמרא</w:t>
      </w:r>
      <w:r w:rsidRPr="000939F6">
        <w:rPr>
          <w:lang w:bidi="he-IL"/>
        </w:rPr>
        <w:t xml:space="preserve"> </w:t>
      </w:r>
      <w:r w:rsidR="001355BB">
        <w:rPr>
          <w:b/>
          <w:bCs/>
          <w:lang w:bidi="he-IL"/>
        </w:rPr>
        <w:t xml:space="preserve">asks </w:t>
      </w:r>
      <w:r w:rsidR="001355BB" w:rsidRPr="001355BB">
        <w:rPr>
          <w:b/>
          <w:bCs/>
          <w:lang w:bidi="he-IL"/>
        </w:rPr>
        <w:t>this</w:t>
      </w:r>
      <w:r w:rsidR="001355BB">
        <w:rPr>
          <w:lang w:bidi="he-IL"/>
        </w:rPr>
        <w:t xml:space="preserve"> </w:t>
      </w:r>
      <w:r w:rsidR="001355BB">
        <w:rPr>
          <w:b/>
          <w:bCs/>
          <w:lang w:bidi="he-IL"/>
        </w:rPr>
        <w:t xml:space="preserve">in the </w:t>
      </w:r>
      <w:r w:rsidR="001355BB">
        <w:rPr>
          <w:rFonts w:hint="cs"/>
          <w:b/>
          <w:bCs/>
          <w:rtl/>
          <w:lang w:bidi="he-IL"/>
        </w:rPr>
        <w:t>פרק נושאין על האנוסה</w:t>
      </w:r>
      <w:r w:rsidR="001355BB">
        <w:rPr>
          <w:b/>
          <w:bCs/>
          <w:lang w:bidi="he-IL"/>
        </w:rPr>
        <w:t xml:space="preserve"> and </w:t>
      </w:r>
      <w:r w:rsidR="001355BB">
        <w:rPr>
          <w:lang w:bidi="he-IL"/>
        </w:rPr>
        <w:t xml:space="preserve">the </w:t>
      </w:r>
      <w:r w:rsidR="001355BB">
        <w:rPr>
          <w:rFonts w:hint="cs"/>
          <w:rtl/>
          <w:lang w:bidi="he-IL"/>
        </w:rPr>
        <w:t>גמרא</w:t>
      </w:r>
      <w:r w:rsidR="001355BB">
        <w:rPr>
          <w:lang w:bidi="he-IL"/>
        </w:rPr>
        <w:t xml:space="preserve"> answers that the requirement of </w:t>
      </w:r>
      <w:r w:rsidR="001355BB">
        <w:rPr>
          <w:rFonts w:hint="cs"/>
          <w:b/>
          <w:bCs/>
          <w:rtl/>
          <w:lang w:bidi="he-IL"/>
        </w:rPr>
        <w:t>זרעו מיוחס אחריו</w:t>
      </w:r>
      <w:r w:rsidR="001355BB">
        <w:rPr>
          <w:b/>
          <w:bCs/>
          <w:lang w:bidi="he-IL"/>
        </w:rPr>
        <w:t xml:space="preserve"> </w:t>
      </w:r>
      <w:r w:rsidR="001355BB">
        <w:rPr>
          <w:lang w:bidi="he-IL"/>
        </w:rPr>
        <w:t xml:space="preserve"> is a </w:t>
      </w:r>
      <w:r w:rsidR="001355BB">
        <w:rPr>
          <w:b/>
          <w:bCs/>
          <w:lang w:bidi="he-IL"/>
        </w:rPr>
        <w:t xml:space="preserve">rabbinical </w:t>
      </w:r>
      <w:r w:rsidR="001355BB" w:rsidRPr="00F65EE0">
        <w:rPr>
          <w:sz w:val="24"/>
          <w:szCs w:val="24"/>
          <w:lang w:bidi="he-IL"/>
        </w:rPr>
        <w:t xml:space="preserve">requirement; it is not a </w:t>
      </w:r>
      <w:r w:rsidR="001355BB" w:rsidRPr="00F65EE0">
        <w:rPr>
          <w:rFonts w:hint="cs"/>
          <w:sz w:val="24"/>
          <w:szCs w:val="24"/>
          <w:rtl/>
          <w:lang w:bidi="he-IL"/>
        </w:rPr>
        <w:t>תורה</w:t>
      </w:r>
      <w:r w:rsidR="001355BB" w:rsidRPr="00F65EE0">
        <w:rPr>
          <w:sz w:val="24"/>
          <w:szCs w:val="24"/>
          <w:lang w:bidi="he-IL"/>
        </w:rPr>
        <w:t xml:space="preserve"> requirement</w:t>
      </w:r>
      <w:r>
        <w:rPr>
          <w:sz w:val="24"/>
          <w:szCs w:val="24"/>
          <w:lang w:bidi="he-IL"/>
        </w:rPr>
        <w:t>, for</w:t>
      </w:r>
      <w:r w:rsidR="001355BB" w:rsidRPr="00F65EE0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-</w:t>
      </w:r>
    </w:p>
    <w:p w:rsidR="00542453" w:rsidRPr="004847DF" w:rsidRDefault="00A46BB3" w:rsidP="004847DF">
      <w:pPr>
        <w:bidi/>
        <w:spacing w:line="276" w:lineRule="auto"/>
        <w:jc w:val="both"/>
        <w:rPr>
          <w:b/>
          <w:bCs/>
          <w:lang w:bidi="he-IL"/>
        </w:rPr>
      </w:pPr>
      <w:r w:rsidRPr="004847DF">
        <w:rPr>
          <w:rFonts w:ascii="David" w:hAnsi="David" w:cs="David"/>
          <w:b/>
          <w:bCs/>
          <w:rtl/>
          <w:lang w:bidi="he-IL"/>
        </w:rPr>
        <w:t>קרא אסמכתא</w:t>
      </w:r>
      <w:r w:rsidR="00542453" w:rsidRPr="004847DF">
        <w:rPr>
          <w:rStyle w:val="FootnoteReference"/>
          <w:rFonts w:ascii="David" w:hAnsi="David" w:cs="David"/>
          <w:b/>
          <w:bCs/>
          <w:rtl/>
          <w:lang w:bidi="he-IL"/>
        </w:rPr>
        <w:footnoteReference w:id="2"/>
      </w:r>
      <w:r w:rsidRPr="004847DF">
        <w:rPr>
          <w:rFonts w:ascii="David" w:hAnsi="David" w:cs="David"/>
          <w:b/>
          <w:bCs/>
          <w:rtl/>
          <w:lang w:bidi="he-IL"/>
        </w:rPr>
        <w:t xml:space="preserve"> בעלמא הוא</w:t>
      </w:r>
      <w:r w:rsidR="00542453" w:rsidRPr="004847DF">
        <w:rPr>
          <w:rFonts w:ascii="David" w:hAnsi="David" w:cs="David"/>
          <w:b/>
          <w:bCs/>
          <w:rtl/>
          <w:lang w:bidi="he-IL"/>
        </w:rPr>
        <w:t xml:space="preserve"> וכי גזר רבנן בזנות בנשואין לא גזר</w:t>
      </w:r>
      <w:r w:rsidRPr="004847DF">
        <w:rPr>
          <w:rFonts w:ascii="David" w:hAnsi="David" w:cs="David"/>
          <w:b/>
          <w:bCs/>
          <w:lang w:bidi="he-IL"/>
        </w:rPr>
        <w:t xml:space="preserve"> </w:t>
      </w:r>
      <w:r w:rsidR="004847DF">
        <w:rPr>
          <w:rFonts w:ascii="David" w:hAnsi="David" w:cs="David"/>
          <w:b/>
          <w:bCs/>
          <w:lang w:bidi="he-IL"/>
        </w:rPr>
        <w:t>-</w:t>
      </w:r>
      <w:r w:rsidRPr="004847DF">
        <w:rPr>
          <w:b/>
          <w:bCs/>
          <w:lang w:bidi="he-IL"/>
        </w:rPr>
        <w:t xml:space="preserve"> </w:t>
      </w:r>
    </w:p>
    <w:p w:rsidR="00A46BB3" w:rsidRDefault="006E28D9" w:rsidP="0054245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</w:t>
      </w:r>
      <w:r w:rsidR="00A46BB3">
        <w:rPr>
          <w:b/>
          <w:bCs/>
          <w:lang w:bidi="he-IL"/>
        </w:rPr>
        <w:t xml:space="preserve">he </w:t>
      </w:r>
      <w:r w:rsidR="00A46BB3">
        <w:rPr>
          <w:rFonts w:hint="cs"/>
          <w:b/>
          <w:bCs/>
          <w:rtl/>
          <w:lang w:bidi="he-IL"/>
        </w:rPr>
        <w:t>פסוק</w:t>
      </w:r>
      <w:r w:rsidR="00A46BB3">
        <w:rPr>
          <w:b/>
          <w:bCs/>
          <w:lang w:bidi="he-IL"/>
        </w:rPr>
        <w:t xml:space="preserve"> is merely an </w:t>
      </w:r>
      <w:r w:rsidR="00A46BB3">
        <w:rPr>
          <w:rFonts w:hint="cs"/>
          <w:b/>
          <w:bCs/>
          <w:rtl/>
          <w:lang w:bidi="he-IL"/>
        </w:rPr>
        <w:t>אסמכתא</w:t>
      </w:r>
      <w:r w:rsidR="000939F6">
        <w:rPr>
          <w:b/>
          <w:bCs/>
          <w:lang w:bidi="he-IL"/>
        </w:rPr>
        <w:t>,</w:t>
      </w:r>
      <w:r w:rsidR="00A46BB3">
        <w:rPr>
          <w:b/>
          <w:bCs/>
          <w:lang w:bidi="he-IL"/>
        </w:rPr>
        <w:t xml:space="preserve"> and when did the </w:t>
      </w:r>
      <w:r w:rsidR="00A46BB3">
        <w:rPr>
          <w:rFonts w:hint="cs"/>
          <w:b/>
          <w:bCs/>
          <w:rtl/>
          <w:lang w:bidi="he-IL"/>
        </w:rPr>
        <w:t>רבנן</w:t>
      </w:r>
      <w:r w:rsidR="00A46BB3">
        <w:rPr>
          <w:b/>
          <w:bCs/>
          <w:lang w:bidi="he-IL"/>
        </w:rPr>
        <w:t xml:space="preserve"> decree </w:t>
      </w:r>
      <w:r w:rsidR="00A46BB3">
        <w:rPr>
          <w:lang w:bidi="he-IL"/>
        </w:rPr>
        <w:t xml:space="preserve">that the </w:t>
      </w:r>
      <w:r w:rsidR="00A46BB3">
        <w:rPr>
          <w:rFonts w:hint="cs"/>
          <w:rtl/>
          <w:lang w:bidi="he-IL"/>
        </w:rPr>
        <w:t>כהן</w:t>
      </w:r>
      <w:r w:rsidR="00A46BB3">
        <w:rPr>
          <w:lang w:bidi="he-IL"/>
        </w:rPr>
        <w:t xml:space="preserve"> must be </w:t>
      </w:r>
      <w:r w:rsidR="00A46BB3">
        <w:rPr>
          <w:rFonts w:hint="cs"/>
          <w:rtl/>
          <w:lang w:bidi="he-IL"/>
        </w:rPr>
        <w:t>מיוחס</w:t>
      </w:r>
      <w:r w:rsidR="00F9590D">
        <w:rPr>
          <w:lang w:bidi="he-IL"/>
        </w:rPr>
        <w:t>,</w:t>
      </w:r>
      <w:r w:rsidR="00A46BB3">
        <w:rPr>
          <w:lang w:bidi="he-IL"/>
        </w:rPr>
        <w:t xml:space="preserve"> only</w:t>
      </w:r>
      <w:r w:rsidR="0043080B">
        <w:rPr>
          <w:lang w:bidi="he-IL"/>
        </w:rPr>
        <w:t xml:space="preserve"> to exclude a child born out of </w:t>
      </w:r>
      <w:r w:rsidR="0043080B" w:rsidRPr="0043080B">
        <w:rPr>
          <w:b/>
          <w:bCs/>
          <w:lang w:bidi="he-IL"/>
        </w:rPr>
        <w:t>promiscuity</w:t>
      </w:r>
      <w:r w:rsidR="00A46BB3">
        <w:rPr>
          <w:b/>
          <w:bCs/>
          <w:lang w:bidi="he-IL"/>
        </w:rPr>
        <w:t xml:space="preserve">, </w:t>
      </w:r>
      <w:r w:rsidR="0043080B" w:rsidRPr="00542453">
        <w:rPr>
          <w:lang w:bidi="he-IL"/>
        </w:rPr>
        <w:t xml:space="preserve">however if the </w:t>
      </w:r>
      <w:r w:rsidR="00A46BB3" w:rsidRPr="00542453">
        <w:rPr>
          <w:lang w:bidi="he-IL"/>
        </w:rPr>
        <w:t>child</w:t>
      </w:r>
      <w:r w:rsidR="0043080B" w:rsidRPr="00542453">
        <w:rPr>
          <w:lang w:bidi="he-IL"/>
        </w:rPr>
        <w:t xml:space="preserve"> was born</w:t>
      </w:r>
      <w:r w:rsidR="005D04EA" w:rsidRPr="00542453">
        <w:rPr>
          <w:lang w:bidi="he-IL"/>
        </w:rPr>
        <w:t xml:space="preserve"> </w:t>
      </w:r>
      <w:r w:rsidR="005D04EA">
        <w:rPr>
          <w:b/>
          <w:bCs/>
          <w:lang w:bidi="he-IL"/>
        </w:rPr>
        <w:t xml:space="preserve">into </w:t>
      </w:r>
      <w:r w:rsidR="005D04EA">
        <w:rPr>
          <w:lang w:bidi="he-IL"/>
        </w:rPr>
        <w:t xml:space="preserve">a valid </w:t>
      </w:r>
      <w:r w:rsidR="0043080B">
        <w:rPr>
          <w:b/>
          <w:bCs/>
          <w:lang w:bidi="he-IL"/>
        </w:rPr>
        <w:t>marriage</w:t>
      </w:r>
      <w:r w:rsidR="00542453">
        <w:rPr>
          <w:b/>
          <w:bCs/>
          <w:lang w:bidi="he-IL"/>
        </w:rPr>
        <w:t>,</w:t>
      </w:r>
      <w:r w:rsidR="0043080B">
        <w:rPr>
          <w:b/>
          <w:bCs/>
          <w:lang w:bidi="he-IL"/>
        </w:rPr>
        <w:t xml:space="preserve"> they did not decree </w:t>
      </w:r>
      <w:r w:rsidR="0043080B" w:rsidRPr="00F65EE0">
        <w:rPr>
          <w:sz w:val="24"/>
          <w:szCs w:val="24"/>
          <w:lang w:bidi="he-IL"/>
        </w:rPr>
        <w:t xml:space="preserve">that it must be </w:t>
      </w:r>
      <w:r w:rsidR="0043080B" w:rsidRPr="00F65EE0">
        <w:rPr>
          <w:rFonts w:hint="cs"/>
          <w:sz w:val="24"/>
          <w:szCs w:val="24"/>
          <w:rtl/>
          <w:lang w:bidi="he-IL"/>
        </w:rPr>
        <w:t>זרעו מיוחס אחריו</w:t>
      </w:r>
      <w:r w:rsidR="0043080B" w:rsidRPr="00F65EE0">
        <w:rPr>
          <w:sz w:val="24"/>
          <w:szCs w:val="24"/>
          <w:lang w:bidi="he-IL"/>
        </w:rPr>
        <w:t xml:space="preserve">. Therefore by the case of </w:t>
      </w:r>
      <w:r w:rsidR="0043080B" w:rsidRPr="00F65EE0">
        <w:rPr>
          <w:rFonts w:hint="cs"/>
          <w:sz w:val="24"/>
          <w:szCs w:val="24"/>
          <w:rtl/>
          <w:lang w:bidi="he-IL"/>
        </w:rPr>
        <w:t>יבום</w:t>
      </w:r>
      <w:r w:rsidR="0043080B" w:rsidRPr="00F65EE0">
        <w:rPr>
          <w:sz w:val="24"/>
          <w:szCs w:val="24"/>
          <w:lang w:bidi="he-IL"/>
        </w:rPr>
        <w:t xml:space="preserve"> since there was no </w:t>
      </w:r>
      <w:r w:rsidR="0043080B" w:rsidRPr="00F65EE0">
        <w:rPr>
          <w:rFonts w:hint="cs"/>
          <w:sz w:val="24"/>
          <w:szCs w:val="24"/>
          <w:rtl/>
          <w:lang w:bidi="he-IL"/>
        </w:rPr>
        <w:t>זנות</w:t>
      </w:r>
      <w:r w:rsidR="0043080B" w:rsidRPr="00F65EE0">
        <w:rPr>
          <w:sz w:val="24"/>
          <w:szCs w:val="24"/>
          <w:lang w:bidi="he-IL"/>
        </w:rPr>
        <w:t xml:space="preserve">; it was a regular marriage (concerning the first born), therefore there is no requirement of </w:t>
      </w:r>
      <w:r w:rsidR="0043080B" w:rsidRPr="00F65EE0">
        <w:rPr>
          <w:rFonts w:hint="cs"/>
          <w:sz w:val="24"/>
          <w:szCs w:val="24"/>
          <w:rtl/>
          <w:lang w:bidi="he-IL"/>
        </w:rPr>
        <w:t>זרעו מיוחס אחריו</w:t>
      </w:r>
      <w:r w:rsidR="0043080B" w:rsidRPr="00F65EE0">
        <w:rPr>
          <w:sz w:val="24"/>
          <w:szCs w:val="24"/>
          <w:lang w:bidi="he-IL"/>
        </w:rPr>
        <w:t>.</w:t>
      </w:r>
    </w:p>
    <w:p w:rsidR="005D04EA" w:rsidRPr="000939F6" w:rsidRDefault="005D04EA" w:rsidP="00542453">
      <w:pPr>
        <w:spacing w:line="276" w:lineRule="auto"/>
        <w:jc w:val="both"/>
        <w:rPr>
          <w:sz w:val="18"/>
          <w:szCs w:val="18"/>
          <w:lang w:bidi="he-IL"/>
        </w:rPr>
      </w:pPr>
    </w:p>
    <w:p w:rsidR="005D04EA" w:rsidRPr="00542453" w:rsidRDefault="005D04EA" w:rsidP="00542453">
      <w:pPr>
        <w:spacing w:line="276" w:lineRule="auto"/>
        <w:jc w:val="both"/>
        <w:rPr>
          <w:rFonts w:ascii="Copperplate Gothic Bold" w:hAnsi="Copperplate Gothic Bold"/>
          <w:b/>
          <w:bCs/>
          <w:u w:val="double"/>
          <w:lang w:bidi="he-IL"/>
        </w:rPr>
      </w:pPr>
      <w:r w:rsidRPr="00542453">
        <w:rPr>
          <w:rFonts w:ascii="Copperplate Gothic Bold" w:hAnsi="Copperplate Gothic Bold"/>
          <w:u w:val="double"/>
          <w:lang w:bidi="he-IL"/>
        </w:rPr>
        <w:t>Summary</w:t>
      </w:r>
    </w:p>
    <w:p w:rsidR="005D04EA" w:rsidRDefault="005D04EA" w:rsidP="0054245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requirement of </w:t>
      </w:r>
      <w:r>
        <w:rPr>
          <w:rFonts w:hint="cs"/>
          <w:rtl/>
          <w:lang w:bidi="he-IL"/>
        </w:rPr>
        <w:t>זרעו מיוחס אחריו</w:t>
      </w:r>
      <w:r>
        <w:rPr>
          <w:lang w:bidi="he-IL"/>
        </w:rPr>
        <w:t xml:space="preserve"> </w:t>
      </w:r>
      <w:r w:rsidR="00296470">
        <w:rPr>
          <w:lang w:bidi="he-IL"/>
        </w:rPr>
        <w:t xml:space="preserve">disqualifies from </w:t>
      </w:r>
      <w:r w:rsidR="00296470">
        <w:rPr>
          <w:rFonts w:hint="cs"/>
          <w:rtl/>
          <w:lang w:bidi="he-IL"/>
        </w:rPr>
        <w:t>כהונה</w:t>
      </w:r>
      <w:r>
        <w:rPr>
          <w:lang w:bidi="he-IL"/>
        </w:rPr>
        <w:t xml:space="preserve"> </w:t>
      </w:r>
      <w:r w:rsidR="00DD79AD">
        <w:rPr>
          <w:lang w:bidi="he-IL"/>
        </w:rPr>
        <w:t xml:space="preserve">an </w:t>
      </w:r>
      <w:r>
        <w:rPr>
          <w:lang w:bidi="he-IL"/>
        </w:rPr>
        <w:t xml:space="preserve">offspring of a </w:t>
      </w:r>
      <w:r>
        <w:rPr>
          <w:rFonts w:hint="cs"/>
          <w:rtl/>
          <w:lang w:bidi="he-IL"/>
        </w:rPr>
        <w:t>זנות</w:t>
      </w:r>
      <w:r>
        <w:rPr>
          <w:lang w:bidi="he-IL"/>
        </w:rPr>
        <w:t xml:space="preserve"> relationship; not of a marriage relationship. </w:t>
      </w:r>
    </w:p>
    <w:p w:rsidR="003C699B" w:rsidRPr="000939F6" w:rsidRDefault="003C699B" w:rsidP="00542453">
      <w:pPr>
        <w:spacing w:line="276" w:lineRule="auto"/>
        <w:jc w:val="both"/>
        <w:rPr>
          <w:sz w:val="18"/>
          <w:szCs w:val="18"/>
          <w:lang w:bidi="he-IL"/>
        </w:rPr>
      </w:pPr>
    </w:p>
    <w:p w:rsidR="005D04EA" w:rsidRPr="00542453" w:rsidRDefault="005D04EA" w:rsidP="0054245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42453">
        <w:rPr>
          <w:rFonts w:ascii="Copperplate Gothic Bold" w:hAnsi="Copperplate Gothic Bold"/>
          <w:u w:val="double"/>
          <w:lang w:bidi="he-IL"/>
        </w:rPr>
        <w:t>Thinking it over</w:t>
      </w:r>
    </w:p>
    <w:p w:rsidR="005D04EA" w:rsidRPr="005D04EA" w:rsidRDefault="00EC2BFF" w:rsidP="0054245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Why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cite a question and answer that is </w:t>
      </w:r>
      <w:r>
        <w:rPr>
          <w:rFonts w:hint="cs"/>
          <w:rtl/>
          <w:lang w:bidi="he-IL"/>
        </w:rPr>
        <w:t>מפורש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>?!</w:t>
      </w:r>
      <w:r w:rsidR="00175DE3">
        <w:rPr>
          <w:rStyle w:val="FootnoteReference"/>
          <w:lang w:bidi="he-IL"/>
        </w:rPr>
        <w:footnoteReference w:id="3"/>
      </w:r>
    </w:p>
    <w:sectPr w:rsidR="005D04EA" w:rsidRPr="005D04EA" w:rsidSect="00CB2A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7E" w:rsidRDefault="00F80E7E">
      <w:r>
        <w:separator/>
      </w:r>
    </w:p>
  </w:endnote>
  <w:endnote w:type="continuationSeparator" w:id="0">
    <w:p w:rsidR="00F80E7E" w:rsidRDefault="00F8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DF" w:rsidRDefault="004847DF">
    <w:pPr>
      <w:pStyle w:val="Footer"/>
      <w:jc w:val="center"/>
      <w:rPr>
        <w:noProof/>
        <w:sz w:val="16"/>
        <w:szCs w:val="16"/>
      </w:rPr>
    </w:pPr>
    <w:r w:rsidRPr="004847DF">
      <w:rPr>
        <w:sz w:val="20"/>
        <w:szCs w:val="20"/>
      </w:rPr>
      <w:fldChar w:fldCharType="begin"/>
    </w:r>
    <w:r w:rsidRPr="004847DF">
      <w:rPr>
        <w:sz w:val="20"/>
        <w:szCs w:val="20"/>
      </w:rPr>
      <w:instrText xml:space="preserve"> PAGE   \* MERGEFORMAT </w:instrText>
    </w:r>
    <w:r w:rsidRPr="004847DF">
      <w:rPr>
        <w:sz w:val="20"/>
        <w:szCs w:val="20"/>
      </w:rPr>
      <w:fldChar w:fldCharType="separate"/>
    </w:r>
    <w:r w:rsidR="00011A4F">
      <w:rPr>
        <w:noProof/>
        <w:sz w:val="20"/>
        <w:szCs w:val="20"/>
      </w:rPr>
      <w:t>1</w:t>
    </w:r>
    <w:r w:rsidRPr="004847DF">
      <w:rPr>
        <w:noProof/>
        <w:sz w:val="20"/>
        <w:szCs w:val="20"/>
      </w:rPr>
      <w:fldChar w:fldCharType="end"/>
    </w:r>
  </w:p>
  <w:p w:rsidR="004847DF" w:rsidRPr="004847DF" w:rsidRDefault="004847DF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96470" w:rsidRPr="00130758" w:rsidRDefault="00296470" w:rsidP="0013075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7E" w:rsidRDefault="00F80E7E">
      <w:r>
        <w:separator/>
      </w:r>
    </w:p>
  </w:footnote>
  <w:footnote w:type="continuationSeparator" w:id="0">
    <w:p w:rsidR="00F80E7E" w:rsidRDefault="00F80E7E">
      <w:r>
        <w:continuationSeparator/>
      </w:r>
    </w:p>
  </w:footnote>
  <w:footnote w:id="1">
    <w:p w:rsidR="00542453" w:rsidRPr="00D94625" w:rsidRDefault="00542453" w:rsidP="00D94625">
      <w:pPr>
        <w:spacing w:line="276" w:lineRule="auto"/>
        <w:jc w:val="both"/>
        <w:rPr>
          <w:sz w:val="20"/>
          <w:szCs w:val="20"/>
          <w:lang w:bidi="he-IL"/>
        </w:rPr>
      </w:pPr>
      <w:r w:rsidRPr="00D94625">
        <w:rPr>
          <w:rStyle w:val="FootnoteReference"/>
          <w:sz w:val="20"/>
          <w:szCs w:val="20"/>
        </w:rPr>
        <w:footnoteRef/>
      </w:r>
      <w:r w:rsidRPr="00D94625">
        <w:rPr>
          <w:sz w:val="20"/>
          <w:szCs w:val="20"/>
        </w:rPr>
        <w:t xml:space="preserve"> The </w:t>
      </w:r>
      <w:r w:rsidRPr="00D94625">
        <w:rPr>
          <w:sz w:val="20"/>
          <w:szCs w:val="20"/>
          <w:lang w:bidi="he-IL"/>
        </w:rPr>
        <w:t xml:space="preserve">case </w:t>
      </w:r>
      <w:r w:rsidR="00D94625" w:rsidRPr="00D94625">
        <w:rPr>
          <w:sz w:val="20"/>
          <w:szCs w:val="20"/>
          <w:lang w:bidi="he-IL"/>
        </w:rPr>
        <w:t xml:space="preserve">there </w:t>
      </w:r>
      <w:r w:rsidRPr="00D94625">
        <w:rPr>
          <w:sz w:val="20"/>
          <w:szCs w:val="20"/>
          <w:lang w:bidi="he-IL"/>
        </w:rPr>
        <w:t xml:space="preserve">is of a </w:t>
      </w:r>
      <w:r w:rsidRPr="00D94625">
        <w:rPr>
          <w:rFonts w:hint="cs"/>
          <w:sz w:val="20"/>
          <w:szCs w:val="20"/>
          <w:rtl/>
          <w:lang w:bidi="he-IL"/>
        </w:rPr>
        <w:t>יבם</w:t>
      </w:r>
      <w:r w:rsidRPr="00D94625">
        <w:rPr>
          <w:sz w:val="20"/>
          <w:szCs w:val="20"/>
          <w:lang w:bidi="he-IL"/>
        </w:rPr>
        <w:t xml:space="preserve"> who was </w:t>
      </w:r>
      <w:r w:rsidRPr="00D94625">
        <w:rPr>
          <w:rFonts w:hint="cs"/>
          <w:sz w:val="20"/>
          <w:szCs w:val="20"/>
          <w:rtl/>
          <w:lang w:bidi="he-IL"/>
        </w:rPr>
        <w:t>מייבם</w:t>
      </w:r>
      <w:r w:rsidRPr="00D94625">
        <w:rPr>
          <w:sz w:val="20"/>
          <w:szCs w:val="20"/>
          <w:lang w:bidi="he-IL"/>
        </w:rPr>
        <w:t xml:space="preserve"> his </w:t>
      </w:r>
      <w:r w:rsidRPr="00D94625">
        <w:rPr>
          <w:rFonts w:hint="cs"/>
          <w:sz w:val="20"/>
          <w:szCs w:val="20"/>
          <w:rtl/>
          <w:lang w:bidi="he-IL"/>
        </w:rPr>
        <w:t>יבמה</w:t>
      </w:r>
      <w:r w:rsidRPr="00D94625">
        <w:rPr>
          <w:sz w:val="20"/>
          <w:szCs w:val="20"/>
          <w:lang w:bidi="he-IL"/>
        </w:rPr>
        <w:t xml:space="preserve"> within three months of his brother’s death. It is not clear at that point whether or not she was pregnant with her (original) husband’s child. The </w:t>
      </w:r>
      <w:r w:rsidRPr="00D94625">
        <w:rPr>
          <w:rFonts w:hint="cs"/>
          <w:sz w:val="20"/>
          <w:szCs w:val="20"/>
          <w:rtl/>
          <w:lang w:bidi="he-IL"/>
        </w:rPr>
        <w:t>יבמה</w:t>
      </w:r>
      <w:r w:rsidRPr="00D94625">
        <w:rPr>
          <w:sz w:val="20"/>
          <w:szCs w:val="20"/>
          <w:lang w:bidi="he-IL"/>
        </w:rPr>
        <w:t xml:space="preserve"> bore a child after seven months of </w:t>
      </w:r>
      <w:r w:rsidRPr="00D94625">
        <w:rPr>
          <w:rFonts w:hint="cs"/>
          <w:sz w:val="20"/>
          <w:szCs w:val="20"/>
          <w:rtl/>
          <w:lang w:bidi="he-IL"/>
        </w:rPr>
        <w:t>יבום</w:t>
      </w:r>
      <w:r w:rsidRPr="00D94625">
        <w:rPr>
          <w:sz w:val="20"/>
          <w:szCs w:val="20"/>
          <w:lang w:bidi="he-IL"/>
        </w:rPr>
        <w:t xml:space="preserve"> and within nine months of her husband’s death. It is not clear whether this is the husband’s child (a nine month pregnancy) or the s</w:t>
      </w:r>
      <w:r w:rsidRPr="00D94625">
        <w:rPr>
          <w:rFonts w:hint="cs"/>
          <w:sz w:val="20"/>
          <w:szCs w:val="20"/>
          <w:rtl/>
          <w:lang w:bidi="he-IL"/>
        </w:rPr>
        <w:t>יבם'</w:t>
      </w:r>
      <w:r w:rsidRPr="00D94625">
        <w:rPr>
          <w:sz w:val="20"/>
          <w:szCs w:val="20"/>
          <w:lang w:bidi="he-IL"/>
        </w:rPr>
        <w:t xml:space="preserve"> child (a seven month pregnancy). In either case the child is </w:t>
      </w:r>
      <w:r w:rsidRPr="00D94625">
        <w:rPr>
          <w:rFonts w:hint="cs"/>
          <w:sz w:val="20"/>
          <w:szCs w:val="20"/>
          <w:rtl/>
          <w:lang w:bidi="he-IL"/>
        </w:rPr>
        <w:t>ראוי</w:t>
      </w:r>
      <w:r w:rsidRPr="00D94625">
        <w:rPr>
          <w:sz w:val="20"/>
          <w:szCs w:val="20"/>
          <w:lang w:bidi="he-IL"/>
        </w:rPr>
        <w:t xml:space="preserve"> to be a </w:t>
      </w:r>
      <w:r w:rsidRPr="00D94625">
        <w:rPr>
          <w:rFonts w:hint="cs"/>
          <w:sz w:val="20"/>
          <w:szCs w:val="20"/>
          <w:rtl/>
          <w:lang w:bidi="he-IL"/>
        </w:rPr>
        <w:t>כה"ג</w:t>
      </w:r>
      <w:r w:rsidRPr="00D94625">
        <w:rPr>
          <w:sz w:val="20"/>
          <w:szCs w:val="20"/>
          <w:lang w:bidi="he-IL"/>
        </w:rPr>
        <w:t xml:space="preserve"> (if the brothers are </w:t>
      </w:r>
      <w:r w:rsidRPr="00D94625">
        <w:rPr>
          <w:rFonts w:hint="cs"/>
          <w:sz w:val="20"/>
          <w:szCs w:val="20"/>
          <w:rtl/>
          <w:lang w:bidi="he-IL"/>
        </w:rPr>
        <w:t>כהנים</w:t>
      </w:r>
      <w:r w:rsidRPr="00D94625">
        <w:rPr>
          <w:sz w:val="20"/>
          <w:szCs w:val="20"/>
          <w:lang w:bidi="he-IL"/>
        </w:rPr>
        <w:t xml:space="preserve">) for </w:t>
      </w:r>
      <w:r w:rsidRPr="00D94625">
        <w:rPr>
          <w:rFonts w:hint="cs"/>
          <w:sz w:val="20"/>
          <w:szCs w:val="20"/>
          <w:rtl/>
          <w:lang w:bidi="he-IL"/>
        </w:rPr>
        <w:t>ממה נפשך</w:t>
      </w:r>
      <w:r w:rsidRPr="00D94625">
        <w:rPr>
          <w:sz w:val="20"/>
          <w:szCs w:val="20"/>
          <w:lang w:bidi="he-IL"/>
        </w:rPr>
        <w:t xml:space="preserve"> the child is </w:t>
      </w:r>
      <w:r w:rsidRPr="00D94625">
        <w:rPr>
          <w:rFonts w:hint="cs"/>
          <w:sz w:val="20"/>
          <w:szCs w:val="20"/>
          <w:rtl/>
          <w:lang w:bidi="he-IL"/>
        </w:rPr>
        <w:t>כשר</w:t>
      </w:r>
      <w:r w:rsidRPr="00D94625">
        <w:rPr>
          <w:sz w:val="20"/>
          <w:szCs w:val="20"/>
          <w:lang w:bidi="he-IL"/>
        </w:rPr>
        <w:t xml:space="preserve">. [Any future children from the </w:t>
      </w:r>
      <w:r w:rsidRPr="00D94625">
        <w:rPr>
          <w:rFonts w:hint="cs"/>
          <w:sz w:val="20"/>
          <w:szCs w:val="20"/>
          <w:rtl/>
          <w:lang w:bidi="he-IL"/>
        </w:rPr>
        <w:t>יבם</w:t>
      </w:r>
      <w:r w:rsidRPr="00D94625">
        <w:rPr>
          <w:sz w:val="20"/>
          <w:szCs w:val="20"/>
          <w:lang w:bidi="he-IL"/>
        </w:rPr>
        <w:t xml:space="preserve"> however, are </w:t>
      </w:r>
      <w:r w:rsidRPr="00D94625">
        <w:rPr>
          <w:rFonts w:hint="cs"/>
          <w:sz w:val="20"/>
          <w:szCs w:val="20"/>
          <w:rtl/>
          <w:lang w:bidi="he-IL"/>
        </w:rPr>
        <w:t>ספק ממזרים</w:t>
      </w:r>
      <w:r w:rsidRPr="00D94625">
        <w:rPr>
          <w:sz w:val="20"/>
          <w:szCs w:val="20"/>
          <w:lang w:bidi="he-IL"/>
        </w:rPr>
        <w:t xml:space="preserve">. It is possible that this first child is a son of the deceased, and therefore she is </w:t>
      </w:r>
      <w:r w:rsidRPr="00D94625">
        <w:rPr>
          <w:rFonts w:hint="cs"/>
          <w:sz w:val="20"/>
          <w:szCs w:val="20"/>
          <w:rtl/>
          <w:lang w:bidi="he-IL"/>
        </w:rPr>
        <w:t>אסורה</w:t>
      </w:r>
      <w:r w:rsidRPr="00D94625">
        <w:rPr>
          <w:sz w:val="20"/>
          <w:szCs w:val="20"/>
          <w:lang w:bidi="he-IL"/>
        </w:rPr>
        <w:t xml:space="preserve"> </w:t>
      </w:r>
      <w:r w:rsidR="00D94625" w:rsidRPr="00D94625">
        <w:rPr>
          <w:sz w:val="20"/>
          <w:szCs w:val="20"/>
          <w:lang w:bidi="he-IL"/>
        </w:rPr>
        <w:t>to</w:t>
      </w:r>
      <w:r w:rsidRPr="00D94625">
        <w:rPr>
          <w:sz w:val="20"/>
          <w:szCs w:val="20"/>
          <w:lang w:bidi="he-IL"/>
        </w:rPr>
        <w:t xml:space="preserve"> the </w:t>
      </w:r>
      <w:r w:rsidRPr="00D94625">
        <w:rPr>
          <w:rFonts w:hint="cs"/>
          <w:sz w:val="20"/>
          <w:szCs w:val="20"/>
          <w:rtl/>
          <w:lang w:bidi="he-IL"/>
        </w:rPr>
        <w:t>יבם</w:t>
      </w:r>
      <w:r w:rsidRPr="00D94625">
        <w:rPr>
          <w:sz w:val="20"/>
          <w:szCs w:val="20"/>
          <w:lang w:bidi="he-IL"/>
        </w:rPr>
        <w:t xml:space="preserve"> as an </w:t>
      </w:r>
      <w:r w:rsidRPr="00D94625">
        <w:rPr>
          <w:rFonts w:hint="cs"/>
          <w:sz w:val="20"/>
          <w:szCs w:val="20"/>
          <w:rtl/>
          <w:lang w:bidi="he-IL"/>
        </w:rPr>
        <w:t>אשת אחיו שלא במקום יבום</w:t>
      </w:r>
      <w:r w:rsidRPr="00D94625">
        <w:rPr>
          <w:sz w:val="20"/>
          <w:szCs w:val="20"/>
          <w:lang w:bidi="he-IL"/>
        </w:rPr>
        <w:t xml:space="preserve">, and any future children are </w:t>
      </w:r>
      <w:r w:rsidRPr="00D94625">
        <w:rPr>
          <w:rFonts w:hint="cs"/>
          <w:sz w:val="20"/>
          <w:szCs w:val="20"/>
          <w:rtl/>
          <w:lang w:bidi="he-IL"/>
        </w:rPr>
        <w:t>ממזרים</w:t>
      </w:r>
      <w:r w:rsidRPr="00D94625">
        <w:rPr>
          <w:sz w:val="20"/>
          <w:szCs w:val="20"/>
          <w:lang w:bidi="he-IL"/>
        </w:rPr>
        <w:t>.].</w:t>
      </w:r>
      <w:r w:rsidR="00D94625" w:rsidRPr="00D94625">
        <w:rPr>
          <w:sz w:val="20"/>
          <w:szCs w:val="20"/>
          <w:lang w:bidi="he-IL"/>
        </w:rPr>
        <w:t xml:space="preserve"> In that case the lineage of the child is in doubt; we do not know who his father is. Nevertheless the </w:t>
      </w:r>
      <w:r w:rsidR="00D94625" w:rsidRPr="00D94625">
        <w:rPr>
          <w:rFonts w:hint="cs"/>
          <w:sz w:val="20"/>
          <w:szCs w:val="20"/>
          <w:rtl/>
          <w:lang w:bidi="he-IL"/>
        </w:rPr>
        <w:t>ברייתא</w:t>
      </w:r>
      <w:r w:rsidR="00D94625" w:rsidRPr="00D94625">
        <w:rPr>
          <w:sz w:val="20"/>
          <w:szCs w:val="20"/>
          <w:lang w:bidi="he-IL"/>
        </w:rPr>
        <w:t xml:space="preserve"> states that he is </w:t>
      </w:r>
      <w:r w:rsidR="00D94625" w:rsidRPr="00D94625">
        <w:rPr>
          <w:rFonts w:hint="cs"/>
          <w:sz w:val="20"/>
          <w:szCs w:val="20"/>
          <w:rtl/>
          <w:lang w:bidi="he-IL"/>
        </w:rPr>
        <w:t>ראוי</w:t>
      </w:r>
      <w:r w:rsidR="00D94625" w:rsidRPr="00D94625">
        <w:rPr>
          <w:sz w:val="20"/>
          <w:szCs w:val="20"/>
          <w:lang w:bidi="he-IL"/>
        </w:rPr>
        <w:t xml:space="preserve"> to be a </w:t>
      </w:r>
      <w:r w:rsidR="00D94625" w:rsidRPr="00D94625">
        <w:rPr>
          <w:rFonts w:hint="cs"/>
          <w:sz w:val="20"/>
          <w:szCs w:val="20"/>
          <w:rtl/>
          <w:lang w:bidi="he-IL"/>
        </w:rPr>
        <w:t>כה"ג</w:t>
      </w:r>
      <w:r w:rsidR="00D94625" w:rsidRPr="00D94625">
        <w:rPr>
          <w:sz w:val="20"/>
          <w:szCs w:val="20"/>
          <w:lang w:bidi="he-IL"/>
        </w:rPr>
        <w:t xml:space="preserve">. This contradicts the </w:t>
      </w:r>
      <w:r w:rsidR="00D94625" w:rsidRPr="00D94625">
        <w:rPr>
          <w:rFonts w:hint="cs"/>
          <w:sz w:val="20"/>
          <w:szCs w:val="20"/>
          <w:rtl/>
          <w:lang w:bidi="he-IL"/>
        </w:rPr>
        <w:t>גמרא</w:t>
      </w:r>
      <w:r w:rsidR="00D94625" w:rsidRPr="00D94625">
        <w:rPr>
          <w:sz w:val="20"/>
          <w:szCs w:val="20"/>
          <w:lang w:bidi="he-IL"/>
        </w:rPr>
        <w:t xml:space="preserve"> here.</w:t>
      </w:r>
    </w:p>
  </w:footnote>
  <w:footnote w:id="2">
    <w:p w:rsidR="00542453" w:rsidRDefault="00542453" w:rsidP="0054245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אסמכתא</w:t>
      </w:r>
      <w:r>
        <w:rPr>
          <w:lang w:bidi="he-IL"/>
        </w:rPr>
        <w:t xml:space="preserve"> means a support.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occasionally used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as a support for their </w:t>
      </w:r>
      <w:r>
        <w:rPr>
          <w:rFonts w:hint="cs"/>
          <w:rtl/>
          <w:lang w:bidi="he-IL"/>
        </w:rPr>
        <w:t>גזירה</w:t>
      </w:r>
      <w:r>
        <w:rPr>
          <w:lang w:bidi="he-IL"/>
        </w:rPr>
        <w:t>.</w:t>
      </w:r>
    </w:p>
  </w:footnote>
  <w:footnote w:id="3">
    <w:p w:rsidR="00296470" w:rsidRDefault="00296470" w:rsidP="0054245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ח"ב מ"ת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470" w:rsidRPr="00130758" w:rsidRDefault="00296470" w:rsidP="00130758">
    <w:pPr>
      <w:pStyle w:val="Header"/>
      <w:jc w:val="right"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בעינן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758"/>
    <w:rsid w:val="00011A4F"/>
    <w:rsid w:val="000939F6"/>
    <w:rsid w:val="00130758"/>
    <w:rsid w:val="001355BB"/>
    <w:rsid w:val="00175DE3"/>
    <w:rsid w:val="00184D2E"/>
    <w:rsid w:val="0020216B"/>
    <w:rsid w:val="00210A1E"/>
    <w:rsid w:val="00296470"/>
    <w:rsid w:val="002E311D"/>
    <w:rsid w:val="002E6395"/>
    <w:rsid w:val="003C699B"/>
    <w:rsid w:val="003F6705"/>
    <w:rsid w:val="0043080B"/>
    <w:rsid w:val="004847DF"/>
    <w:rsid w:val="00542453"/>
    <w:rsid w:val="00561C13"/>
    <w:rsid w:val="005D04EA"/>
    <w:rsid w:val="006E28D9"/>
    <w:rsid w:val="007552E7"/>
    <w:rsid w:val="00757D14"/>
    <w:rsid w:val="00870F03"/>
    <w:rsid w:val="0089054C"/>
    <w:rsid w:val="00970E84"/>
    <w:rsid w:val="009C128B"/>
    <w:rsid w:val="00A46BB3"/>
    <w:rsid w:val="00A648C8"/>
    <w:rsid w:val="00AA2891"/>
    <w:rsid w:val="00B26675"/>
    <w:rsid w:val="00BB6DB9"/>
    <w:rsid w:val="00C26E5B"/>
    <w:rsid w:val="00CB2ACE"/>
    <w:rsid w:val="00D54370"/>
    <w:rsid w:val="00D80DE2"/>
    <w:rsid w:val="00D94625"/>
    <w:rsid w:val="00DB23DC"/>
    <w:rsid w:val="00DD79AD"/>
    <w:rsid w:val="00EC2BFF"/>
    <w:rsid w:val="00F65EE0"/>
    <w:rsid w:val="00F80E7E"/>
    <w:rsid w:val="00F9590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3FFCD9-4694-40A6-A1BD-74E3B98C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307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075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2891"/>
    <w:rPr>
      <w:sz w:val="20"/>
      <w:szCs w:val="20"/>
    </w:rPr>
  </w:style>
  <w:style w:type="character" w:styleId="FootnoteReference">
    <w:name w:val="footnote reference"/>
    <w:semiHidden/>
    <w:rsid w:val="00AA2891"/>
    <w:rPr>
      <w:vertAlign w:val="superscript"/>
    </w:rPr>
  </w:style>
  <w:style w:type="paragraph" w:styleId="BalloonText">
    <w:name w:val="Balloon Text"/>
    <w:basedOn w:val="Normal"/>
    <w:semiHidden/>
    <w:rsid w:val="00870F03"/>
    <w:rPr>
      <w:rFonts w:ascii="Tahoma" w:hAnsi="Tahoma"/>
      <w:sz w:val="16"/>
      <w:szCs w:val="16"/>
    </w:rPr>
  </w:style>
  <w:style w:type="character" w:customStyle="1" w:styleId="FooterChar">
    <w:name w:val="Footer Char"/>
    <w:link w:val="Footer"/>
    <w:uiPriority w:val="99"/>
    <w:rsid w:val="004847DF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בעינן זרעו מיוחס אחריו – it is required that his seed be delineated after him</vt:lpstr>
    </vt:vector>
  </TitlesOfParts>
  <Company> 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בעינן זרעו מיוחס אחריו – it is required that his seed be delineated after him</dc:title>
  <dc:subject/>
  <dc:creator> </dc:creator>
  <cp:keywords/>
  <dc:description/>
  <cp:lastModifiedBy>Microsoft account</cp:lastModifiedBy>
  <cp:revision>2</cp:revision>
  <cp:lastPrinted>2016-05-05T13:19:00Z</cp:lastPrinted>
  <dcterms:created xsi:type="dcterms:W3CDTF">2022-04-05T10:47:00Z</dcterms:created>
  <dcterms:modified xsi:type="dcterms:W3CDTF">2022-04-05T10:47:00Z</dcterms:modified>
</cp:coreProperties>
</file>