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D3" w:rsidRPr="009C55D3" w:rsidRDefault="009C55D3" w:rsidP="00391C6A">
      <w:pPr>
        <w:bidi/>
        <w:rPr>
          <w:b/>
          <w:bCs/>
          <w:sz w:val="32"/>
          <w:szCs w:val="32"/>
          <w:lang w:bidi="he-IL"/>
        </w:rPr>
      </w:pPr>
      <w:r w:rsidRPr="009C55D3">
        <w:rPr>
          <w:rFonts w:hint="cs"/>
          <w:b/>
          <w:bCs/>
          <w:sz w:val="36"/>
          <w:szCs w:val="36"/>
          <w:rtl/>
          <w:lang w:bidi="he-IL"/>
        </w:rPr>
        <w:t>חדא</w:t>
      </w:r>
      <w:r w:rsidRPr="009C55D3">
        <w:rPr>
          <w:rFonts w:hint="cs"/>
          <w:b/>
          <w:bCs/>
          <w:sz w:val="32"/>
          <w:szCs w:val="32"/>
          <w:rtl/>
          <w:lang w:bidi="he-IL"/>
        </w:rPr>
        <w:t xml:space="preserve"> דקא מודה -                    </w:t>
      </w:r>
      <w:r>
        <w:rPr>
          <w:b/>
          <w:bCs/>
          <w:sz w:val="32"/>
          <w:szCs w:val="32"/>
          <w:lang w:bidi="he-IL"/>
        </w:rPr>
        <w:t xml:space="preserve">        </w:t>
      </w:r>
      <w:r w:rsidR="00391C6A">
        <w:rPr>
          <w:b/>
          <w:bCs/>
          <w:sz w:val="32"/>
          <w:szCs w:val="32"/>
          <w:lang w:bidi="he-IL"/>
        </w:rPr>
        <w:t xml:space="preserve">     </w:t>
      </w:r>
      <w:r w:rsidR="00391C6A">
        <w:rPr>
          <w:b/>
          <w:bCs/>
          <w:sz w:val="16"/>
          <w:szCs w:val="16"/>
          <w:lang w:bidi="he-IL"/>
        </w:rPr>
        <w:t xml:space="preserve">  </w:t>
      </w:r>
      <w:r w:rsidRPr="009C55D3">
        <w:rPr>
          <w:rFonts w:hint="cs"/>
          <w:b/>
          <w:bCs/>
          <w:sz w:val="32"/>
          <w:szCs w:val="32"/>
          <w:rtl/>
          <w:lang w:bidi="he-IL"/>
        </w:rPr>
        <w:t xml:space="preserve">                          </w:t>
      </w:r>
      <w:r w:rsidRPr="009C55D3">
        <w:rPr>
          <w:b/>
          <w:bCs/>
          <w:sz w:val="32"/>
          <w:szCs w:val="32"/>
          <w:lang w:bidi="he-IL"/>
        </w:rPr>
        <w:t>Firstly he admitted</w:t>
      </w:r>
    </w:p>
    <w:p w:rsidR="009C55D3" w:rsidRPr="009C55D3" w:rsidRDefault="009C55D3" w:rsidP="009C55D3">
      <w:pPr>
        <w:rPr>
          <w:b/>
          <w:bCs/>
          <w:sz w:val="24"/>
          <w:szCs w:val="24"/>
          <w:lang w:bidi="he-IL"/>
        </w:rPr>
      </w:pPr>
    </w:p>
    <w:p w:rsidR="009C55D3" w:rsidRPr="009C55D3" w:rsidRDefault="009C55D3" w:rsidP="009C55D3">
      <w:pPr>
        <w:rPr>
          <w:rFonts w:ascii="Copperplate Gothic Bold" w:hAnsi="Copperplate Gothic Bold"/>
          <w:sz w:val="28"/>
          <w:szCs w:val="28"/>
          <w:lang w:bidi="he-IL"/>
        </w:rPr>
      </w:pPr>
      <w:r w:rsidRPr="009C55D3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  <w:r w:rsidRPr="009C55D3">
        <w:rPr>
          <w:rFonts w:ascii="Copperplate Gothic Bold" w:hAnsi="Copperplate Gothic Bold"/>
          <w:sz w:val="28"/>
          <w:szCs w:val="28"/>
          <w:vertAlign w:val="superscript"/>
          <w:lang w:bidi="he-IL"/>
        </w:rPr>
        <w:footnoteReference w:id="1"/>
      </w:r>
    </w:p>
    <w:p w:rsidR="009C55D3" w:rsidRPr="009C55D3" w:rsidRDefault="009C55D3" w:rsidP="009C55D3">
      <w:pPr>
        <w:rPr>
          <w:sz w:val="28"/>
          <w:szCs w:val="28"/>
          <w:lang w:bidi="he-IL"/>
        </w:rPr>
      </w:pPr>
      <w:r w:rsidRPr="009C55D3">
        <w:rPr>
          <w:rFonts w:hint="cs"/>
          <w:sz w:val="28"/>
          <w:szCs w:val="28"/>
          <w:rtl/>
          <w:lang w:bidi="he-IL"/>
        </w:rPr>
        <w:t>רב יוסף</w:t>
      </w:r>
      <w:r w:rsidRPr="009C55D3">
        <w:rPr>
          <w:sz w:val="28"/>
          <w:szCs w:val="28"/>
          <w:lang w:bidi="he-IL"/>
        </w:rPr>
        <w:t xml:space="preserve"> maintains that the </w:t>
      </w:r>
      <w:r w:rsidRPr="009C55D3">
        <w:rPr>
          <w:rFonts w:hint="cs"/>
          <w:sz w:val="28"/>
          <w:szCs w:val="28"/>
          <w:rtl/>
          <w:lang w:bidi="he-IL"/>
        </w:rPr>
        <w:t>ולד</w:t>
      </w:r>
      <w:r w:rsidRPr="009C55D3">
        <w:rPr>
          <w:sz w:val="28"/>
          <w:szCs w:val="28"/>
          <w:lang w:bidi="he-IL"/>
        </w:rPr>
        <w:t xml:space="preserve"> of the </w:t>
      </w:r>
      <w:r w:rsidRPr="009C55D3">
        <w:rPr>
          <w:rFonts w:hint="cs"/>
          <w:sz w:val="28"/>
          <w:szCs w:val="28"/>
          <w:rtl/>
          <w:lang w:bidi="he-IL"/>
        </w:rPr>
        <w:t>ארוסה</w:t>
      </w:r>
      <w:r w:rsidRPr="009C55D3">
        <w:rPr>
          <w:sz w:val="28"/>
          <w:szCs w:val="28"/>
          <w:lang w:bidi="he-IL"/>
        </w:rPr>
        <w:t xml:space="preserve"> is </w:t>
      </w:r>
      <w:r w:rsidRPr="009C55D3">
        <w:rPr>
          <w:rFonts w:hint="cs"/>
          <w:sz w:val="28"/>
          <w:szCs w:val="28"/>
          <w:rtl/>
          <w:lang w:bidi="he-IL"/>
        </w:rPr>
        <w:t>כשר</w:t>
      </w:r>
      <w:r w:rsidRPr="009C55D3">
        <w:rPr>
          <w:sz w:val="28"/>
          <w:szCs w:val="28"/>
          <w:lang w:bidi="he-IL"/>
        </w:rPr>
        <w:t xml:space="preserve"> if he is </w:t>
      </w:r>
      <w:r w:rsidRPr="009C55D3">
        <w:rPr>
          <w:rFonts w:hint="cs"/>
          <w:sz w:val="28"/>
          <w:szCs w:val="28"/>
          <w:rtl/>
          <w:lang w:bidi="he-IL"/>
        </w:rPr>
        <w:t>מודה</w:t>
      </w:r>
      <w:r w:rsidRPr="009C55D3">
        <w:rPr>
          <w:sz w:val="28"/>
          <w:szCs w:val="28"/>
          <w:lang w:bidi="he-IL"/>
        </w:rPr>
        <w:t xml:space="preserve"> that they had relations. This </w:t>
      </w:r>
      <w:r w:rsidRPr="009C55D3">
        <w:rPr>
          <w:rFonts w:hint="cs"/>
          <w:sz w:val="28"/>
          <w:szCs w:val="28"/>
          <w:rtl/>
          <w:lang w:bidi="he-IL"/>
        </w:rPr>
        <w:t>תוספות</w:t>
      </w:r>
      <w:r w:rsidRPr="009C55D3">
        <w:rPr>
          <w:sz w:val="28"/>
          <w:szCs w:val="28"/>
          <w:lang w:bidi="he-IL"/>
        </w:rPr>
        <w:t xml:space="preserve"> reconciles our </w:t>
      </w:r>
      <w:r w:rsidRPr="009C55D3">
        <w:rPr>
          <w:rFonts w:hint="cs"/>
          <w:sz w:val="28"/>
          <w:szCs w:val="28"/>
          <w:rtl/>
          <w:lang w:bidi="he-IL"/>
        </w:rPr>
        <w:t>גמרא</w:t>
      </w:r>
      <w:r w:rsidRPr="009C55D3">
        <w:rPr>
          <w:sz w:val="28"/>
          <w:szCs w:val="28"/>
          <w:lang w:bidi="he-IL"/>
        </w:rPr>
        <w:t xml:space="preserve"> with the </w:t>
      </w:r>
      <w:r w:rsidRPr="009C55D3">
        <w:rPr>
          <w:rFonts w:hint="cs"/>
          <w:sz w:val="28"/>
          <w:szCs w:val="28"/>
          <w:rtl/>
          <w:lang w:bidi="he-IL"/>
        </w:rPr>
        <w:t>סוגיא</w:t>
      </w:r>
      <w:r w:rsidRPr="009C55D3">
        <w:rPr>
          <w:sz w:val="28"/>
          <w:szCs w:val="28"/>
          <w:lang w:bidi="he-IL"/>
        </w:rPr>
        <w:t xml:space="preserve"> in </w:t>
      </w:r>
      <w:r w:rsidRPr="009C55D3">
        <w:rPr>
          <w:rFonts w:hint="cs"/>
          <w:sz w:val="28"/>
          <w:szCs w:val="28"/>
          <w:rtl/>
          <w:lang w:bidi="he-IL"/>
        </w:rPr>
        <w:t>יבמות</w:t>
      </w:r>
      <w:r w:rsidRPr="009C55D3">
        <w:rPr>
          <w:sz w:val="28"/>
          <w:szCs w:val="28"/>
          <w:lang w:bidi="he-IL"/>
        </w:rPr>
        <w:t xml:space="preserve">. </w:t>
      </w:r>
    </w:p>
    <w:p w:rsidR="009C55D3" w:rsidRPr="009C55D3" w:rsidRDefault="009C55D3" w:rsidP="009C55D3">
      <w:pPr>
        <w:jc w:val="center"/>
        <w:rPr>
          <w:sz w:val="24"/>
          <w:szCs w:val="24"/>
          <w:lang w:bidi="he-IL"/>
        </w:rPr>
      </w:pPr>
      <w:r w:rsidRPr="009C55D3">
        <w:rPr>
          <w:sz w:val="24"/>
          <w:szCs w:val="24"/>
          <w:lang w:bidi="he-IL"/>
        </w:rPr>
        <w:t>------------------------</w:t>
      </w:r>
    </w:p>
    <w:p w:rsidR="009C55D3" w:rsidRPr="009C55D3" w:rsidRDefault="009C55D3" w:rsidP="00803B54">
      <w:pPr>
        <w:bidi/>
        <w:rPr>
          <w:b/>
          <w:bCs/>
          <w:sz w:val="28"/>
          <w:szCs w:val="28"/>
          <w:lang w:bidi="he-IL"/>
        </w:rPr>
      </w:pPr>
      <w:r w:rsidRPr="009C55D3">
        <w:rPr>
          <w:rFonts w:ascii="David" w:hAnsi="David" w:cs="David"/>
          <w:b/>
          <w:bCs/>
          <w:sz w:val="28"/>
          <w:szCs w:val="28"/>
          <w:rtl/>
          <w:lang w:bidi="he-IL"/>
        </w:rPr>
        <w:t>וללישנא קמא דיבמות</w:t>
      </w:r>
      <w:r w:rsidRPr="009C55D3"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  <w:r w:rsidR="00803B54">
        <w:rPr>
          <w:rFonts w:ascii="David" w:hAnsi="David" w:cs="David"/>
          <w:b/>
          <w:bCs/>
          <w:sz w:val="28"/>
          <w:szCs w:val="28"/>
          <w:lang w:bidi="he-IL"/>
        </w:rPr>
        <w:t>-</w:t>
      </w:r>
      <w:r w:rsidRPr="009C55D3">
        <w:rPr>
          <w:b/>
          <w:bCs/>
          <w:sz w:val="28"/>
          <w:szCs w:val="28"/>
          <w:lang w:bidi="he-IL"/>
        </w:rPr>
        <w:t xml:space="preserve"> </w:t>
      </w:r>
    </w:p>
    <w:p w:rsidR="009C55D3" w:rsidRPr="009C55D3" w:rsidRDefault="009C55D3" w:rsidP="009C55D3">
      <w:pPr>
        <w:rPr>
          <w:sz w:val="24"/>
          <w:szCs w:val="24"/>
          <w:lang w:bidi="he-IL"/>
        </w:rPr>
      </w:pPr>
      <w:r w:rsidRPr="009C55D3">
        <w:rPr>
          <w:b/>
          <w:bCs/>
          <w:sz w:val="28"/>
          <w:szCs w:val="28"/>
          <w:lang w:bidi="he-IL"/>
        </w:rPr>
        <w:t xml:space="preserve">And according to the first opinion in </w:t>
      </w:r>
      <w:r w:rsidRPr="009C55D3">
        <w:rPr>
          <w:rFonts w:hint="cs"/>
          <w:sz w:val="28"/>
          <w:szCs w:val="28"/>
          <w:rtl/>
          <w:lang w:bidi="he-IL"/>
        </w:rPr>
        <w:t xml:space="preserve">מסכת </w:t>
      </w:r>
      <w:r w:rsidRPr="009C55D3">
        <w:rPr>
          <w:rFonts w:hint="cs"/>
          <w:b/>
          <w:bCs/>
          <w:sz w:val="28"/>
          <w:szCs w:val="28"/>
          <w:rtl/>
          <w:lang w:bidi="he-IL"/>
        </w:rPr>
        <w:t>יבמות</w:t>
      </w:r>
      <w:r w:rsidRPr="009C55D3">
        <w:rPr>
          <w:b/>
          <w:bCs/>
          <w:sz w:val="28"/>
          <w:szCs w:val="28"/>
          <w:lang w:bidi="he-IL"/>
        </w:rPr>
        <w:t xml:space="preserve">; </w:t>
      </w:r>
      <w:r w:rsidRPr="009C55D3">
        <w:rPr>
          <w:sz w:val="24"/>
          <w:szCs w:val="24"/>
          <w:lang w:bidi="he-IL"/>
        </w:rPr>
        <w:t xml:space="preserve">which maintains that the </w:t>
      </w:r>
      <w:r w:rsidRPr="009C55D3">
        <w:rPr>
          <w:rFonts w:hint="cs"/>
          <w:sz w:val="24"/>
          <w:szCs w:val="24"/>
          <w:rtl/>
          <w:lang w:bidi="he-IL"/>
        </w:rPr>
        <w:t>מחלוקת</w:t>
      </w:r>
      <w:r w:rsidRPr="009C55D3">
        <w:rPr>
          <w:sz w:val="24"/>
          <w:szCs w:val="24"/>
          <w:lang w:bidi="he-IL"/>
        </w:rPr>
        <w:t xml:space="preserve"> between </w:t>
      </w:r>
      <w:r w:rsidRPr="009C55D3">
        <w:rPr>
          <w:rFonts w:hint="cs"/>
          <w:sz w:val="24"/>
          <w:szCs w:val="24"/>
          <w:rtl/>
          <w:lang w:bidi="he-IL"/>
        </w:rPr>
        <w:t>רב ושמאול</w:t>
      </w:r>
      <w:r w:rsidRPr="009C55D3">
        <w:rPr>
          <w:sz w:val="24"/>
          <w:szCs w:val="24"/>
          <w:lang w:bidi="he-IL"/>
        </w:rPr>
        <w:t xml:space="preserve"> is in a case of </w:t>
      </w:r>
      <w:r w:rsidRPr="009C55D3">
        <w:rPr>
          <w:rFonts w:hint="cs"/>
          <w:sz w:val="24"/>
          <w:szCs w:val="24"/>
          <w:rtl/>
          <w:lang w:bidi="he-IL"/>
        </w:rPr>
        <w:t>הבא על ארוסתו</w:t>
      </w:r>
      <w:r w:rsidRPr="009C55D3">
        <w:rPr>
          <w:sz w:val="24"/>
          <w:szCs w:val="24"/>
          <w:lang w:bidi="he-IL"/>
        </w:rPr>
        <w:t xml:space="preserve">; it is known that the </w:t>
      </w:r>
      <w:r w:rsidRPr="009C55D3">
        <w:rPr>
          <w:rFonts w:hint="cs"/>
          <w:sz w:val="24"/>
          <w:szCs w:val="24"/>
          <w:rtl/>
          <w:lang w:bidi="he-IL"/>
        </w:rPr>
        <w:t>ארוס וארוסה</w:t>
      </w:r>
      <w:r w:rsidRPr="009C55D3">
        <w:rPr>
          <w:sz w:val="24"/>
          <w:szCs w:val="24"/>
          <w:lang w:bidi="he-IL"/>
        </w:rPr>
        <w:t xml:space="preserve"> had a relation</w:t>
      </w:r>
      <w:r w:rsidR="00962F8C">
        <w:rPr>
          <w:sz w:val="24"/>
          <w:szCs w:val="24"/>
          <w:lang w:bidi="he-IL"/>
        </w:rPr>
        <w:t>ship</w:t>
      </w:r>
      <w:r w:rsidRPr="009C55D3">
        <w:rPr>
          <w:sz w:val="24"/>
          <w:szCs w:val="24"/>
          <w:lang w:bidi="he-IL"/>
        </w:rPr>
        <w:t xml:space="preserve">; where </w:t>
      </w:r>
      <w:r w:rsidRPr="009C55D3">
        <w:rPr>
          <w:rFonts w:hint="cs"/>
          <w:sz w:val="24"/>
          <w:szCs w:val="24"/>
          <w:rtl/>
          <w:lang w:bidi="he-IL"/>
        </w:rPr>
        <w:t>רב</w:t>
      </w:r>
      <w:r w:rsidRPr="009C55D3">
        <w:rPr>
          <w:sz w:val="24"/>
          <w:szCs w:val="24"/>
          <w:lang w:bidi="he-IL"/>
        </w:rPr>
        <w:t xml:space="preserve"> maintains </w:t>
      </w:r>
      <w:r w:rsidRPr="009C55D3">
        <w:rPr>
          <w:rFonts w:hint="cs"/>
          <w:sz w:val="24"/>
          <w:szCs w:val="24"/>
          <w:rtl/>
          <w:lang w:bidi="he-IL"/>
        </w:rPr>
        <w:t>הולד ממזר</w:t>
      </w:r>
      <w:r w:rsidRPr="009C55D3">
        <w:rPr>
          <w:sz w:val="24"/>
          <w:szCs w:val="24"/>
          <w:lang w:bidi="he-IL"/>
        </w:rPr>
        <w:t xml:space="preserve"> and </w:t>
      </w:r>
      <w:r w:rsidRPr="009C55D3">
        <w:rPr>
          <w:rFonts w:hint="cs"/>
          <w:sz w:val="24"/>
          <w:szCs w:val="24"/>
          <w:rtl/>
          <w:lang w:bidi="he-IL"/>
        </w:rPr>
        <w:t>שמואל</w:t>
      </w:r>
      <w:r w:rsidRPr="009C55D3">
        <w:rPr>
          <w:sz w:val="24"/>
          <w:szCs w:val="24"/>
          <w:lang w:bidi="he-IL"/>
        </w:rPr>
        <w:t xml:space="preserve"> maintains </w:t>
      </w:r>
      <w:r w:rsidRPr="009C55D3">
        <w:rPr>
          <w:rFonts w:hint="cs"/>
          <w:sz w:val="24"/>
          <w:szCs w:val="24"/>
          <w:rtl/>
          <w:lang w:bidi="he-IL"/>
        </w:rPr>
        <w:t>הולד שתוקי</w:t>
      </w:r>
      <w:r w:rsidRPr="009C55D3">
        <w:rPr>
          <w:sz w:val="24"/>
          <w:szCs w:val="24"/>
          <w:lang w:bidi="he-IL"/>
        </w:rPr>
        <w:t xml:space="preserve">. It is difficult therefore to understand why </w:t>
      </w:r>
      <w:r w:rsidRPr="009C55D3">
        <w:rPr>
          <w:rFonts w:hint="cs"/>
          <w:sz w:val="24"/>
          <w:szCs w:val="24"/>
          <w:rtl/>
          <w:lang w:bidi="he-IL"/>
        </w:rPr>
        <w:t>רב יוסף</w:t>
      </w:r>
      <w:r w:rsidRPr="009C55D3">
        <w:rPr>
          <w:sz w:val="24"/>
          <w:szCs w:val="24"/>
          <w:lang w:bidi="he-IL"/>
        </w:rPr>
        <w:t xml:space="preserve"> maintains that since the </w:t>
      </w:r>
      <w:r w:rsidRPr="009C55D3">
        <w:rPr>
          <w:rFonts w:hint="cs"/>
          <w:sz w:val="24"/>
          <w:szCs w:val="24"/>
          <w:rtl/>
          <w:lang w:bidi="he-IL"/>
        </w:rPr>
        <w:t>ארוס</w:t>
      </w:r>
      <w:r w:rsidRPr="009C55D3">
        <w:rPr>
          <w:sz w:val="24"/>
          <w:szCs w:val="24"/>
          <w:lang w:bidi="he-IL"/>
        </w:rPr>
        <w:t xml:space="preserve"> was </w:t>
      </w:r>
      <w:r w:rsidRPr="009C55D3">
        <w:rPr>
          <w:rFonts w:hint="cs"/>
          <w:sz w:val="24"/>
          <w:szCs w:val="24"/>
          <w:rtl/>
          <w:lang w:bidi="he-IL"/>
        </w:rPr>
        <w:t>מודה</w:t>
      </w:r>
      <w:r w:rsidRPr="009C55D3">
        <w:rPr>
          <w:sz w:val="24"/>
          <w:szCs w:val="24"/>
          <w:lang w:bidi="he-IL"/>
        </w:rPr>
        <w:t xml:space="preserve"> (which is seemingly the same as </w:t>
      </w:r>
      <w:r w:rsidRPr="009C55D3">
        <w:rPr>
          <w:rFonts w:hint="cs"/>
          <w:sz w:val="24"/>
          <w:szCs w:val="24"/>
          <w:rtl/>
          <w:lang w:bidi="he-IL"/>
        </w:rPr>
        <w:t>הבא על ארוסתו</w:t>
      </w:r>
      <w:r w:rsidRPr="009C55D3">
        <w:rPr>
          <w:sz w:val="24"/>
          <w:szCs w:val="24"/>
          <w:lang w:bidi="he-IL"/>
        </w:rPr>
        <w:t xml:space="preserve">), therefore the </w:t>
      </w:r>
      <w:r w:rsidRPr="009C55D3">
        <w:rPr>
          <w:rFonts w:hint="cs"/>
          <w:sz w:val="24"/>
          <w:szCs w:val="24"/>
          <w:rtl/>
          <w:lang w:bidi="he-IL"/>
        </w:rPr>
        <w:t>ולד</w:t>
      </w:r>
      <w:r w:rsidRPr="009C55D3">
        <w:rPr>
          <w:sz w:val="24"/>
          <w:szCs w:val="24"/>
          <w:lang w:bidi="he-IL"/>
        </w:rPr>
        <w:t xml:space="preserve"> is </w:t>
      </w:r>
      <w:r w:rsidRPr="009C55D3">
        <w:rPr>
          <w:rFonts w:hint="cs"/>
          <w:sz w:val="24"/>
          <w:szCs w:val="24"/>
          <w:rtl/>
          <w:lang w:bidi="he-IL"/>
        </w:rPr>
        <w:t>כשר</w:t>
      </w:r>
      <w:r w:rsidRPr="009C55D3">
        <w:rPr>
          <w:sz w:val="24"/>
          <w:szCs w:val="24"/>
          <w:lang w:bidi="he-IL"/>
        </w:rPr>
        <w:t>.</w:t>
      </w:r>
      <w:r w:rsidRPr="009C55D3">
        <w:rPr>
          <w:sz w:val="24"/>
          <w:szCs w:val="24"/>
          <w:vertAlign w:val="superscript"/>
          <w:rtl/>
          <w:lang w:bidi="he-IL"/>
        </w:rPr>
        <w:t xml:space="preserve"> </w:t>
      </w:r>
      <w:r w:rsidRPr="009C55D3">
        <w:rPr>
          <w:sz w:val="24"/>
          <w:szCs w:val="24"/>
          <w:vertAlign w:val="superscript"/>
          <w:rtl/>
          <w:lang w:bidi="he-IL"/>
        </w:rPr>
        <w:footnoteReference w:id="2"/>
      </w:r>
      <w:r w:rsidRPr="009C55D3">
        <w:rPr>
          <w:sz w:val="28"/>
          <w:szCs w:val="28"/>
        </w:rPr>
        <w:t xml:space="preserve"> </w:t>
      </w:r>
      <w:r w:rsidRPr="009C55D3">
        <w:rPr>
          <w:rFonts w:hint="cs"/>
          <w:sz w:val="24"/>
          <w:szCs w:val="24"/>
          <w:rtl/>
          <w:lang w:bidi="he-IL"/>
        </w:rPr>
        <w:t>תוספות</w:t>
      </w:r>
      <w:r w:rsidRPr="009C55D3">
        <w:rPr>
          <w:sz w:val="24"/>
          <w:szCs w:val="24"/>
          <w:lang w:bidi="he-IL"/>
        </w:rPr>
        <w:t xml:space="preserve"> explains that our </w:t>
      </w:r>
      <w:r w:rsidRPr="009C55D3">
        <w:rPr>
          <w:rFonts w:hint="cs"/>
          <w:sz w:val="24"/>
          <w:szCs w:val="24"/>
          <w:rtl/>
          <w:lang w:bidi="he-IL"/>
        </w:rPr>
        <w:t>סוגיא</w:t>
      </w:r>
      <w:r w:rsidRPr="009C55D3">
        <w:rPr>
          <w:sz w:val="24"/>
          <w:szCs w:val="24"/>
          <w:lang w:bidi="he-IL"/>
        </w:rPr>
        <w:t xml:space="preserve"> is discussing a case -</w:t>
      </w:r>
    </w:p>
    <w:p w:rsidR="009C55D3" w:rsidRPr="009C55D3" w:rsidRDefault="009C55D3" w:rsidP="00803B54">
      <w:pPr>
        <w:bidi/>
        <w:rPr>
          <w:b/>
          <w:bCs/>
          <w:sz w:val="28"/>
          <w:szCs w:val="28"/>
          <w:lang w:bidi="he-IL"/>
        </w:rPr>
      </w:pPr>
      <w:r w:rsidRPr="009C55D3">
        <w:rPr>
          <w:rFonts w:ascii="David" w:hAnsi="David" w:cs="David"/>
          <w:b/>
          <w:bCs/>
          <w:sz w:val="28"/>
          <w:szCs w:val="28"/>
          <w:rtl/>
          <w:lang w:bidi="he-IL"/>
        </w:rPr>
        <w:t>דלא דיימא מעלמא</w:t>
      </w:r>
      <w:r w:rsidRPr="009C55D3"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  <w:r w:rsidR="00803B54">
        <w:rPr>
          <w:rFonts w:ascii="David" w:hAnsi="David" w:cs="David"/>
          <w:b/>
          <w:bCs/>
          <w:sz w:val="28"/>
          <w:szCs w:val="28"/>
          <w:lang w:bidi="he-IL"/>
        </w:rPr>
        <w:t>-</w:t>
      </w:r>
      <w:r w:rsidRPr="009C55D3">
        <w:rPr>
          <w:b/>
          <w:bCs/>
          <w:sz w:val="28"/>
          <w:szCs w:val="28"/>
          <w:lang w:bidi="he-IL"/>
        </w:rPr>
        <w:t xml:space="preserve"> </w:t>
      </w:r>
    </w:p>
    <w:p w:rsidR="009C55D3" w:rsidRPr="009C55D3" w:rsidRDefault="009C55D3" w:rsidP="009C55D3">
      <w:pPr>
        <w:rPr>
          <w:sz w:val="24"/>
          <w:szCs w:val="24"/>
          <w:lang w:bidi="he-IL"/>
        </w:rPr>
      </w:pPr>
      <w:proofErr w:type="gramStart"/>
      <w:r w:rsidRPr="009C55D3">
        <w:rPr>
          <w:b/>
          <w:bCs/>
          <w:sz w:val="28"/>
          <w:szCs w:val="28"/>
          <w:lang w:bidi="he-IL"/>
        </w:rPr>
        <w:t>where</w:t>
      </w:r>
      <w:proofErr w:type="gramEnd"/>
      <w:r w:rsidRPr="009C55D3">
        <w:rPr>
          <w:b/>
          <w:bCs/>
          <w:sz w:val="28"/>
          <w:szCs w:val="28"/>
          <w:lang w:bidi="he-IL"/>
        </w:rPr>
        <w:t xml:space="preserve"> she is not generally promiscuous.</w:t>
      </w:r>
      <w:r w:rsidRPr="009C55D3">
        <w:rPr>
          <w:sz w:val="28"/>
          <w:szCs w:val="28"/>
          <w:lang w:bidi="he-IL"/>
        </w:rPr>
        <w:t xml:space="preserve"> </w:t>
      </w:r>
      <w:r w:rsidRPr="009C55D3">
        <w:rPr>
          <w:sz w:val="24"/>
          <w:szCs w:val="24"/>
          <w:lang w:bidi="he-IL"/>
        </w:rPr>
        <w:t xml:space="preserve">This will explain why </w:t>
      </w:r>
      <w:r w:rsidRPr="009C55D3">
        <w:rPr>
          <w:rFonts w:hint="cs"/>
          <w:sz w:val="24"/>
          <w:szCs w:val="24"/>
          <w:rtl/>
          <w:lang w:bidi="he-IL"/>
        </w:rPr>
        <w:t>רב ושמואל</w:t>
      </w:r>
      <w:r w:rsidRPr="009C55D3">
        <w:rPr>
          <w:sz w:val="24"/>
          <w:szCs w:val="24"/>
          <w:lang w:bidi="he-IL"/>
        </w:rPr>
        <w:t xml:space="preserve"> who maintain there (where she is </w:t>
      </w:r>
      <w:r w:rsidRPr="009C55D3">
        <w:rPr>
          <w:rFonts w:hint="cs"/>
          <w:sz w:val="24"/>
          <w:szCs w:val="24"/>
          <w:rtl/>
          <w:lang w:bidi="he-IL"/>
        </w:rPr>
        <w:t>דיימא מעלמא</w:t>
      </w:r>
      <w:r w:rsidRPr="009C55D3">
        <w:rPr>
          <w:sz w:val="24"/>
          <w:szCs w:val="24"/>
          <w:vertAlign w:val="superscript"/>
          <w:rtl/>
          <w:lang w:bidi="he-IL"/>
        </w:rPr>
        <w:footnoteReference w:id="3"/>
      </w:r>
      <w:r w:rsidRPr="009C55D3">
        <w:rPr>
          <w:sz w:val="24"/>
          <w:szCs w:val="24"/>
          <w:lang w:bidi="he-IL"/>
        </w:rPr>
        <w:t xml:space="preserve">), that the child is either a </w:t>
      </w:r>
      <w:r w:rsidRPr="009C55D3">
        <w:rPr>
          <w:rFonts w:hint="cs"/>
          <w:sz w:val="24"/>
          <w:szCs w:val="24"/>
          <w:rtl/>
          <w:lang w:bidi="he-IL"/>
        </w:rPr>
        <w:t>ממזר</w:t>
      </w:r>
      <w:r w:rsidRPr="009C55D3">
        <w:rPr>
          <w:sz w:val="24"/>
          <w:szCs w:val="24"/>
          <w:lang w:bidi="he-IL"/>
        </w:rPr>
        <w:t xml:space="preserve"> or a </w:t>
      </w:r>
      <w:r w:rsidRPr="009C55D3">
        <w:rPr>
          <w:rFonts w:hint="cs"/>
          <w:sz w:val="24"/>
          <w:szCs w:val="24"/>
          <w:rtl/>
          <w:lang w:bidi="he-IL"/>
        </w:rPr>
        <w:t>שתוקי</w:t>
      </w:r>
      <w:r w:rsidRPr="009C55D3">
        <w:rPr>
          <w:sz w:val="24"/>
          <w:szCs w:val="24"/>
          <w:lang w:bidi="he-IL"/>
        </w:rPr>
        <w:t xml:space="preserve">, can agree that here the child is </w:t>
      </w:r>
      <w:r w:rsidRPr="009C55D3">
        <w:rPr>
          <w:rFonts w:hint="cs"/>
          <w:sz w:val="24"/>
          <w:szCs w:val="24"/>
          <w:rtl/>
          <w:lang w:bidi="he-IL"/>
        </w:rPr>
        <w:t>כשר</w:t>
      </w:r>
      <w:r w:rsidRPr="009C55D3">
        <w:rPr>
          <w:sz w:val="24"/>
          <w:szCs w:val="24"/>
          <w:lang w:bidi="he-IL"/>
        </w:rPr>
        <w:t xml:space="preserve">, since we are discussing a case of </w:t>
      </w:r>
      <w:r w:rsidRPr="009C55D3">
        <w:rPr>
          <w:rFonts w:hint="cs"/>
          <w:sz w:val="24"/>
          <w:szCs w:val="24"/>
          <w:rtl/>
          <w:lang w:bidi="he-IL"/>
        </w:rPr>
        <w:t>לא דיימא מעלמא</w:t>
      </w:r>
      <w:r w:rsidRPr="009C55D3">
        <w:rPr>
          <w:sz w:val="24"/>
          <w:szCs w:val="24"/>
          <w:lang w:bidi="he-IL"/>
        </w:rPr>
        <w:t>.</w:t>
      </w:r>
    </w:p>
    <w:p w:rsidR="009C55D3" w:rsidRPr="009C55D3" w:rsidRDefault="009C55D3" w:rsidP="00803B54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9C55D3">
        <w:rPr>
          <w:rFonts w:ascii="David" w:hAnsi="David" w:cs="David"/>
          <w:b/>
          <w:bCs/>
          <w:sz w:val="28"/>
          <w:szCs w:val="28"/>
          <w:rtl/>
          <w:lang w:bidi="he-IL"/>
        </w:rPr>
        <w:t>ולאיכא דאמרי</w:t>
      </w:r>
      <w:r w:rsidRPr="009C55D3"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  <w:r w:rsidR="00803B54">
        <w:rPr>
          <w:rFonts w:ascii="David" w:hAnsi="David" w:cs="David"/>
          <w:b/>
          <w:bCs/>
          <w:sz w:val="28"/>
          <w:szCs w:val="28"/>
          <w:lang w:bidi="he-IL"/>
        </w:rPr>
        <w:t>-</w:t>
      </w:r>
      <w:r w:rsidRPr="009C55D3"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</w:p>
    <w:p w:rsidR="009C55D3" w:rsidRPr="009C55D3" w:rsidRDefault="009C55D3" w:rsidP="009C55D3">
      <w:pPr>
        <w:rPr>
          <w:sz w:val="24"/>
          <w:szCs w:val="24"/>
          <w:lang w:bidi="he-IL"/>
        </w:rPr>
      </w:pPr>
      <w:r w:rsidRPr="009C55D3">
        <w:rPr>
          <w:b/>
          <w:bCs/>
          <w:sz w:val="28"/>
          <w:szCs w:val="28"/>
          <w:lang w:bidi="he-IL"/>
        </w:rPr>
        <w:t xml:space="preserve">And according to the alternate opinion </w:t>
      </w:r>
      <w:r w:rsidRPr="009C55D3">
        <w:rPr>
          <w:sz w:val="24"/>
          <w:szCs w:val="24"/>
          <w:lang w:bidi="he-IL"/>
        </w:rPr>
        <w:t xml:space="preserve">in </w:t>
      </w:r>
      <w:r w:rsidRPr="009C55D3">
        <w:rPr>
          <w:rFonts w:hint="cs"/>
          <w:sz w:val="24"/>
          <w:szCs w:val="24"/>
          <w:rtl/>
          <w:lang w:bidi="he-IL"/>
        </w:rPr>
        <w:t>יבמות</w:t>
      </w:r>
      <w:r w:rsidRPr="009C55D3">
        <w:rPr>
          <w:sz w:val="24"/>
          <w:szCs w:val="24"/>
          <w:lang w:bidi="he-IL"/>
        </w:rPr>
        <w:t xml:space="preserve"> which maintains that the </w:t>
      </w:r>
      <w:r w:rsidRPr="009C55D3">
        <w:rPr>
          <w:rFonts w:hint="cs"/>
          <w:sz w:val="24"/>
          <w:szCs w:val="24"/>
          <w:rtl/>
          <w:lang w:bidi="he-IL"/>
        </w:rPr>
        <w:t>מחלוקת</w:t>
      </w:r>
      <w:r w:rsidRPr="009C55D3">
        <w:rPr>
          <w:sz w:val="24"/>
          <w:szCs w:val="24"/>
          <w:lang w:bidi="he-IL"/>
        </w:rPr>
        <w:t xml:space="preserve"> between </w:t>
      </w:r>
      <w:r w:rsidRPr="009C55D3">
        <w:rPr>
          <w:rFonts w:hint="cs"/>
          <w:sz w:val="24"/>
          <w:szCs w:val="24"/>
          <w:rtl/>
          <w:lang w:bidi="he-IL"/>
        </w:rPr>
        <w:t>רב ושמואל</w:t>
      </w:r>
      <w:r w:rsidRPr="009C55D3">
        <w:rPr>
          <w:sz w:val="24"/>
          <w:szCs w:val="24"/>
          <w:lang w:bidi="he-IL"/>
        </w:rPr>
        <w:t xml:space="preserve"> is in a case of </w:t>
      </w:r>
      <w:r w:rsidRPr="009C55D3">
        <w:rPr>
          <w:rFonts w:hint="cs"/>
          <w:sz w:val="24"/>
          <w:szCs w:val="24"/>
          <w:rtl/>
          <w:lang w:bidi="he-IL"/>
        </w:rPr>
        <w:t>ארוסה שנתעברה</w:t>
      </w:r>
      <w:r w:rsidRPr="009C55D3">
        <w:rPr>
          <w:sz w:val="24"/>
          <w:szCs w:val="24"/>
          <w:lang w:bidi="he-IL"/>
        </w:rPr>
        <w:t xml:space="preserve"> (where we do not know that the </w:t>
      </w:r>
      <w:r w:rsidRPr="009C55D3">
        <w:rPr>
          <w:rFonts w:hint="cs"/>
          <w:sz w:val="24"/>
          <w:szCs w:val="24"/>
          <w:rtl/>
          <w:lang w:bidi="he-IL"/>
        </w:rPr>
        <w:t>ארוס וארוסה</w:t>
      </w:r>
      <w:r w:rsidRPr="009C55D3">
        <w:rPr>
          <w:sz w:val="24"/>
          <w:szCs w:val="24"/>
          <w:lang w:bidi="he-IL"/>
        </w:rPr>
        <w:t xml:space="preserve"> had relations), then we can say that our case is -</w:t>
      </w:r>
    </w:p>
    <w:p w:rsidR="009C55D3" w:rsidRPr="009C55D3" w:rsidRDefault="009C55D3" w:rsidP="00803B54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9C55D3">
        <w:rPr>
          <w:rFonts w:ascii="David" w:hAnsi="David" w:cs="David"/>
          <w:b/>
          <w:bCs/>
          <w:sz w:val="28"/>
          <w:szCs w:val="28"/>
          <w:rtl/>
          <w:lang w:bidi="he-IL"/>
        </w:rPr>
        <w:t>דאפילו דיימא מעלמא כיון דקא מודה בתריה דידיה שדינן ליה</w:t>
      </w:r>
      <w:r w:rsidRPr="009C55D3"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  <w:r w:rsidR="00803B54">
        <w:rPr>
          <w:rFonts w:ascii="David" w:hAnsi="David" w:cs="David"/>
          <w:b/>
          <w:bCs/>
          <w:sz w:val="28"/>
          <w:szCs w:val="28"/>
          <w:lang w:bidi="he-IL"/>
        </w:rPr>
        <w:t>-</w:t>
      </w:r>
      <w:r w:rsidRPr="009C55D3"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</w:p>
    <w:p w:rsidR="009C55D3" w:rsidRPr="009C55D3" w:rsidRDefault="009C55D3" w:rsidP="009C55D3">
      <w:pPr>
        <w:rPr>
          <w:spacing w:val="-2"/>
          <w:sz w:val="24"/>
          <w:szCs w:val="24"/>
          <w:lang w:bidi="he-IL"/>
        </w:rPr>
      </w:pPr>
      <w:r w:rsidRPr="009C55D3">
        <w:rPr>
          <w:b/>
          <w:bCs/>
          <w:sz w:val="28"/>
          <w:szCs w:val="28"/>
          <w:lang w:bidi="he-IL"/>
        </w:rPr>
        <w:t xml:space="preserve">even when </w:t>
      </w:r>
      <w:r w:rsidRPr="009C55D3">
        <w:rPr>
          <w:sz w:val="28"/>
          <w:szCs w:val="28"/>
          <w:lang w:bidi="he-IL"/>
        </w:rPr>
        <w:t xml:space="preserve">the </w:t>
      </w:r>
      <w:r w:rsidRPr="009C55D3">
        <w:rPr>
          <w:rFonts w:hint="cs"/>
          <w:sz w:val="28"/>
          <w:szCs w:val="28"/>
          <w:rtl/>
          <w:lang w:bidi="he-IL"/>
        </w:rPr>
        <w:t>ארוסה</w:t>
      </w:r>
      <w:r w:rsidRPr="009C55D3">
        <w:rPr>
          <w:sz w:val="28"/>
          <w:szCs w:val="28"/>
          <w:lang w:bidi="he-IL"/>
        </w:rPr>
        <w:t xml:space="preserve"> is </w:t>
      </w:r>
      <w:r w:rsidRPr="009C55D3">
        <w:rPr>
          <w:rFonts w:hint="cs"/>
          <w:b/>
          <w:bCs/>
          <w:sz w:val="28"/>
          <w:szCs w:val="28"/>
          <w:rtl/>
          <w:lang w:bidi="he-IL"/>
        </w:rPr>
        <w:t>דיימא מעלמא</w:t>
      </w:r>
      <w:r w:rsidRPr="009C55D3">
        <w:rPr>
          <w:b/>
          <w:bCs/>
          <w:sz w:val="28"/>
          <w:szCs w:val="28"/>
          <w:lang w:bidi="he-IL"/>
        </w:rPr>
        <w:t xml:space="preserve">, since </w:t>
      </w:r>
      <w:r w:rsidRPr="009C55D3">
        <w:rPr>
          <w:sz w:val="28"/>
          <w:szCs w:val="28"/>
        </w:rPr>
        <w:t xml:space="preserve">in our case the </w:t>
      </w:r>
      <w:r w:rsidRPr="009C55D3">
        <w:rPr>
          <w:rFonts w:hint="cs"/>
          <w:sz w:val="28"/>
          <w:szCs w:val="28"/>
          <w:rtl/>
          <w:lang w:bidi="he-IL"/>
        </w:rPr>
        <w:t>ארוס</w:t>
      </w:r>
      <w:r w:rsidRPr="009C55D3">
        <w:rPr>
          <w:sz w:val="28"/>
          <w:szCs w:val="28"/>
          <w:lang w:bidi="he-IL"/>
        </w:rPr>
        <w:t xml:space="preserve"> </w:t>
      </w:r>
      <w:r w:rsidRPr="009C55D3">
        <w:rPr>
          <w:b/>
          <w:bCs/>
          <w:sz w:val="28"/>
          <w:szCs w:val="28"/>
          <w:lang w:bidi="he-IL"/>
        </w:rPr>
        <w:t xml:space="preserve">admits </w:t>
      </w:r>
      <w:r w:rsidRPr="009C55D3">
        <w:rPr>
          <w:sz w:val="28"/>
          <w:szCs w:val="28"/>
          <w:lang w:bidi="he-IL"/>
        </w:rPr>
        <w:t xml:space="preserve">to having (continuous) relations with the </w:t>
      </w:r>
      <w:r w:rsidRPr="009C55D3">
        <w:rPr>
          <w:rFonts w:hint="cs"/>
          <w:sz w:val="28"/>
          <w:szCs w:val="28"/>
          <w:rtl/>
          <w:lang w:bidi="he-IL"/>
        </w:rPr>
        <w:t>ארוסה</w:t>
      </w:r>
      <w:r w:rsidR="00803B54">
        <w:rPr>
          <w:sz w:val="28"/>
          <w:szCs w:val="28"/>
          <w:lang w:bidi="he-IL"/>
        </w:rPr>
        <w:t>,</w:t>
      </w:r>
      <w:r w:rsidRPr="009C55D3">
        <w:rPr>
          <w:sz w:val="28"/>
          <w:szCs w:val="28"/>
          <w:lang w:bidi="he-IL"/>
        </w:rPr>
        <w:t xml:space="preserve"> </w:t>
      </w:r>
      <w:r w:rsidRPr="009C55D3">
        <w:rPr>
          <w:b/>
          <w:bCs/>
          <w:sz w:val="28"/>
          <w:szCs w:val="28"/>
          <w:lang w:bidi="he-IL"/>
        </w:rPr>
        <w:t xml:space="preserve">we ‘cast’ </w:t>
      </w:r>
      <w:r w:rsidRPr="009C55D3">
        <w:rPr>
          <w:sz w:val="28"/>
          <w:szCs w:val="28"/>
          <w:lang w:bidi="he-IL"/>
        </w:rPr>
        <w:t xml:space="preserve">the child </w:t>
      </w:r>
      <w:r w:rsidRPr="009C55D3">
        <w:rPr>
          <w:b/>
          <w:bCs/>
          <w:sz w:val="28"/>
          <w:szCs w:val="28"/>
          <w:lang w:bidi="he-IL"/>
        </w:rPr>
        <w:t xml:space="preserve">after </w:t>
      </w:r>
      <w:r w:rsidRPr="009C55D3">
        <w:rPr>
          <w:sz w:val="24"/>
          <w:szCs w:val="24"/>
          <w:lang w:bidi="he-IL"/>
        </w:rPr>
        <w:t xml:space="preserve">the </w:t>
      </w:r>
      <w:r w:rsidRPr="009C55D3">
        <w:rPr>
          <w:rFonts w:hint="cs"/>
          <w:sz w:val="24"/>
          <w:szCs w:val="24"/>
          <w:rtl/>
          <w:lang w:bidi="he-IL"/>
        </w:rPr>
        <w:t>ארוס</w:t>
      </w:r>
      <w:r w:rsidRPr="009C55D3">
        <w:rPr>
          <w:sz w:val="24"/>
          <w:szCs w:val="24"/>
          <w:lang w:bidi="he-IL"/>
        </w:rPr>
        <w:t xml:space="preserve">; we assume that it is his child, since he was </w:t>
      </w:r>
      <w:r w:rsidRPr="009C55D3">
        <w:rPr>
          <w:rFonts w:hint="cs"/>
          <w:sz w:val="24"/>
          <w:szCs w:val="24"/>
          <w:rtl/>
          <w:lang w:bidi="he-IL"/>
        </w:rPr>
        <w:t>מודה</w:t>
      </w:r>
      <w:r w:rsidRPr="009C55D3">
        <w:rPr>
          <w:sz w:val="24"/>
          <w:szCs w:val="24"/>
          <w:lang w:bidi="he-IL"/>
        </w:rPr>
        <w:t xml:space="preserve">; as opposed to the </w:t>
      </w:r>
      <w:r w:rsidRPr="009C55D3">
        <w:rPr>
          <w:rFonts w:hint="cs"/>
          <w:sz w:val="24"/>
          <w:szCs w:val="24"/>
          <w:rtl/>
          <w:lang w:bidi="he-IL"/>
        </w:rPr>
        <w:t>גמרא</w:t>
      </w:r>
      <w:r w:rsidRPr="009C55D3">
        <w:rPr>
          <w:sz w:val="24"/>
          <w:szCs w:val="24"/>
          <w:lang w:bidi="he-IL"/>
        </w:rPr>
        <w:t xml:space="preserve"> in </w:t>
      </w:r>
      <w:r w:rsidRPr="009C55D3">
        <w:rPr>
          <w:rFonts w:hint="cs"/>
          <w:sz w:val="24"/>
          <w:szCs w:val="24"/>
          <w:rtl/>
          <w:lang w:bidi="he-IL"/>
        </w:rPr>
        <w:t>יבמות</w:t>
      </w:r>
      <w:r w:rsidRPr="009C55D3">
        <w:rPr>
          <w:sz w:val="24"/>
          <w:szCs w:val="24"/>
          <w:lang w:bidi="he-IL"/>
        </w:rPr>
        <w:t xml:space="preserve"> where we do not know </w:t>
      </w:r>
      <w:r w:rsidRPr="009C55D3">
        <w:rPr>
          <w:spacing w:val="-2"/>
          <w:sz w:val="24"/>
          <w:szCs w:val="24"/>
          <w:lang w:bidi="he-IL"/>
        </w:rPr>
        <w:t xml:space="preserve">whether they had relations, therefore </w:t>
      </w:r>
      <w:r w:rsidRPr="009C55D3">
        <w:rPr>
          <w:rFonts w:hint="cs"/>
          <w:spacing w:val="-2"/>
          <w:sz w:val="24"/>
          <w:szCs w:val="24"/>
          <w:rtl/>
          <w:lang w:bidi="he-IL"/>
        </w:rPr>
        <w:t>רב ושמואל</w:t>
      </w:r>
      <w:r w:rsidRPr="009C55D3">
        <w:rPr>
          <w:spacing w:val="-2"/>
          <w:sz w:val="24"/>
          <w:szCs w:val="24"/>
          <w:lang w:bidi="he-IL"/>
        </w:rPr>
        <w:t xml:space="preserve"> maintain that the child is a </w:t>
      </w:r>
      <w:r w:rsidRPr="009C55D3">
        <w:rPr>
          <w:rFonts w:hint="cs"/>
          <w:spacing w:val="-2"/>
          <w:sz w:val="24"/>
          <w:szCs w:val="24"/>
          <w:rtl/>
          <w:lang w:bidi="he-IL"/>
        </w:rPr>
        <w:t>ממזר ושתוקי</w:t>
      </w:r>
      <w:r w:rsidRPr="009C55D3">
        <w:rPr>
          <w:spacing w:val="-2"/>
          <w:sz w:val="24"/>
          <w:szCs w:val="24"/>
          <w:lang w:bidi="he-IL"/>
        </w:rPr>
        <w:t xml:space="preserve"> respectively.</w:t>
      </w:r>
    </w:p>
    <w:p w:rsidR="009C55D3" w:rsidRPr="009C55D3" w:rsidRDefault="009C55D3" w:rsidP="009C55D3">
      <w:pPr>
        <w:rPr>
          <w:sz w:val="24"/>
          <w:szCs w:val="24"/>
          <w:lang w:bidi="he-IL"/>
        </w:rPr>
      </w:pPr>
    </w:p>
    <w:p w:rsidR="009C55D3" w:rsidRPr="009C55D3" w:rsidRDefault="009C55D3" w:rsidP="009C55D3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9C55D3">
        <w:rPr>
          <w:rFonts w:ascii="Copperplate Gothic Bold" w:hAnsi="Copperplate Gothic Bold"/>
          <w:sz w:val="28"/>
          <w:szCs w:val="28"/>
          <w:u w:val="double"/>
          <w:lang w:bidi="he-IL"/>
        </w:rPr>
        <w:t>Summary</w:t>
      </w:r>
    </w:p>
    <w:p w:rsidR="009C55D3" w:rsidRPr="009C55D3" w:rsidRDefault="009C55D3" w:rsidP="00803B54">
      <w:pPr>
        <w:widowControl w:val="0"/>
        <w:rPr>
          <w:sz w:val="28"/>
          <w:szCs w:val="28"/>
          <w:lang w:bidi="he-IL"/>
        </w:rPr>
      </w:pPr>
      <w:r w:rsidRPr="009C55D3">
        <w:rPr>
          <w:sz w:val="28"/>
          <w:szCs w:val="28"/>
          <w:lang w:bidi="he-IL"/>
        </w:rPr>
        <w:t xml:space="preserve">If the </w:t>
      </w:r>
      <w:r w:rsidRPr="009C55D3">
        <w:rPr>
          <w:rFonts w:hint="cs"/>
          <w:sz w:val="28"/>
          <w:szCs w:val="28"/>
          <w:rtl/>
          <w:lang w:bidi="he-IL"/>
        </w:rPr>
        <w:t>מחלוקת</w:t>
      </w:r>
      <w:r w:rsidRPr="009C55D3">
        <w:rPr>
          <w:sz w:val="28"/>
          <w:szCs w:val="28"/>
          <w:lang w:bidi="he-IL"/>
        </w:rPr>
        <w:t xml:space="preserve"> between </w:t>
      </w:r>
      <w:r w:rsidRPr="009C55D3">
        <w:rPr>
          <w:rFonts w:hint="cs"/>
          <w:sz w:val="28"/>
          <w:szCs w:val="28"/>
          <w:rtl/>
          <w:lang w:bidi="he-IL"/>
        </w:rPr>
        <w:t>רב ושמואל</w:t>
      </w:r>
      <w:r w:rsidRPr="009C55D3">
        <w:rPr>
          <w:sz w:val="28"/>
          <w:szCs w:val="28"/>
          <w:lang w:bidi="he-IL"/>
        </w:rPr>
        <w:t xml:space="preserve"> is by </w:t>
      </w:r>
      <w:r w:rsidRPr="009C55D3">
        <w:rPr>
          <w:rFonts w:hint="cs"/>
          <w:sz w:val="28"/>
          <w:szCs w:val="28"/>
          <w:rtl/>
          <w:lang w:bidi="he-IL"/>
        </w:rPr>
        <w:t>הבא על ארוסתו</w:t>
      </w:r>
      <w:r w:rsidRPr="009C55D3">
        <w:rPr>
          <w:sz w:val="28"/>
          <w:szCs w:val="28"/>
          <w:lang w:bidi="he-IL"/>
        </w:rPr>
        <w:t xml:space="preserve">, then we have to say that the </w:t>
      </w:r>
      <w:r w:rsidRPr="009C55D3">
        <w:rPr>
          <w:rFonts w:hint="cs"/>
          <w:sz w:val="28"/>
          <w:szCs w:val="28"/>
          <w:rtl/>
          <w:lang w:bidi="he-IL"/>
        </w:rPr>
        <w:t>מחלוקת</w:t>
      </w:r>
      <w:r w:rsidRPr="009C55D3">
        <w:rPr>
          <w:sz w:val="28"/>
          <w:szCs w:val="28"/>
          <w:lang w:bidi="he-IL"/>
        </w:rPr>
        <w:t xml:space="preserve"> is in a case of </w:t>
      </w:r>
      <w:r w:rsidRPr="009C55D3">
        <w:rPr>
          <w:rFonts w:hint="cs"/>
          <w:sz w:val="28"/>
          <w:szCs w:val="28"/>
          <w:rtl/>
          <w:lang w:bidi="he-IL"/>
        </w:rPr>
        <w:t>דיימא מעלמא</w:t>
      </w:r>
      <w:r w:rsidRPr="009C55D3">
        <w:rPr>
          <w:sz w:val="28"/>
          <w:szCs w:val="28"/>
          <w:lang w:bidi="he-IL"/>
        </w:rPr>
        <w:t xml:space="preserve"> and our </w:t>
      </w:r>
      <w:r w:rsidRPr="009C55D3">
        <w:rPr>
          <w:rFonts w:hint="cs"/>
          <w:sz w:val="28"/>
          <w:szCs w:val="28"/>
          <w:rtl/>
          <w:lang w:bidi="he-IL"/>
        </w:rPr>
        <w:t>סוגיא</w:t>
      </w:r>
      <w:r w:rsidRPr="009C55D3">
        <w:rPr>
          <w:sz w:val="28"/>
          <w:szCs w:val="28"/>
          <w:lang w:bidi="he-IL"/>
        </w:rPr>
        <w:t xml:space="preserve"> is in a case where </w:t>
      </w:r>
      <w:r w:rsidRPr="009C55D3">
        <w:rPr>
          <w:rFonts w:hint="cs"/>
          <w:sz w:val="28"/>
          <w:szCs w:val="28"/>
          <w:rtl/>
          <w:lang w:bidi="he-IL"/>
        </w:rPr>
        <w:t>לא דיימא מעלמא</w:t>
      </w:r>
      <w:r w:rsidRPr="009C55D3">
        <w:rPr>
          <w:sz w:val="28"/>
          <w:szCs w:val="28"/>
          <w:lang w:bidi="he-IL"/>
        </w:rPr>
        <w:t xml:space="preserve">. However if the </w:t>
      </w:r>
      <w:r w:rsidRPr="009C55D3">
        <w:rPr>
          <w:rFonts w:hint="cs"/>
          <w:sz w:val="28"/>
          <w:szCs w:val="28"/>
          <w:rtl/>
          <w:lang w:bidi="he-IL"/>
        </w:rPr>
        <w:t>מחלוקת</w:t>
      </w:r>
      <w:r w:rsidRPr="009C55D3">
        <w:rPr>
          <w:sz w:val="28"/>
          <w:szCs w:val="28"/>
          <w:lang w:bidi="he-IL"/>
        </w:rPr>
        <w:t xml:space="preserve"> is by </w:t>
      </w:r>
      <w:r w:rsidRPr="009C55D3">
        <w:rPr>
          <w:rFonts w:hint="cs"/>
          <w:sz w:val="28"/>
          <w:szCs w:val="28"/>
          <w:rtl/>
          <w:lang w:bidi="he-IL"/>
        </w:rPr>
        <w:t>ארוסה שנתעברה</w:t>
      </w:r>
      <w:r w:rsidRPr="009C55D3">
        <w:rPr>
          <w:sz w:val="28"/>
          <w:szCs w:val="28"/>
          <w:lang w:bidi="he-IL"/>
        </w:rPr>
        <w:t xml:space="preserve">, then we can maintain our case even by </w:t>
      </w:r>
      <w:r w:rsidRPr="009C55D3">
        <w:rPr>
          <w:rFonts w:hint="cs"/>
          <w:sz w:val="28"/>
          <w:szCs w:val="28"/>
          <w:rtl/>
          <w:lang w:bidi="he-IL"/>
        </w:rPr>
        <w:t>דיימא מעלמא</w:t>
      </w:r>
      <w:r w:rsidRPr="009C55D3">
        <w:rPr>
          <w:sz w:val="28"/>
          <w:szCs w:val="28"/>
          <w:lang w:bidi="he-IL"/>
        </w:rPr>
        <w:t xml:space="preserve">, since the </w:t>
      </w:r>
      <w:r w:rsidRPr="009C55D3">
        <w:rPr>
          <w:rFonts w:hint="cs"/>
          <w:sz w:val="28"/>
          <w:szCs w:val="28"/>
          <w:rtl/>
          <w:lang w:bidi="he-IL"/>
        </w:rPr>
        <w:t>ארוס</w:t>
      </w:r>
      <w:r w:rsidRPr="009C55D3">
        <w:rPr>
          <w:sz w:val="28"/>
          <w:szCs w:val="28"/>
          <w:lang w:bidi="he-IL"/>
        </w:rPr>
        <w:t xml:space="preserve"> is </w:t>
      </w:r>
      <w:r w:rsidRPr="009C55D3">
        <w:rPr>
          <w:rFonts w:hint="cs"/>
          <w:sz w:val="28"/>
          <w:szCs w:val="28"/>
          <w:rtl/>
          <w:lang w:bidi="he-IL"/>
        </w:rPr>
        <w:t>מודה</w:t>
      </w:r>
      <w:r w:rsidRPr="009C55D3">
        <w:rPr>
          <w:sz w:val="28"/>
          <w:szCs w:val="28"/>
          <w:lang w:bidi="he-IL"/>
        </w:rPr>
        <w:t>.</w:t>
      </w:r>
      <w:r w:rsidRPr="009C55D3">
        <w:rPr>
          <w:sz w:val="28"/>
          <w:szCs w:val="28"/>
          <w:vertAlign w:val="superscript"/>
          <w:rtl/>
          <w:lang w:bidi="he-IL"/>
        </w:rPr>
        <w:t xml:space="preserve"> </w:t>
      </w:r>
      <w:r w:rsidRPr="009C55D3">
        <w:rPr>
          <w:sz w:val="28"/>
          <w:szCs w:val="28"/>
          <w:vertAlign w:val="superscript"/>
          <w:rtl/>
          <w:lang w:bidi="he-IL"/>
        </w:rPr>
        <w:footnoteReference w:id="4"/>
      </w:r>
    </w:p>
    <w:p w:rsidR="009C55D3" w:rsidRPr="009C55D3" w:rsidRDefault="009C55D3" w:rsidP="009C55D3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9C55D3">
        <w:rPr>
          <w:rFonts w:ascii="Copperplate Gothic Bold" w:hAnsi="Copperplate Gothic Bold"/>
          <w:sz w:val="28"/>
          <w:szCs w:val="28"/>
          <w:u w:val="double"/>
          <w:lang w:bidi="he-IL"/>
        </w:rPr>
        <w:lastRenderedPageBreak/>
        <w:t>Thinking it over</w:t>
      </w:r>
    </w:p>
    <w:p w:rsidR="009C55D3" w:rsidRPr="009C55D3" w:rsidRDefault="009C55D3" w:rsidP="0015011F">
      <w:pPr>
        <w:rPr>
          <w:sz w:val="28"/>
          <w:szCs w:val="28"/>
          <w:lang w:bidi="he-IL"/>
        </w:rPr>
      </w:pPr>
      <w:r w:rsidRPr="009C55D3">
        <w:rPr>
          <w:sz w:val="28"/>
          <w:szCs w:val="28"/>
          <w:lang w:bidi="he-IL"/>
        </w:rPr>
        <w:t xml:space="preserve">Is there an advantage of establishing that our </w:t>
      </w:r>
      <w:r w:rsidRPr="009C55D3">
        <w:rPr>
          <w:rFonts w:hint="cs"/>
          <w:sz w:val="28"/>
          <w:szCs w:val="28"/>
          <w:rtl/>
          <w:lang w:bidi="he-IL"/>
        </w:rPr>
        <w:t>סוגיא</w:t>
      </w:r>
      <w:r w:rsidRPr="009C55D3">
        <w:rPr>
          <w:sz w:val="28"/>
          <w:szCs w:val="28"/>
          <w:lang w:bidi="he-IL"/>
        </w:rPr>
        <w:t xml:space="preserve"> is discussing a case of </w:t>
      </w:r>
      <w:r w:rsidRPr="009C55D3">
        <w:rPr>
          <w:rFonts w:hint="cs"/>
          <w:sz w:val="28"/>
          <w:szCs w:val="28"/>
          <w:rtl/>
          <w:lang w:bidi="he-IL"/>
        </w:rPr>
        <w:t>לא דיימא</w:t>
      </w:r>
      <w:r w:rsidRPr="009C55D3">
        <w:rPr>
          <w:sz w:val="28"/>
          <w:szCs w:val="28"/>
          <w:vertAlign w:val="superscript"/>
          <w:rtl/>
          <w:lang w:bidi="he-IL"/>
        </w:rPr>
        <w:footnoteReference w:id="5"/>
      </w:r>
      <w:r w:rsidRPr="009C55D3">
        <w:rPr>
          <w:sz w:val="28"/>
          <w:szCs w:val="28"/>
          <w:lang w:bidi="he-IL"/>
        </w:rPr>
        <w:t xml:space="preserve"> as opposed to establishing that our </w:t>
      </w:r>
      <w:r w:rsidRPr="009C55D3">
        <w:rPr>
          <w:rFonts w:hint="cs"/>
          <w:sz w:val="28"/>
          <w:szCs w:val="28"/>
          <w:rtl/>
          <w:lang w:bidi="he-IL"/>
        </w:rPr>
        <w:t>סוגיא</w:t>
      </w:r>
      <w:r w:rsidRPr="009C55D3">
        <w:rPr>
          <w:sz w:val="28"/>
          <w:szCs w:val="28"/>
          <w:lang w:bidi="he-IL"/>
        </w:rPr>
        <w:t xml:space="preserve"> is discussing a case of </w:t>
      </w:r>
      <w:r w:rsidRPr="009C55D3">
        <w:rPr>
          <w:rFonts w:hint="cs"/>
          <w:sz w:val="28"/>
          <w:szCs w:val="28"/>
          <w:rtl/>
          <w:lang w:bidi="he-IL"/>
        </w:rPr>
        <w:t>ביאות הרבה</w:t>
      </w:r>
      <w:r w:rsidRPr="009C55D3">
        <w:rPr>
          <w:sz w:val="28"/>
          <w:szCs w:val="28"/>
          <w:lang w:bidi="he-IL"/>
        </w:rPr>
        <w:t>?</w:t>
      </w:r>
      <w:bookmarkStart w:id="0" w:name="_GoBack"/>
      <w:bookmarkEnd w:id="0"/>
      <w:r w:rsidR="0015011F" w:rsidRPr="009C55D3">
        <w:rPr>
          <w:sz w:val="28"/>
          <w:szCs w:val="28"/>
          <w:vertAlign w:val="superscript"/>
          <w:lang w:bidi="he-IL"/>
        </w:rPr>
        <w:footnoteReference w:id="6"/>
      </w:r>
    </w:p>
    <w:p w:rsidR="009C55D3" w:rsidRPr="009C55D3" w:rsidRDefault="009C55D3" w:rsidP="009C55D3">
      <w:pPr>
        <w:rPr>
          <w:sz w:val="28"/>
          <w:szCs w:val="28"/>
          <w:lang w:bidi="he-IL"/>
        </w:rPr>
      </w:pPr>
    </w:p>
    <w:p w:rsidR="009C55D3" w:rsidRPr="009C55D3" w:rsidRDefault="009C55D3" w:rsidP="009C55D3">
      <w:pPr>
        <w:rPr>
          <w:sz w:val="28"/>
          <w:szCs w:val="28"/>
          <w:lang w:bidi="he-IL"/>
        </w:rPr>
      </w:pPr>
      <w:r w:rsidRPr="009C55D3">
        <w:rPr>
          <w:sz w:val="28"/>
          <w:szCs w:val="28"/>
          <w:lang w:bidi="he-IL"/>
        </w:rPr>
        <w:t xml:space="preserve">This chart illustrates the two </w:t>
      </w:r>
      <w:r w:rsidRPr="009C55D3">
        <w:rPr>
          <w:rFonts w:hint="cs"/>
          <w:sz w:val="28"/>
          <w:szCs w:val="28"/>
          <w:rtl/>
          <w:lang w:bidi="he-IL"/>
        </w:rPr>
        <w:t>לשונות</w:t>
      </w:r>
      <w:r w:rsidRPr="009C55D3">
        <w:rPr>
          <w:sz w:val="28"/>
          <w:szCs w:val="28"/>
          <w:lang w:bidi="he-IL"/>
        </w:rPr>
        <w:t xml:space="preserve"> in </w:t>
      </w:r>
      <w:r w:rsidRPr="009C55D3">
        <w:rPr>
          <w:rFonts w:hint="cs"/>
          <w:sz w:val="28"/>
          <w:szCs w:val="28"/>
          <w:rtl/>
          <w:lang w:bidi="he-IL"/>
        </w:rPr>
        <w:t>מסכת יבמות</w:t>
      </w:r>
      <w:r w:rsidRPr="009C55D3">
        <w:rPr>
          <w:sz w:val="28"/>
          <w:szCs w:val="28"/>
          <w:lang w:bidi="he-IL"/>
        </w:rPr>
        <w:t xml:space="preserve"> according to </w:t>
      </w:r>
      <w:r w:rsidRPr="009C55D3">
        <w:rPr>
          <w:rFonts w:hint="cs"/>
          <w:sz w:val="28"/>
          <w:szCs w:val="28"/>
          <w:rtl/>
          <w:lang w:bidi="he-IL"/>
        </w:rPr>
        <w:t>אביי ורבא</w:t>
      </w:r>
      <w:r w:rsidRPr="009C55D3">
        <w:rPr>
          <w:sz w:val="28"/>
          <w:szCs w:val="28"/>
          <w:lang w:bidi="he-IL"/>
        </w:rPr>
        <w:t xml:space="preserve"> and how it is reconciled with our </w:t>
      </w:r>
      <w:r w:rsidRPr="009C55D3">
        <w:rPr>
          <w:rFonts w:hint="cs"/>
          <w:sz w:val="28"/>
          <w:szCs w:val="28"/>
          <w:rtl/>
          <w:lang w:bidi="he-IL"/>
        </w:rPr>
        <w:t>סוגיא</w:t>
      </w:r>
      <w:r w:rsidRPr="009C55D3">
        <w:rPr>
          <w:sz w:val="28"/>
          <w:szCs w:val="28"/>
          <w:lang w:bidi="he-IL"/>
        </w:rPr>
        <w:t xml:space="preserve"> according to </w:t>
      </w:r>
      <w:r w:rsidRPr="009C55D3">
        <w:rPr>
          <w:rFonts w:hint="cs"/>
          <w:sz w:val="28"/>
          <w:szCs w:val="28"/>
          <w:rtl/>
          <w:lang w:bidi="he-IL"/>
        </w:rPr>
        <w:t>תוספות ד"ה ההוא וד"ה חדא</w:t>
      </w:r>
      <w:r w:rsidRPr="009C55D3">
        <w:rPr>
          <w:sz w:val="28"/>
          <w:szCs w:val="28"/>
          <w:lang w:bidi="he-IL"/>
        </w:rPr>
        <w:t>.</w:t>
      </w:r>
    </w:p>
    <w:p w:rsidR="009C55D3" w:rsidRPr="009C55D3" w:rsidRDefault="009C55D3" w:rsidP="009C55D3">
      <w:pPr>
        <w:rPr>
          <w:b/>
          <w:bCs/>
          <w:sz w:val="28"/>
          <w:szCs w:val="28"/>
          <w:lang w:bidi="he-I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141"/>
        <w:gridCol w:w="2038"/>
        <w:gridCol w:w="1870"/>
        <w:gridCol w:w="1496"/>
        <w:gridCol w:w="894"/>
      </w:tblGrid>
      <w:tr w:rsidR="009C55D3" w:rsidRPr="009C55D3" w:rsidTr="00855BC2">
        <w:trPr>
          <w:jc w:val="center"/>
        </w:trPr>
        <w:tc>
          <w:tcPr>
            <w:tcW w:w="4596" w:type="dxa"/>
            <w:gridSpan w:val="3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הבא על ארוסתו (מודה)  - אביי (ל"ק)</w:t>
            </w:r>
          </w:p>
        </w:tc>
        <w:tc>
          <w:tcPr>
            <w:tcW w:w="4260" w:type="dxa"/>
            <w:gridSpan w:val="3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rtl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 xml:space="preserve">הבא על ארוסתו (מודה) </w:t>
            </w:r>
            <w:r w:rsidRPr="009C55D3">
              <w:rPr>
                <w:sz w:val="28"/>
                <w:szCs w:val="28"/>
                <w:rtl/>
                <w:lang w:bidi="he-IL"/>
              </w:rPr>
              <w:t>–</w:t>
            </w: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 xml:space="preserve"> רבא (ל"ק)</w:t>
            </w:r>
          </w:p>
        </w:tc>
      </w:tr>
      <w:tr w:rsidR="009C55D3" w:rsidRPr="009C55D3" w:rsidTr="00855BC2">
        <w:trPr>
          <w:jc w:val="center"/>
        </w:trPr>
        <w:tc>
          <w:tcPr>
            <w:tcW w:w="1417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rtl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מודה ביאות הרבה</w:t>
            </w:r>
            <w:r w:rsidRPr="009C55D3">
              <w:rPr>
                <w:sz w:val="28"/>
                <w:szCs w:val="28"/>
                <w:vertAlign w:val="superscript"/>
                <w:rtl/>
                <w:lang w:bidi="he-IL"/>
              </w:rPr>
              <w:footnoteReference w:id="7"/>
            </w:r>
          </w:p>
        </w:tc>
        <w:tc>
          <w:tcPr>
            <w:tcW w:w="114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דיימא מעלמא</w:t>
            </w:r>
          </w:p>
        </w:tc>
        <w:tc>
          <w:tcPr>
            <w:tcW w:w="2038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rtl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לא דיימא מעלמא</w:t>
            </w:r>
          </w:p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(דיימא מיניה</w:t>
            </w:r>
            <w:r w:rsidRPr="009C55D3">
              <w:rPr>
                <w:sz w:val="28"/>
                <w:szCs w:val="28"/>
                <w:vertAlign w:val="superscript"/>
                <w:rtl/>
                <w:lang w:bidi="he-IL"/>
              </w:rPr>
              <w:footnoteReference w:id="8"/>
            </w: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)</w:t>
            </w:r>
          </w:p>
        </w:tc>
        <w:tc>
          <w:tcPr>
            <w:tcW w:w="1870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לא דיימא מעלמא</w:t>
            </w:r>
            <w:r w:rsidRPr="009C55D3">
              <w:rPr>
                <w:sz w:val="28"/>
                <w:szCs w:val="28"/>
                <w:vertAlign w:val="superscript"/>
                <w:rtl/>
                <w:lang w:bidi="he-IL"/>
              </w:rPr>
              <w:footnoteReference w:id="9"/>
            </w:r>
          </w:p>
        </w:tc>
        <w:tc>
          <w:tcPr>
            <w:tcW w:w="2390" w:type="dxa"/>
            <w:gridSpan w:val="2"/>
            <w:shd w:val="clear" w:color="auto" w:fill="auto"/>
          </w:tcPr>
          <w:p w:rsidR="009C55D3" w:rsidRPr="009C55D3" w:rsidRDefault="009C55D3" w:rsidP="009C55D3">
            <w:pPr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דיימא מעלמא מחלוקת</w:t>
            </w:r>
          </w:p>
        </w:tc>
      </w:tr>
      <w:tr w:rsidR="009C55D3" w:rsidRPr="009C55D3" w:rsidTr="00855BC2">
        <w:trPr>
          <w:jc w:val="center"/>
        </w:trPr>
        <w:tc>
          <w:tcPr>
            <w:tcW w:w="1417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114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ממזר</w:t>
            </w:r>
          </w:p>
        </w:tc>
        <w:tc>
          <w:tcPr>
            <w:tcW w:w="2038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ממזר</w:t>
            </w:r>
          </w:p>
        </w:tc>
        <w:tc>
          <w:tcPr>
            <w:tcW w:w="1870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1496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ממזר</w:t>
            </w:r>
          </w:p>
        </w:tc>
        <w:tc>
          <w:tcPr>
            <w:tcW w:w="894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רב</w:t>
            </w:r>
          </w:p>
        </w:tc>
      </w:tr>
      <w:tr w:rsidR="009C55D3" w:rsidRPr="009C55D3" w:rsidTr="00855BC2">
        <w:trPr>
          <w:jc w:val="center"/>
        </w:trPr>
        <w:tc>
          <w:tcPr>
            <w:tcW w:w="1417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114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(ממזר?)</w:t>
            </w:r>
          </w:p>
        </w:tc>
        <w:tc>
          <w:tcPr>
            <w:tcW w:w="2038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שתוקי\בדוקי</w:t>
            </w:r>
          </w:p>
        </w:tc>
        <w:tc>
          <w:tcPr>
            <w:tcW w:w="1870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1496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שתוקי\בדוקי</w:t>
            </w:r>
          </w:p>
        </w:tc>
        <w:tc>
          <w:tcPr>
            <w:tcW w:w="894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שמואל</w:t>
            </w:r>
          </w:p>
        </w:tc>
      </w:tr>
    </w:tbl>
    <w:p w:rsidR="009C55D3" w:rsidRPr="009C55D3" w:rsidRDefault="009C55D3" w:rsidP="009C55D3">
      <w:pPr>
        <w:rPr>
          <w:b/>
          <w:bCs/>
          <w:sz w:val="28"/>
          <w:szCs w:val="28"/>
          <w:lang w:bidi="he-IL"/>
        </w:rPr>
      </w:pPr>
    </w:p>
    <w:p w:rsidR="009C55D3" w:rsidRPr="009C55D3" w:rsidRDefault="009C55D3" w:rsidP="009C55D3">
      <w:pPr>
        <w:rPr>
          <w:b/>
          <w:bCs/>
          <w:sz w:val="28"/>
          <w:szCs w:val="28"/>
          <w:rtl/>
          <w:lang w:bidi="he-IL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2182"/>
        <w:gridCol w:w="2181"/>
        <w:gridCol w:w="1421"/>
        <w:gridCol w:w="1235"/>
      </w:tblGrid>
      <w:tr w:rsidR="009C55D3" w:rsidRPr="009C55D3" w:rsidTr="00803B54">
        <w:tc>
          <w:tcPr>
            <w:tcW w:w="3983" w:type="dxa"/>
            <w:gridSpan w:val="2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rtl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 xml:space="preserve">ארוסה שנתעברה </w:t>
            </w:r>
            <w:r w:rsidRPr="009C55D3">
              <w:rPr>
                <w:sz w:val="28"/>
                <w:szCs w:val="28"/>
                <w:rtl/>
                <w:lang w:bidi="he-IL"/>
              </w:rPr>
              <w:t>–</w:t>
            </w: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 xml:space="preserve"> אביי (א"ד)</w:t>
            </w:r>
            <w:r w:rsidRPr="009C55D3">
              <w:rPr>
                <w:sz w:val="28"/>
                <w:szCs w:val="28"/>
                <w:lang w:bidi="he-IL"/>
              </w:rPr>
              <w:t xml:space="preserve"> </w:t>
            </w:r>
          </w:p>
        </w:tc>
        <w:tc>
          <w:tcPr>
            <w:tcW w:w="4837" w:type="dxa"/>
            <w:gridSpan w:val="3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 xml:space="preserve">ארוסה שנתעברה </w:t>
            </w:r>
            <w:r w:rsidRPr="009C55D3">
              <w:rPr>
                <w:sz w:val="28"/>
                <w:szCs w:val="28"/>
                <w:rtl/>
                <w:lang w:bidi="he-IL"/>
              </w:rPr>
              <w:t>–</w:t>
            </w: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 xml:space="preserve"> רבא (א"ד)</w:t>
            </w:r>
          </w:p>
        </w:tc>
      </w:tr>
      <w:tr w:rsidR="009C55D3" w:rsidRPr="009C55D3" w:rsidTr="00803B54">
        <w:tc>
          <w:tcPr>
            <w:tcW w:w="180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לא דיימא כלל</w:t>
            </w:r>
            <w:r w:rsidRPr="009C55D3">
              <w:rPr>
                <w:sz w:val="28"/>
                <w:szCs w:val="28"/>
                <w:vertAlign w:val="superscript"/>
                <w:rtl/>
                <w:lang w:bidi="he-IL"/>
              </w:rPr>
              <w:footnoteReference w:id="10"/>
            </w:r>
          </w:p>
        </w:tc>
        <w:tc>
          <w:tcPr>
            <w:tcW w:w="2182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דיימא מעלמא ודיימא מיניה מחלוקת</w:t>
            </w:r>
          </w:p>
        </w:tc>
        <w:tc>
          <w:tcPr>
            <w:tcW w:w="218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לא דיימא מעלמא ודיימא מיניה</w:t>
            </w:r>
            <w:r w:rsidRPr="009C55D3">
              <w:rPr>
                <w:sz w:val="28"/>
                <w:szCs w:val="28"/>
                <w:vertAlign w:val="superscript"/>
                <w:rtl/>
                <w:lang w:bidi="he-IL"/>
              </w:rPr>
              <w:footnoteReference w:id="11"/>
            </w:r>
          </w:p>
        </w:tc>
        <w:tc>
          <w:tcPr>
            <w:tcW w:w="2656" w:type="dxa"/>
            <w:gridSpan w:val="2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דיימא מעלמא ולא דיימא מיניה מחלוקת</w:t>
            </w:r>
          </w:p>
        </w:tc>
      </w:tr>
      <w:tr w:rsidR="009C55D3" w:rsidRPr="009C55D3" w:rsidTr="00803B54">
        <w:tc>
          <w:tcPr>
            <w:tcW w:w="180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2182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ממזר</w:t>
            </w:r>
          </w:p>
        </w:tc>
        <w:tc>
          <w:tcPr>
            <w:tcW w:w="218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142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ממזר</w:t>
            </w:r>
          </w:p>
        </w:tc>
        <w:tc>
          <w:tcPr>
            <w:tcW w:w="1235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רב</w:t>
            </w:r>
          </w:p>
        </w:tc>
      </w:tr>
      <w:tr w:rsidR="009C55D3" w:rsidRPr="009C55D3" w:rsidTr="00803B54">
        <w:tc>
          <w:tcPr>
            <w:tcW w:w="180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2182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שתוקי\בדוקי</w:t>
            </w:r>
          </w:p>
        </w:tc>
        <w:tc>
          <w:tcPr>
            <w:tcW w:w="218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כשר</w:t>
            </w:r>
          </w:p>
        </w:tc>
        <w:tc>
          <w:tcPr>
            <w:tcW w:w="1421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שתוקי\בדוקי</w:t>
            </w:r>
          </w:p>
        </w:tc>
        <w:tc>
          <w:tcPr>
            <w:tcW w:w="1235" w:type="dxa"/>
            <w:shd w:val="clear" w:color="auto" w:fill="auto"/>
          </w:tcPr>
          <w:p w:rsidR="009C55D3" w:rsidRPr="009C55D3" w:rsidRDefault="009C55D3" w:rsidP="009C55D3">
            <w:pPr>
              <w:jc w:val="center"/>
              <w:rPr>
                <w:sz w:val="28"/>
                <w:szCs w:val="28"/>
                <w:lang w:bidi="he-IL"/>
              </w:rPr>
            </w:pPr>
            <w:r w:rsidRPr="009C55D3">
              <w:rPr>
                <w:rFonts w:hint="cs"/>
                <w:sz w:val="28"/>
                <w:szCs w:val="28"/>
                <w:rtl/>
                <w:lang w:bidi="he-IL"/>
              </w:rPr>
              <w:t>שמואל</w:t>
            </w:r>
          </w:p>
        </w:tc>
      </w:tr>
    </w:tbl>
    <w:p w:rsidR="005139AD" w:rsidRDefault="005139AD"/>
    <w:sectPr w:rsidR="005139AD" w:rsidSect="00642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1B6" w:rsidRDefault="007831B6" w:rsidP="009C55D3">
      <w:pPr>
        <w:spacing w:line="240" w:lineRule="auto"/>
      </w:pPr>
      <w:r>
        <w:separator/>
      </w:r>
    </w:p>
  </w:endnote>
  <w:endnote w:type="continuationSeparator" w:id="0">
    <w:p w:rsidR="007831B6" w:rsidRDefault="007831B6" w:rsidP="009C5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0017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B54" w:rsidRDefault="00803B54">
        <w:pPr>
          <w:pStyle w:val="Footer"/>
          <w:jc w:val="center"/>
          <w:rPr>
            <w:noProof/>
            <w:sz w:val="16"/>
            <w:szCs w:val="16"/>
            <w:rtl/>
            <w:lang w:bidi="he-IL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11F">
          <w:rPr>
            <w:noProof/>
          </w:rPr>
          <w:t>2</w:t>
        </w:r>
        <w:r>
          <w:rPr>
            <w:noProof/>
          </w:rPr>
          <w:fldChar w:fldCharType="end"/>
        </w:r>
      </w:p>
      <w:p w:rsidR="00803B54" w:rsidRDefault="00803B54">
        <w:pPr>
          <w:pStyle w:val="Footer"/>
          <w:jc w:val="center"/>
        </w:pPr>
        <w:r>
          <w:rPr>
            <w:noProof/>
            <w:sz w:val="16"/>
            <w:szCs w:val="16"/>
            <w:lang w:bidi="he-IL"/>
          </w:rPr>
          <w:t>TosfosInEnglish.com</w:t>
        </w:r>
      </w:p>
    </w:sdtContent>
  </w:sdt>
  <w:p w:rsidR="00803B54" w:rsidRDefault="00803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1B6" w:rsidRDefault="007831B6" w:rsidP="009C55D3">
      <w:pPr>
        <w:spacing w:line="240" w:lineRule="auto"/>
      </w:pPr>
      <w:r>
        <w:separator/>
      </w:r>
    </w:p>
  </w:footnote>
  <w:footnote w:type="continuationSeparator" w:id="0">
    <w:p w:rsidR="007831B6" w:rsidRDefault="007831B6" w:rsidP="009C55D3">
      <w:pPr>
        <w:spacing w:line="240" w:lineRule="auto"/>
      </w:pPr>
      <w:r>
        <w:continuationSeparator/>
      </w:r>
    </w:p>
  </w:footnote>
  <w:footnote w:id="1">
    <w:p w:rsidR="009C55D3" w:rsidRDefault="009C55D3" w:rsidP="009C5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(‘Overview’ to) previous </w:t>
      </w:r>
      <w:r>
        <w:rPr>
          <w:rFonts w:hint="cs"/>
          <w:rtl/>
          <w:lang w:bidi="he-IL"/>
        </w:rPr>
        <w:t>תוספות ד"ה ההוא</w:t>
      </w:r>
      <w:r>
        <w:rPr>
          <w:lang w:bidi="he-IL"/>
        </w:rPr>
        <w:t>.</w:t>
      </w:r>
    </w:p>
  </w:footnote>
  <w:footnote w:id="2">
    <w:p w:rsidR="009C55D3" w:rsidRDefault="009C55D3" w:rsidP="009C5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 xml:space="preserve">, who points out that this question was already answered (differently) in the end of the previous </w:t>
      </w:r>
      <w:r>
        <w:rPr>
          <w:rFonts w:hint="cs"/>
          <w:rtl/>
          <w:lang w:bidi="he-IL"/>
        </w:rPr>
        <w:t>תוספות ד"ה ההוא</w:t>
      </w:r>
      <w:r>
        <w:rPr>
          <w:lang w:bidi="he-IL"/>
        </w:rPr>
        <w:t xml:space="preserve">. In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claimed to have a continuous relation</w:t>
      </w:r>
      <w:r w:rsidR="00962F8C">
        <w:rPr>
          <w:lang w:bidi="he-IL"/>
        </w:rPr>
        <w:t>ship</w:t>
      </w:r>
      <w:r>
        <w:rPr>
          <w:lang w:bidi="he-IL"/>
        </w:rPr>
        <w:t xml:space="preserve"> with </w:t>
      </w:r>
      <w:r w:rsidR="00962F8C">
        <w:rPr>
          <w:lang w:bidi="he-IL"/>
        </w:rPr>
        <w:t>t</w:t>
      </w:r>
      <w:r>
        <w:rPr>
          <w:lang w:bidi="he-IL"/>
        </w:rPr>
        <w:t xml:space="preserve">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; as opposed to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where it occurred only once. See footnotes # 3 &amp; 4. </w:t>
      </w:r>
    </w:p>
  </w:footnote>
  <w:footnote w:id="3">
    <w:p w:rsidR="009C55D3" w:rsidRDefault="009C55D3" w:rsidP="00803B54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explanation is valid only according to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, there. However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, who maintains that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there is even if </w:t>
      </w:r>
      <w:r>
        <w:rPr>
          <w:rFonts w:hint="cs"/>
          <w:rtl/>
          <w:lang w:bidi="he-IL"/>
        </w:rPr>
        <w:t>לא דיימא מעלמא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have to resort to the answer given at the end of the previous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 See previous footnote # 2.</w:t>
      </w:r>
    </w:p>
  </w:footnote>
  <w:footnote w:id="4">
    <w:p w:rsidR="009C55D3" w:rsidRDefault="009C55D3" w:rsidP="00803B54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seems that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the conclusion of the previous </w:t>
      </w:r>
      <w:r>
        <w:rPr>
          <w:rFonts w:hint="cs"/>
          <w:rtl/>
          <w:lang w:bidi="he-IL"/>
        </w:rPr>
        <w:t>תוספות ד"ה ההוא</w:t>
      </w:r>
      <w:r>
        <w:rPr>
          <w:lang w:bidi="he-IL"/>
        </w:rPr>
        <w:t xml:space="preserve">. The end of the previous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reconciled our </w:t>
      </w:r>
      <w:r>
        <w:rPr>
          <w:rFonts w:hint="cs"/>
          <w:rtl/>
          <w:lang w:bidi="he-IL"/>
        </w:rPr>
        <w:t>סוגיא</w:t>
      </w:r>
      <w:r>
        <w:rPr>
          <w:lang w:bidi="he-IL"/>
        </w:rPr>
        <w:t xml:space="preserve"> with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רב ושמואל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(by </w:t>
      </w:r>
      <w:r>
        <w:rPr>
          <w:rFonts w:hint="cs"/>
          <w:rtl/>
          <w:lang w:bidi="he-IL"/>
        </w:rPr>
        <w:t>לא דיימא מעלמא</w:t>
      </w:r>
      <w:r>
        <w:rPr>
          <w:lang w:bidi="he-IL"/>
        </w:rPr>
        <w:t xml:space="preserve">). This was accomplished by assuming that here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was continually with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, while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there was only one known relationship. According to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however, there is no need to make this distinction. In fact </w:t>
      </w:r>
      <w:r>
        <w:rPr>
          <w:rFonts w:hint="cs"/>
          <w:rtl/>
          <w:lang w:bidi="he-IL"/>
        </w:rPr>
        <w:t>רב יוסף</w:t>
      </w:r>
      <w:r>
        <w:rPr>
          <w:lang w:bidi="he-IL"/>
        </w:rPr>
        <w:t xml:space="preserve"> merely stated </w:t>
      </w:r>
      <w:r>
        <w:rPr>
          <w:rFonts w:hint="cs"/>
          <w:rtl/>
          <w:lang w:bidi="he-IL"/>
        </w:rPr>
        <w:t>'חדא דקא מודה'</w:t>
      </w:r>
      <w:r>
        <w:rPr>
          <w:lang w:bidi="he-IL"/>
        </w:rPr>
        <w:t xml:space="preserve">. He did not seem to indicate that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because of their continuous relationship. Rather the </w:t>
      </w:r>
      <w:r>
        <w:rPr>
          <w:rFonts w:hint="cs"/>
          <w:rtl/>
          <w:lang w:bidi="he-IL"/>
        </w:rPr>
        <w:t>הודאה</w:t>
      </w:r>
      <w:r>
        <w:rPr>
          <w:lang w:bidi="he-IL"/>
        </w:rPr>
        <w:t xml:space="preserve"> of even one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 is sufficient.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makes different distinctions; either that here we are discussing a case of  </w:t>
      </w:r>
      <w:r>
        <w:rPr>
          <w:rFonts w:hint="cs"/>
          <w:rtl/>
          <w:lang w:bidi="he-IL"/>
        </w:rPr>
        <w:t>לא דיימא מעלמא</w:t>
      </w:r>
      <w:r>
        <w:rPr>
          <w:lang w:bidi="he-IL"/>
        </w:rPr>
        <w:t xml:space="preserve">, or that here there was a </w:t>
      </w:r>
      <w:r>
        <w:rPr>
          <w:rFonts w:hint="cs"/>
          <w:rtl/>
          <w:lang w:bidi="he-IL"/>
        </w:rPr>
        <w:t>הודאה</w:t>
      </w:r>
      <w:r>
        <w:rPr>
          <w:lang w:bidi="he-IL"/>
        </w:rPr>
        <w:t xml:space="preserve">; as opposed to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where it was either </w:t>
      </w:r>
      <w:r>
        <w:rPr>
          <w:rFonts w:hint="cs"/>
          <w:rtl/>
          <w:lang w:bidi="he-IL"/>
        </w:rPr>
        <w:t>דיימא מעלמא</w:t>
      </w:r>
      <w:r>
        <w:rPr>
          <w:lang w:bidi="he-IL"/>
        </w:rPr>
        <w:t xml:space="preserve"> or there was no </w:t>
      </w:r>
      <w:r>
        <w:rPr>
          <w:rFonts w:hint="cs"/>
          <w:rtl/>
          <w:lang w:bidi="he-IL"/>
        </w:rPr>
        <w:t>הודאה</w:t>
      </w:r>
      <w:r>
        <w:rPr>
          <w:lang w:bidi="he-IL"/>
        </w:rPr>
        <w:t xml:space="preserve">.  </w:t>
      </w:r>
    </w:p>
  </w:footnote>
  <w:footnote w:id="5">
    <w:p w:rsidR="009C55D3" w:rsidRDefault="009C55D3" w:rsidP="00803B54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the answer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offers.</w:t>
      </w:r>
    </w:p>
  </w:footnote>
  <w:footnote w:id="6">
    <w:p w:rsidR="0015011F" w:rsidRDefault="0015011F" w:rsidP="0015011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the answer of the previous </w:t>
      </w:r>
      <w:r>
        <w:rPr>
          <w:rFonts w:hint="cs"/>
          <w:rtl/>
          <w:lang w:bidi="he-IL"/>
        </w:rPr>
        <w:t>תוספות ד"ה ההוא</w:t>
      </w:r>
      <w:r>
        <w:rPr>
          <w:lang w:bidi="he-IL"/>
        </w:rPr>
        <w:t>.</w:t>
      </w:r>
    </w:p>
  </w:footnote>
  <w:footnote w:id="7">
    <w:p w:rsidR="009C55D3" w:rsidRDefault="009C55D3" w:rsidP="009C5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Our </w:t>
      </w:r>
      <w:r>
        <w:rPr>
          <w:rFonts w:hint="cs"/>
          <w:rtl/>
          <w:lang w:bidi="he-IL"/>
        </w:rPr>
        <w:t>סוגיא</w:t>
      </w:r>
      <w:r>
        <w:rPr>
          <w:lang w:bidi="he-IL"/>
        </w:rPr>
        <w:t xml:space="preserve"> is discussing </w:t>
      </w:r>
      <w:r>
        <w:rPr>
          <w:rFonts w:hint="cs"/>
          <w:rtl/>
          <w:lang w:bidi="he-IL"/>
        </w:rPr>
        <w:t>מודה ביאות הרבה</w:t>
      </w:r>
      <w:r>
        <w:rPr>
          <w:lang w:bidi="he-IL"/>
        </w:rPr>
        <w:t xml:space="preserve">; therefore everyone admits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(תוד"ה ההוא)</w:t>
      </w:r>
      <w:r>
        <w:rPr>
          <w:lang w:bidi="he-IL"/>
        </w:rPr>
        <w:t>.</w:t>
      </w:r>
    </w:p>
  </w:footnote>
  <w:footnote w:id="8">
    <w:p w:rsidR="009C55D3" w:rsidRDefault="009C55D3" w:rsidP="009C5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דיימא מיניה</w:t>
      </w:r>
      <w:r>
        <w:rPr>
          <w:lang w:bidi="he-IL"/>
        </w:rPr>
        <w:t xml:space="preserve"> means that she is suspect of having relationships with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>.</w:t>
      </w:r>
    </w:p>
  </w:footnote>
  <w:footnote w:id="9">
    <w:p w:rsidR="009C55D3" w:rsidRDefault="009C55D3" w:rsidP="009C5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Our </w:t>
      </w:r>
      <w:r>
        <w:rPr>
          <w:rFonts w:hint="cs"/>
          <w:rtl/>
          <w:lang w:bidi="he-IL"/>
        </w:rPr>
        <w:t>סוגיא</w:t>
      </w:r>
      <w:r>
        <w:rPr>
          <w:lang w:bidi="he-IL"/>
        </w:rPr>
        <w:t xml:space="preserve"> is discussing </w:t>
      </w:r>
      <w:r>
        <w:rPr>
          <w:rFonts w:hint="cs"/>
          <w:rtl/>
          <w:lang w:bidi="he-IL"/>
        </w:rPr>
        <w:t>לא דיימא</w:t>
      </w:r>
      <w:r>
        <w:rPr>
          <w:lang w:bidi="he-IL"/>
        </w:rPr>
        <w:t xml:space="preserve">; therefore everyone admits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תוד"ה חדא</w:t>
      </w:r>
      <w:r>
        <w:rPr>
          <w:lang w:bidi="he-IL"/>
        </w:rPr>
        <w:t>).</w:t>
      </w:r>
    </w:p>
  </w:footnote>
  <w:footnote w:id="10">
    <w:p w:rsidR="009C55D3" w:rsidRDefault="009C55D3" w:rsidP="009C5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will also include a case of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>.</w:t>
      </w:r>
    </w:p>
  </w:footnote>
  <w:footnote w:id="11">
    <w:p w:rsidR="009C55D3" w:rsidRDefault="009C55D3" w:rsidP="009C5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Our </w:t>
      </w:r>
      <w:r>
        <w:rPr>
          <w:rFonts w:hint="cs"/>
          <w:rtl/>
          <w:lang w:bidi="he-IL"/>
        </w:rPr>
        <w:t>סוגיא</w:t>
      </w:r>
      <w:r>
        <w:rPr>
          <w:lang w:bidi="he-IL"/>
        </w:rPr>
        <w:t xml:space="preserve"> is discussing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, which is even stronger than </w:t>
      </w:r>
      <w:r>
        <w:rPr>
          <w:rFonts w:hint="cs"/>
          <w:rtl/>
          <w:lang w:bidi="he-IL"/>
        </w:rPr>
        <w:t>דיימא מיניה</w:t>
      </w:r>
      <w:r>
        <w:rPr>
          <w:lang w:bidi="he-IL"/>
        </w:rPr>
        <w:t xml:space="preserve">; surely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(תוד"ה חדא)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B54" w:rsidRDefault="00803B54" w:rsidP="00803B54">
    <w:pPr>
      <w:pStyle w:val="Header"/>
      <w:bidi/>
    </w:pPr>
    <w:r w:rsidRPr="00803B54">
      <w:rPr>
        <w:rFonts w:hint="cs"/>
        <w:sz w:val="24"/>
        <w:szCs w:val="24"/>
        <w:rtl/>
        <w:lang w:bidi="he-IL"/>
      </w:rPr>
      <w:t>בס"ד. כתובות יד,א תוס' ד"ה חדא (הא')</w:t>
    </w:r>
  </w:p>
  <w:p w:rsidR="00803B54" w:rsidRDefault="00803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D3"/>
    <w:rsid w:val="0015011F"/>
    <w:rsid w:val="00391C6A"/>
    <w:rsid w:val="0051374A"/>
    <w:rsid w:val="005139AD"/>
    <w:rsid w:val="0056002B"/>
    <w:rsid w:val="00642F83"/>
    <w:rsid w:val="007831B6"/>
    <w:rsid w:val="00803B54"/>
    <w:rsid w:val="00962F8C"/>
    <w:rsid w:val="009C55D3"/>
    <w:rsid w:val="00C0640C"/>
    <w:rsid w:val="00F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9C55D3"/>
    <w:pPr>
      <w:spacing w:line="240" w:lineRule="auto"/>
      <w:jc w:val="left"/>
    </w:pPr>
  </w:style>
  <w:style w:type="character" w:customStyle="1" w:styleId="FootnoteTextChar">
    <w:name w:val="Footnote Text Char"/>
    <w:basedOn w:val="DefaultParagraphFont"/>
    <w:link w:val="FootnoteText"/>
    <w:semiHidden/>
    <w:rsid w:val="009C55D3"/>
  </w:style>
  <w:style w:type="character" w:styleId="FootnoteReference">
    <w:name w:val="footnote reference"/>
    <w:semiHidden/>
    <w:rsid w:val="009C55D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03B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B54"/>
  </w:style>
  <w:style w:type="paragraph" w:styleId="Footer">
    <w:name w:val="footer"/>
    <w:basedOn w:val="Normal"/>
    <w:link w:val="FooterChar"/>
    <w:uiPriority w:val="99"/>
    <w:unhideWhenUsed/>
    <w:rsid w:val="00803B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B54"/>
  </w:style>
  <w:style w:type="paragraph" w:styleId="BalloonText">
    <w:name w:val="Balloon Text"/>
    <w:basedOn w:val="Normal"/>
    <w:link w:val="BalloonTextChar"/>
    <w:uiPriority w:val="99"/>
    <w:semiHidden/>
    <w:unhideWhenUsed/>
    <w:rsid w:val="00803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9C55D3"/>
    <w:pPr>
      <w:spacing w:line="240" w:lineRule="auto"/>
      <w:jc w:val="left"/>
    </w:pPr>
  </w:style>
  <w:style w:type="character" w:customStyle="1" w:styleId="FootnoteTextChar">
    <w:name w:val="Footnote Text Char"/>
    <w:basedOn w:val="DefaultParagraphFont"/>
    <w:link w:val="FootnoteText"/>
    <w:semiHidden/>
    <w:rsid w:val="009C55D3"/>
  </w:style>
  <w:style w:type="character" w:styleId="FootnoteReference">
    <w:name w:val="footnote reference"/>
    <w:semiHidden/>
    <w:rsid w:val="009C55D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03B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B54"/>
  </w:style>
  <w:style w:type="paragraph" w:styleId="Footer">
    <w:name w:val="footer"/>
    <w:basedOn w:val="Normal"/>
    <w:link w:val="FooterChar"/>
    <w:uiPriority w:val="99"/>
    <w:unhideWhenUsed/>
    <w:rsid w:val="00803B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B54"/>
  </w:style>
  <w:style w:type="paragraph" w:styleId="BalloonText">
    <w:name w:val="Balloon Text"/>
    <w:basedOn w:val="Normal"/>
    <w:link w:val="BalloonTextChar"/>
    <w:uiPriority w:val="99"/>
    <w:semiHidden/>
    <w:unhideWhenUsed/>
    <w:rsid w:val="00803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5</cp:revision>
  <dcterms:created xsi:type="dcterms:W3CDTF">2015-08-16T22:48:00Z</dcterms:created>
  <dcterms:modified xsi:type="dcterms:W3CDTF">2016-05-17T21:14:00Z</dcterms:modified>
</cp:coreProperties>
</file>