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BE1625" w:rsidP="00C62173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ממזר </w:t>
      </w:r>
      <w:r w:rsidRPr="00BE1625">
        <w:rPr>
          <w:rFonts w:hint="cs"/>
          <w:b/>
          <w:bCs/>
          <w:sz w:val="32"/>
          <w:szCs w:val="32"/>
          <w:rtl/>
          <w:lang w:bidi="he-IL"/>
        </w:rPr>
        <w:t>צווח וחלל שותק איכא בינייהו</w:t>
      </w:r>
      <w:r w:rsidR="00151408">
        <w:rPr>
          <w:rFonts w:hint="cs"/>
          <w:b/>
          <w:bCs/>
          <w:sz w:val="32"/>
          <w:szCs w:val="32"/>
          <w:rtl/>
          <w:lang w:bidi="he-IL"/>
        </w:rPr>
        <w:t xml:space="preserve"> -                      </w:t>
      </w:r>
      <w:r w:rsidR="00B72BCE">
        <w:rPr>
          <w:b/>
          <w:bCs/>
          <w:sz w:val="32"/>
          <w:szCs w:val="32"/>
          <w:lang w:bidi="he-IL"/>
        </w:rPr>
        <w:t xml:space="preserve">          </w:t>
      </w:r>
      <w:r w:rsidR="00C62173">
        <w:rPr>
          <w:b/>
          <w:bCs/>
          <w:sz w:val="32"/>
          <w:szCs w:val="32"/>
          <w:lang w:bidi="he-IL"/>
        </w:rPr>
        <w:t xml:space="preserve">  </w:t>
      </w:r>
      <w:r w:rsidR="00C62173">
        <w:rPr>
          <w:b/>
          <w:bCs/>
          <w:sz w:val="16"/>
          <w:szCs w:val="16"/>
          <w:lang w:bidi="he-IL"/>
        </w:rPr>
        <w:t xml:space="preserve">  </w:t>
      </w:r>
      <w:r w:rsidR="00151408">
        <w:rPr>
          <w:rFonts w:hint="cs"/>
          <w:b/>
          <w:bCs/>
          <w:sz w:val="32"/>
          <w:szCs w:val="32"/>
          <w:rtl/>
          <w:lang w:bidi="he-IL"/>
        </w:rPr>
        <w:t xml:space="preserve">   </w:t>
      </w:r>
      <w:r w:rsidR="00151408">
        <w:rPr>
          <w:b/>
          <w:bCs/>
          <w:sz w:val="32"/>
          <w:szCs w:val="32"/>
          <w:lang w:bidi="he-IL"/>
        </w:rPr>
        <w:t>The difference</w:t>
      </w:r>
    </w:p>
    <w:p w:rsidR="00BE1625" w:rsidRDefault="00BE1625" w:rsidP="00151408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between them </w:t>
      </w:r>
      <w:r>
        <w:rPr>
          <w:sz w:val="32"/>
          <w:szCs w:val="32"/>
          <w:lang w:bidi="he-IL"/>
        </w:rPr>
        <w:t xml:space="preserve">is by a </w:t>
      </w:r>
      <w:r>
        <w:rPr>
          <w:rFonts w:hint="cs"/>
          <w:b/>
          <w:bCs/>
          <w:sz w:val="32"/>
          <w:szCs w:val="32"/>
          <w:rtl/>
          <w:lang w:bidi="he-IL"/>
        </w:rPr>
        <w:t>ממזר</w:t>
      </w:r>
      <w:r>
        <w:rPr>
          <w:b/>
          <w:bCs/>
          <w:sz w:val="32"/>
          <w:szCs w:val="32"/>
          <w:lang w:bidi="he-IL"/>
        </w:rPr>
        <w:t xml:space="preserve"> who </w:t>
      </w:r>
      <w:r w:rsidR="0052601C">
        <w:rPr>
          <w:b/>
          <w:bCs/>
          <w:sz w:val="32"/>
          <w:szCs w:val="32"/>
          <w:lang w:bidi="he-IL"/>
        </w:rPr>
        <w:t>protest</w:t>
      </w:r>
      <w:r>
        <w:rPr>
          <w:b/>
          <w:bCs/>
          <w:sz w:val="32"/>
          <w:szCs w:val="32"/>
          <w:lang w:bidi="he-IL"/>
        </w:rPr>
        <w:t xml:space="preserve">s and a </w:t>
      </w:r>
      <w:r>
        <w:rPr>
          <w:rFonts w:hint="cs"/>
          <w:b/>
          <w:bCs/>
          <w:sz w:val="32"/>
          <w:szCs w:val="32"/>
          <w:rtl/>
          <w:lang w:bidi="he-IL"/>
        </w:rPr>
        <w:t>חלל</w:t>
      </w:r>
      <w:r>
        <w:rPr>
          <w:b/>
          <w:bCs/>
          <w:sz w:val="32"/>
          <w:szCs w:val="32"/>
          <w:lang w:bidi="he-IL"/>
        </w:rPr>
        <w:t xml:space="preserve"> who is silent</w:t>
      </w:r>
      <w:r w:rsidR="00B92175">
        <w:rPr>
          <w:b/>
          <w:bCs/>
          <w:sz w:val="32"/>
          <w:szCs w:val="32"/>
          <w:lang w:bidi="he-IL"/>
        </w:rPr>
        <w:t>.</w:t>
      </w:r>
    </w:p>
    <w:p w:rsidR="00B92175" w:rsidRPr="00FC4472" w:rsidRDefault="00B92175" w:rsidP="00151408">
      <w:pPr>
        <w:spacing w:line="276" w:lineRule="auto"/>
        <w:jc w:val="both"/>
        <w:rPr>
          <w:sz w:val="24"/>
          <w:szCs w:val="24"/>
          <w:lang w:bidi="he-IL"/>
        </w:rPr>
      </w:pPr>
    </w:p>
    <w:p w:rsidR="00B92175" w:rsidRPr="00151408" w:rsidRDefault="00FC4472" w:rsidP="00151408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51408">
        <w:rPr>
          <w:rFonts w:ascii="Copperplate Gothic Bold" w:hAnsi="Copperplate Gothic Bold"/>
          <w:u w:val="double"/>
          <w:lang w:bidi="he-IL"/>
        </w:rPr>
        <w:t>Overview</w:t>
      </w:r>
    </w:p>
    <w:p w:rsidR="00FC4472" w:rsidRPr="00FC4472" w:rsidRDefault="00FC4472" w:rsidP="00151408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explained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, that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maintains that all </w:t>
      </w:r>
      <w:r>
        <w:rPr>
          <w:rFonts w:hint="cs"/>
          <w:rtl/>
          <w:lang w:bidi="he-IL"/>
        </w:rPr>
        <w:t>שתוקים</w:t>
      </w:r>
      <w:r>
        <w:rPr>
          <w:lang w:bidi="he-IL"/>
        </w:rPr>
        <w:t xml:space="preserve"> </w:t>
      </w:r>
      <w:r w:rsidR="0052601C">
        <w:rPr>
          <w:lang w:bidi="he-IL"/>
        </w:rPr>
        <w:t xml:space="preserve">are </w:t>
      </w:r>
      <w:r w:rsidR="0052601C">
        <w:rPr>
          <w:rtl/>
          <w:lang w:bidi="he-IL"/>
        </w:rPr>
        <w:t>פסול</w:t>
      </w:r>
      <w:r w:rsidR="0052601C">
        <w:rPr>
          <w:lang w:bidi="he-IL"/>
        </w:rPr>
        <w:t xml:space="preserve"> (however all </w:t>
      </w:r>
      <w:r w:rsidR="0052601C">
        <w:rPr>
          <w:rFonts w:hint="cs"/>
          <w:rtl/>
          <w:lang w:bidi="he-IL"/>
        </w:rPr>
        <w:t>צווחים</w:t>
      </w:r>
      <w:r w:rsidR="0052601C">
        <w:rPr>
          <w:lang w:bidi="he-IL"/>
        </w:rPr>
        <w:t xml:space="preserve"> are </w:t>
      </w:r>
      <w:r w:rsidR="0052601C">
        <w:rPr>
          <w:rFonts w:hint="cs"/>
          <w:rtl/>
          <w:lang w:bidi="he-IL"/>
        </w:rPr>
        <w:t>כשר</w:t>
      </w:r>
      <w:r w:rsidR="0052601C">
        <w:rPr>
          <w:lang w:bidi="he-IL"/>
        </w:rPr>
        <w:t>)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maintains (according to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) that a </w:t>
      </w:r>
      <w:r>
        <w:rPr>
          <w:rFonts w:hint="cs"/>
          <w:rtl/>
          <w:lang w:bidi="he-IL"/>
        </w:rPr>
        <w:t>שתוק חלל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(all other </w:t>
      </w:r>
      <w:r>
        <w:rPr>
          <w:rFonts w:hint="cs"/>
          <w:rtl/>
          <w:lang w:bidi="he-IL"/>
        </w:rPr>
        <w:t>שתוקים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).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argues with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concerning the view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; claiming that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maintains that (only) a </w:t>
      </w:r>
      <w:r>
        <w:rPr>
          <w:rFonts w:hint="cs"/>
          <w:rtl/>
          <w:lang w:bidi="he-IL"/>
        </w:rPr>
        <w:t>שתוק ממזר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; however a </w:t>
      </w:r>
      <w:r>
        <w:rPr>
          <w:rFonts w:hint="cs"/>
          <w:rtl/>
          <w:lang w:bidi="he-IL"/>
        </w:rPr>
        <w:t>ממזר צווח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שתוק חלל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its summation states that the argument between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(concerning the view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) is by a </w:t>
      </w:r>
      <w:r>
        <w:rPr>
          <w:rFonts w:hint="cs"/>
          <w:rtl/>
          <w:lang w:bidi="he-IL"/>
        </w:rPr>
        <w:t>ממזר צווח וחלל שותק</w:t>
      </w:r>
      <w:r>
        <w:rPr>
          <w:lang w:bidi="he-IL"/>
        </w:rPr>
        <w:t xml:space="preserve"> (only);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maintains that they are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claims that they are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will argue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omitted an additional case where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disagree (concerning the view of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>).</w:t>
      </w:r>
    </w:p>
    <w:p w:rsidR="00B92175" w:rsidRPr="0052601C" w:rsidRDefault="0052601C" w:rsidP="00151408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---------------------</w:t>
      </w:r>
    </w:p>
    <w:p w:rsidR="0052601C" w:rsidRPr="0052601C" w:rsidRDefault="0052601C" w:rsidP="00151408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asks:</w:t>
      </w:r>
    </w:p>
    <w:p w:rsidR="00B92175" w:rsidRPr="00AD2310" w:rsidRDefault="00B92175" w:rsidP="00AD2310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D2310">
        <w:rPr>
          <w:rFonts w:ascii="David" w:hAnsi="David" w:cs="David"/>
          <w:b/>
          <w:bCs/>
          <w:rtl/>
          <w:lang w:bidi="he-IL"/>
        </w:rPr>
        <w:t xml:space="preserve">תימה דהוה ליה למימר ממזר צווח ושותק וחלל שותק איכא בינייהו </w:t>
      </w:r>
      <w:r w:rsidR="00AD2310">
        <w:rPr>
          <w:rFonts w:ascii="David" w:hAnsi="David" w:cs="David"/>
          <w:b/>
          <w:bCs/>
          <w:lang w:bidi="he-IL"/>
        </w:rPr>
        <w:t>-</w:t>
      </w:r>
    </w:p>
    <w:p w:rsidR="00B92175" w:rsidRDefault="00B92175" w:rsidP="00151408">
      <w:pPr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 xml:space="preserve">It is </w:t>
      </w:r>
      <w:r w:rsidR="00151408">
        <w:rPr>
          <w:b/>
          <w:bCs/>
          <w:lang w:bidi="he-IL"/>
        </w:rPr>
        <w:t>astound</w:t>
      </w:r>
      <w:r>
        <w:rPr>
          <w:b/>
          <w:bCs/>
          <w:lang w:bidi="he-IL"/>
        </w:rPr>
        <w:t xml:space="preserve">ing!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should have said that the difference between </w:t>
      </w:r>
      <w:r w:rsidRPr="00C5070B">
        <w:rPr>
          <w:lang w:bidi="he-IL"/>
        </w:rPr>
        <w:t>the</w:t>
      </w:r>
      <w:r w:rsidR="00C5070B">
        <w:rPr>
          <w:lang w:bidi="he-IL"/>
        </w:rPr>
        <w:t xml:space="preserve"> </w:t>
      </w:r>
      <w:r w:rsidR="00C5070B">
        <w:rPr>
          <w:rFonts w:hint="cs"/>
          <w:rtl/>
          <w:lang w:bidi="he-IL"/>
        </w:rPr>
        <w:t>ת"ק</w:t>
      </w:r>
      <w:r w:rsidR="00C5070B">
        <w:rPr>
          <w:lang w:bidi="he-IL"/>
        </w:rPr>
        <w:t xml:space="preserve"> and </w:t>
      </w:r>
      <w:r w:rsidR="00C5070B">
        <w:rPr>
          <w:rFonts w:hint="cs"/>
          <w:rtl/>
          <w:lang w:bidi="he-IL"/>
        </w:rPr>
        <w:t>רשב"א</w:t>
      </w:r>
      <w:r>
        <w:rPr>
          <w:b/>
          <w:bCs/>
          <w:lang w:bidi="he-IL"/>
        </w:rPr>
        <w:t xml:space="preserve"> is by a </w:t>
      </w:r>
      <w:r>
        <w:rPr>
          <w:rFonts w:hint="cs"/>
          <w:b/>
          <w:bCs/>
          <w:rtl/>
          <w:lang w:bidi="he-IL"/>
        </w:rPr>
        <w:t>ממזר</w:t>
      </w:r>
      <w:r>
        <w:rPr>
          <w:b/>
          <w:bCs/>
          <w:lang w:bidi="he-IL"/>
        </w:rPr>
        <w:t xml:space="preserve"> who </w:t>
      </w:r>
      <w:r>
        <w:rPr>
          <w:lang w:bidi="he-IL"/>
        </w:rPr>
        <w:t xml:space="preserve">either </w:t>
      </w:r>
      <w:r>
        <w:rPr>
          <w:b/>
          <w:bCs/>
          <w:lang w:bidi="he-IL"/>
        </w:rPr>
        <w:t xml:space="preserve">screams </w:t>
      </w:r>
      <w:r w:rsidRPr="0052601C">
        <w:rPr>
          <w:b/>
          <w:bCs/>
          <w:u w:val="single"/>
          <w:lang w:bidi="he-IL"/>
        </w:rPr>
        <w:t>or remains silent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(to include a </w:t>
      </w:r>
      <w:r>
        <w:rPr>
          <w:rFonts w:hint="cs"/>
          <w:rtl/>
          <w:lang w:bidi="he-IL"/>
        </w:rPr>
        <w:t>ממזר שותק</w:t>
      </w:r>
      <w:r>
        <w:rPr>
          <w:lang w:bidi="he-IL"/>
        </w:rPr>
        <w:t>)</w:t>
      </w:r>
      <w:r>
        <w:rPr>
          <w:b/>
          <w:bCs/>
          <w:lang w:bidi="he-IL"/>
        </w:rPr>
        <w:t xml:space="preserve">, and by a </w:t>
      </w:r>
      <w:r>
        <w:rPr>
          <w:rFonts w:hint="cs"/>
          <w:b/>
          <w:bCs/>
          <w:rtl/>
          <w:lang w:bidi="he-IL"/>
        </w:rPr>
        <w:t>חלל</w:t>
      </w:r>
      <w:r>
        <w:rPr>
          <w:b/>
          <w:bCs/>
          <w:lang w:bidi="he-IL"/>
        </w:rPr>
        <w:t xml:space="preserve"> who </w:t>
      </w:r>
      <w:r>
        <w:rPr>
          <w:lang w:bidi="he-IL"/>
        </w:rPr>
        <w:t xml:space="preserve">remains </w:t>
      </w:r>
      <w:r>
        <w:rPr>
          <w:b/>
          <w:bCs/>
          <w:lang w:bidi="he-IL"/>
        </w:rPr>
        <w:t>silent</w:t>
      </w:r>
      <w:r w:rsidR="00AD2310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– </w:t>
      </w:r>
    </w:p>
    <w:p w:rsidR="00B92175" w:rsidRPr="00AD2310" w:rsidRDefault="00B92175" w:rsidP="00AD2310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D2310">
        <w:rPr>
          <w:rFonts w:ascii="David" w:hAnsi="David" w:cs="David"/>
          <w:b/>
          <w:bCs/>
          <w:rtl/>
          <w:lang w:bidi="he-IL"/>
        </w:rPr>
        <w:t>ד</w:t>
      </w:r>
      <w:r w:rsidR="00AD2310">
        <w:rPr>
          <w:rFonts w:ascii="David" w:hAnsi="David" w:cs="David" w:hint="cs"/>
          <w:b/>
          <w:bCs/>
          <w:rtl/>
          <w:lang w:bidi="he-IL"/>
        </w:rPr>
        <w:t>ב</w:t>
      </w:r>
      <w:r w:rsidRPr="00AD2310">
        <w:rPr>
          <w:rFonts w:ascii="David" w:hAnsi="David" w:cs="David"/>
          <w:b/>
          <w:bCs/>
          <w:rtl/>
          <w:lang w:bidi="he-IL"/>
        </w:rPr>
        <w:t>ממזר שותק נמי פליגי</w:t>
      </w:r>
      <w:r w:rsidR="00151408" w:rsidRPr="00AD2310">
        <w:rPr>
          <w:rStyle w:val="FootnoteReference"/>
          <w:rFonts w:ascii="David" w:hAnsi="David" w:cs="David"/>
          <w:b/>
          <w:bCs/>
          <w:lang w:bidi="he-IL"/>
        </w:rPr>
        <w:footnoteReference w:id="1"/>
      </w:r>
      <w:r w:rsidRPr="00AD2310">
        <w:rPr>
          <w:rFonts w:ascii="David" w:hAnsi="David" w:cs="David"/>
          <w:b/>
          <w:bCs/>
          <w:rtl/>
          <w:lang w:bidi="he-IL"/>
        </w:rPr>
        <w:t xml:space="preserve"> דהא מכשר ליה רבי שמעון בן אלעזר</w:t>
      </w:r>
      <w:r w:rsidR="00151408" w:rsidRPr="00AD2310">
        <w:rPr>
          <w:rStyle w:val="FootnoteReference"/>
          <w:rFonts w:ascii="David" w:hAnsi="David" w:cs="David"/>
          <w:b/>
          <w:bCs/>
          <w:lang w:bidi="he-IL"/>
        </w:rPr>
        <w:footnoteReference w:id="2"/>
      </w:r>
      <w:r w:rsidRPr="00AD2310">
        <w:rPr>
          <w:rFonts w:ascii="David" w:hAnsi="David" w:cs="David"/>
          <w:b/>
          <w:bCs/>
          <w:rtl/>
          <w:lang w:bidi="he-IL"/>
        </w:rPr>
        <w:t xml:space="preserve"> </w:t>
      </w:r>
      <w:r w:rsidR="00AD2310">
        <w:rPr>
          <w:rFonts w:ascii="David" w:hAnsi="David" w:cs="David"/>
          <w:b/>
          <w:bCs/>
          <w:lang w:bidi="he-IL"/>
        </w:rPr>
        <w:t>-</w:t>
      </w:r>
    </w:p>
    <w:p w:rsidR="00B92175" w:rsidRDefault="00AD2310" w:rsidP="00AD2310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Since</w:t>
      </w:r>
      <w:r w:rsidR="00B92175">
        <w:rPr>
          <w:b/>
          <w:bCs/>
          <w:lang w:bidi="he-IL"/>
        </w:rPr>
        <w:t xml:space="preserve"> they argue by a </w:t>
      </w:r>
      <w:r w:rsidR="00B92175">
        <w:rPr>
          <w:rFonts w:hint="cs"/>
          <w:b/>
          <w:bCs/>
          <w:rtl/>
          <w:lang w:bidi="he-IL"/>
        </w:rPr>
        <w:t>ממזר שותק</w:t>
      </w:r>
      <w:r w:rsidR="00B92175">
        <w:rPr>
          <w:b/>
          <w:bCs/>
          <w:lang w:bidi="he-IL"/>
        </w:rPr>
        <w:t xml:space="preserve"> as well; for </w:t>
      </w:r>
      <w:r w:rsidR="00B92175">
        <w:rPr>
          <w:rFonts w:hint="cs"/>
          <w:b/>
          <w:bCs/>
          <w:rtl/>
          <w:lang w:bidi="he-IL"/>
        </w:rPr>
        <w:t>רשב"א</w:t>
      </w:r>
      <w:r w:rsidR="00B92175">
        <w:rPr>
          <w:b/>
          <w:bCs/>
          <w:lang w:bidi="he-IL"/>
        </w:rPr>
        <w:t xml:space="preserve"> </w:t>
      </w:r>
      <w:r w:rsidR="00B92175">
        <w:rPr>
          <w:lang w:bidi="he-IL"/>
        </w:rPr>
        <w:t xml:space="preserve">maintains </w:t>
      </w:r>
      <w:r w:rsidR="00B92175">
        <w:rPr>
          <w:b/>
          <w:bCs/>
          <w:lang w:bidi="he-IL"/>
        </w:rPr>
        <w:t xml:space="preserve">that </w:t>
      </w:r>
      <w:r w:rsidR="00B92175">
        <w:rPr>
          <w:lang w:bidi="he-IL"/>
        </w:rPr>
        <w:t xml:space="preserve">a </w:t>
      </w:r>
      <w:r w:rsidR="00B92175">
        <w:rPr>
          <w:rFonts w:hint="cs"/>
          <w:rtl/>
          <w:lang w:bidi="he-IL"/>
        </w:rPr>
        <w:t>ממזר שותק</w:t>
      </w:r>
      <w:r w:rsidR="00B92175">
        <w:rPr>
          <w:lang w:bidi="he-IL"/>
        </w:rPr>
        <w:t xml:space="preserve"> </w:t>
      </w:r>
      <w:r w:rsidR="00B92175">
        <w:rPr>
          <w:b/>
          <w:bCs/>
          <w:lang w:bidi="he-IL"/>
        </w:rPr>
        <w:t xml:space="preserve">is </w:t>
      </w:r>
      <w:r w:rsidR="00B92175">
        <w:rPr>
          <w:rFonts w:hint="cs"/>
          <w:b/>
          <w:bCs/>
          <w:rtl/>
          <w:lang w:bidi="he-IL"/>
        </w:rPr>
        <w:t>כשר</w:t>
      </w:r>
      <w:r>
        <w:rPr>
          <w:sz w:val="24"/>
          <w:szCs w:val="24"/>
          <w:lang w:bidi="he-IL"/>
        </w:rPr>
        <w:t xml:space="preserve"> (and the </w:t>
      </w:r>
      <w:r>
        <w:rPr>
          <w:rFonts w:hint="cs"/>
          <w:sz w:val="24"/>
          <w:szCs w:val="24"/>
          <w:rtl/>
          <w:lang w:bidi="he-IL"/>
        </w:rPr>
        <w:t>ת"ק</w:t>
      </w:r>
      <w:r>
        <w:rPr>
          <w:sz w:val="24"/>
          <w:szCs w:val="24"/>
          <w:lang w:bidi="he-IL"/>
        </w:rPr>
        <w:t xml:space="preserve"> maintains that a </w:t>
      </w:r>
      <w:r>
        <w:rPr>
          <w:rFonts w:hint="cs"/>
          <w:sz w:val="24"/>
          <w:szCs w:val="24"/>
          <w:rtl/>
          <w:lang w:bidi="he-IL"/>
        </w:rPr>
        <w:t>ממזר שותק</w:t>
      </w:r>
      <w:r>
        <w:rPr>
          <w:sz w:val="24"/>
          <w:szCs w:val="24"/>
          <w:lang w:bidi="he-IL"/>
        </w:rPr>
        <w:t xml:space="preserve"> is </w:t>
      </w:r>
      <w:r>
        <w:rPr>
          <w:rFonts w:hint="cs"/>
          <w:sz w:val="24"/>
          <w:szCs w:val="24"/>
          <w:rtl/>
          <w:lang w:bidi="he-IL"/>
        </w:rPr>
        <w:t>פסול</w:t>
      </w:r>
      <w:r>
        <w:rPr>
          <w:sz w:val="24"/>
          <w:szCs w:val="24"/>
          <w:lang w:bidi="he-IL"/>
        </w:rPr>
        <w:t>).</w:t>
      </w:r>
    </w:p>
    <w:p w:rsidR="0052601C" w:rsidRDefault="0052601C" w:rsidP="00151408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52601C" w:rsidRPr="00151408" w:rsidRDefault="0052601C" w:rsidP="00151408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51408">
        <w:rPr>
          <w:rFonts w:ascii="Copperplate Gothic Bold" w:hAnsi="Copperplate Gothic Bold"/>
          <w:u w:val="double"/>
          <w:lang w:bidi="he-IL"/>
        </w:rPr>
        <w:t>Summary</w:t>
      </w:r>
    </w:p>
    <w:p w:rsidR="0052601C" w:rsidRDefault="0052601C" w:rsidP="00B72BCE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should have mentioned that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also argue by a </w:t>
      </w:r>
      <w:r>
        <w:rPr>
          <w:rFonts w:hint="cs"/>
          <w:rtl/>
          <w:lang w:bidi="he-IL"/>
        </w:rPr>
        <w:t>ממזר שותק</w:t>
      </w:r>
      <w:r w:rsidR="00B72BCE">
        <w:rPr>
          <w:lang w:bidi="he-IL"/>
        </w:rPr>
        <w:t>.</w:t>
      </w:r>
      <w:r>
        <w:rPr>
          <w:lang w:bidi="he-IL"/>
        </w:rPr>
        <w:t xml:space="preserve"> </w:t>
      </w:r>
    </w:p>
    <w:p w:rsidR="0052601C" w:rsidRPr="00F5129B" w:rsidRDefault="0052601C" w:rsidP="00151408">
      <w:pPr>
        <w:spacing w:line="276" w:lineRule="auto"/>
        <w:jc w:val="both"/>
        <w:rPr>
          <w:sz w:val="24"/>
          <w:szCs w:val="24"/>
          <w:lang w:bidi="he-IL"/>
        </w:rPr>
      </w:pPr>
    </w:p>
    <w:p w:rsidR="0052601C" w:rsidRPr="00151408" w:rsidRDefault="0052601C" w:rsidP="00151408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51408">
        <w:rPr>
          <w:rFonts w:ascii="Copperplate Gothic Bold" w:hAnsi="Copperplate Gothic Bold"/>
          <w:u w:val="double"/>
          <w:lang w:bidi="he-IL"/>
        </w:rPr>
        <w:t>Thinking it over</w:t>
      </w:r>
    </w:p>
    <w:p w:rsidR="0052601C" w:rsidRPr="0052601C" w:rsidRDefault="00000972" w:rsidP="00B72BCE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Perhaps we can answer that the reason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did not include </w:t>
      </w:r>
      <w:r>
        <w:rPr>
          <w:rFonts w:hint="cs"/>
          <w:rtl/>
          <w:lang w:bidi="he-IL"/>
        </w:rPr>
        <w:t>ממזר שותק</w:t>
      </w:r>
      <w:r>
        <w:rPr>
          <w:lang w:bidi="he-IL"/>
        </w:rPr>
        <w:t xml:space="preserve"> with </w:t>
      </w:r>
      <w:r>
        <w:rPr>
          <w:rFonts w:hint="cs"/>
          <w:rtl/>
          <w:lang w:bidi="he-IL"/>
        </w:rPr>
        <w:t>ממזר צווח וחלל שותק</w:t>
      </w:r>
      <w:r>
        <w:rPr>
          <w:lang w:bidi="he-IL"/>
        </w:rPr>
        <w:t xml:space="preserve"> is that by the latter two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מחמיר</w:t>
      </w:r>
      <w:r>
        <w:rPr>
          <w:lang w:bidi="he-IL"/>
        </w:rPr>
        <w:t xml:space="preserve"> and by the former he is </w:t>
      </w:r>
      <w:r>
        <w:rPr>
          <w:rFonts w:hint="cs"/>
          <w:rtl/>
          <w:lang w:bidi="he-IL"/>
        </w:rPr>
        <w:t>מקיל</w:t>
      </w:r>
      <w:r>
        <w:rPr>
          <w:lang w:bidi="he-IL"/>
        </w:rPr>
        <w:t>.</w:t>
      </w:r>
      <w:r w:rsidR="00AD2310">
        <w:rPr>
          <w:rStyle w:val="FootnoteReference"/>
          <w:lang w:bidi="he-IL"/>
        </w:rPr>
        <w:footnoteReference w:id="3"/>
      </w:r>
      <w:r>
        <w:rPr>
          <w:lang w:bidi="he-IL"/>
        </w:rPr>
        <w:t xml:space="preserve"> In addition </w:t>
      </w:r>
      <w:r>
        <w:rPr>
          <w:rFonts w:hint="cs"/>
          <w:rtl/>
          <w:lang w:bidi="he-IL"/>
        </w:rPr>
        <w:t>ר' יוחנן</w:t>
      </w:r>
      <w:r>
        <w:rPr>
          <w:lang w:bidi="he-IL"/>
        </w:rPr>
        <w:t xml:space="preserve"> assumed that the </w:t>
      </w:r>
      <w:r>
        <w:rPr>
          <w:rFonts w:hint="cs"/>
          <w:rtl/>
          <w:lang w:bidi="he-IL"/>
        </w:rPr>
        <w:t>חילוק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ממזר (שותק)</w:t>
      </w:r>
      <w:r>
        <w:rPr>
          <w:lang w:bidi="he-IL"/>
        </w:rPr>
        <w:t xml:space="preserve"> is explicit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(which states </w:t>
      </w:r>
      <w:r>
        <w:rPr>
          <w:rFonts w:hint="cs"/>
          <w:rtl/>
          <w:lang w:bidi="he-IL"/>
        </w:rPr>
        <w:t>מכירין ישראל ממזרים שביניהם</w:t>
      </w:r>
      <w:r>
        <w:rPr>
          <w:lang w:bidi="he-IL"/>
        </w:rPr>
        <w:t xml:space="preserve">) and needs no further elaboration; however </w:t>
      </w:r>
      <w:r>
        <w:rPr>
          <w:rFonts w:hint="cs"/>
          <w:rtl/>
          <w:lang w:bidi="he-IL"/>
        </w:rPr>
        <w:t>ממזר צווח וחלל שותק</w:t>
      </w:r>
      <w:r>
        <w:rPr>
          <w:lang w:bidi="he-IL"/>
        </w:rPr>
        <w:t xml:space="preserve"> are not (that clearly) mentioned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. </w:t>
      </w:r>
      <w:r>
        <w:rPr>
          <w:rFonts w:hint="cs"/>
          <w:rtl/>
          <w:lang w:bidi="he-IL"/>
        </w:rPr>
        <w:t>ודו"ק</w:t>
      </w:r>
      <w:r>
        <w:rPr>
          <w:lang w:bidi="he-IL"/>
        </w:rPr>
        <w:t>.</w:t>
      </w:r>
    </w:p>
    <w:sectPr w:rsidR="0052601C" w:rsidRPr="0052601C" w:rsidSect="00B72B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C48" w:rsidRDefault="00AD1C48">
      <w:r>
        <w:separator/>
      </w:r>
    </w:p>
  </w:endnote>
  <w:endnote w:type="continuationSeparator" w:id="0">
    <w:p w:rsidR="00AD1C48" w:rsidRDefault="00AD1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BCE" w:rsidRPr="00B72BCE" w:rsidRDefault="00B72BCE" w:rsidP="00B72BCE">
    <w:pPr>
      <w:pStyle w:val="Footer"/>
      <w:jc w:val="center"/>
      <w:rPr>
        <w:sz w:val="16"/>
        <w:szCs w:val="16"/>
      </w:rPr>
    </w:pPr>
    <w:r w:rsidRPr="00B72BCE">
      <w:rPr>
        <w:sz w:val="16"/>
        <w:szCs w:val="16"/>
      </w:rPr>
      <w:t>TosfosInEnglish.com</w:t>
    </w:r>
  </w:p>
  <w:p w:rsidR="00C5070B" w:rsidRPr="00B72BCE" w:rsidRDefault="00C5070B" w:rsidP="00BE1625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C48" w:rsidRDefault="00AD1C48">
      <w:r>
        <w:separator/>
      </w:r>
    </w:p>
  </w:footnote>
  <w:footnote w:type="continuationSeparator" w:id="0">
    <w:p w:rsidR="00AD1C48" w:rsidRDefault="00AD1C48">
      <w:r>
        <w:continuationSeparator/>
      </w:r>
    </w:p>
  </w:footnote>
  <w:footnote w:id="1">
    <w:p w:rsidR="00151408" w:rsidRDefault="00151408" w:rsidP="00AD231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רשב"א</w:t>
      </w:r>
      <w:r>
        <w:rPr>
          <w:lang w:bidi="he-IL"/>
        </w:rPr>
        <w:t xml:space="preserve"> clearly states </w:t>
      </w:r>
      <w:r>
        <w:rPr>
          <w:rFonts w:hint="cs"/>
          <w:rtl/>
          <w:lang w:bidi="he-IL"/>
        </w:rPr>
        <w:t>'אי שמיע לך דמכשיר ר"מ בשתיקה וכו' אלא דקרו ליה ממזר ושתיק'</w:t>
      </w:r>
      <w:r>
        <w:rPr>
          <w:lang w:bidi="he-IL"/>
        </w:rPr>
        <w:t xml:space="preserve">. According to the </w:t>
      </w:r>
      <w:r>
        <w:rPr>
          <w:rFonts w:hint="cs"/>
          <w:rtl/>
          <w:lang w:bidi="he-IL"/>
        </w:rPr>
        <w:t>ת"ק</w:t>
      </w:r>
      <w:r>
        <w:rPr>
          <w:lang w:bidi="he-IL"/>
        </w:rPr>
        <w:t xml:space="preserve"> (himself, as well as </w:t>
      </w:r>
      <w:r>
        <w:rPr>
          <w:rFonts w:hint="cs"/>
          <w:rtl/>
          <w:lang w:bidi="he-IL"/>
        </w:rPr>
        <w:t>ר"מ אליבא דת"ק</w:t>
      </w:r>
      <w:r>
        <w:rPr>
          <w:lang w:bidi="he-IL"/>
        </w:rPr>
        <w:t xml:space="preserve">) a </w:t>
      </w:r>
      <w:r>
        <w:rPr>
          <w:rFonts w:hint="cs"/>
          <w:rtl/>
          <w:lang w:bidi="he-IL"/>
        </w:rPr>
        <w:t>שתוק ממזר</w:t>
      </w:r>
      <w:r>
        <w:rPr>
          <w:lang w:bidi="he-IL"/>
        </w:rPr>
        <w:t xml:space="preserve"> is definitely </w:t>
      </w:r>
      <w:r>
        <w:rPr>
          <w:rFonts w:hint="cs"/>
          <w:rtl/>
          <w:lang w:bidi="he-IL"/>
        </w:rPr>
        <w:t>פסול</w:t>
      </w:r>
      <w:r>
        <w:rPr>
          <w:lang w:bidi="he-IL"/>
        </w:rPr>
        <w:t>.</w:t>
      </w:r>
    </w:p>
  </w:footnote>
  <w:footnote w:id="2">
    <w:p w:rsidR="00151408" w:rsidRPr="00C5070B" w:rsidRDefault="00151408" w:rsidP="00AD2310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הרא"ש</w:t>
      </w:r>
      <w:r>
        <w:rPr>
          <w:lang w:bidi="he-IL"/>
        </w:rPr>
        <w:t xml:space="preserve"> who answers that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means that they argue </w:t>
      </w:r>
      <w:r>
        <w:rPr>
          <w:u w:val="single"/>
          <w:lang w:bidi="he-IL"/>
        </w:rPr>
        <w:t>even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ממזר צווח</w:t>
      </w:r>
      <w:r>
        <w:rPr>
          <w:lang w:bidi="he-IL"/>
        </w:rPr>
        <w:t>.</w:t>
      </w:r>
    </w:p>
  </w:footnote>
  <w:footnote w:id="3">
    <w:p w:rsidR="00AD2310" w:rsidRDefault="00AD2310" w:rsidP="00AD231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תו"י</w:t>
      </w:r>
      <w:r>
        <w:rPr>
          <w:lang w:bidi="he-IL"/>
        </w:rPr>
        <w:t xml:space="preserve"> in the margin.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70B" w:rsidRPr="00BE1625" w:rsidRDefault="00C5070B" w:rsidP="00BE1625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יד,ב תוס' ד"ה ממזר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625"/>
    <w:rsid w:val="00000972"/>
    <w:rsid w:val="00151408"/>
    <w:rsid w:val="00184D2E"/>
    <w:rsid w:val="0020216B"/>
    <w:rsid w:val="00210A1E"/>
    <w:rsid w:val="003F6705"/>
    <w:rsid w:val="004E123C"/>
    <w:rsid w:val="0052601C"/>
    <w:rsid w:val="007552E7"/>
    <w:rsid w:val="0077482C"/>
    <w:rsid w:val="00845744"/>
    <w:rsid w:val="0089054C"/>
    <w:rsid w:val="00A40240"/>
    <w:rsid w:val="00AD1C48"/>
    <w:rsid w:val="00AD2310"/>
    <w:rsid w:val="00B72BCE"/>
    <w:rsid w:val="00B92175"/>
    <w:rsid w:val="00BE1625"/>
    <w:rsid w:val="00C5070B"/>
    <w:rsid w:val="00C62173"/>
    <w:rsid w:val="00D54370"/>
    <w:rsid w:val="00D80DE2"/>
    <w:rsid w:val="00F5129B"/>
    <w:rsid w:val="00FC447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C7DCD69-BB9C-42CD-81D0-3B869E52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E16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16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52601C"/>
    <w:rPr>
      <w:sz w:val="20"/>
      <w:szCs w:val="20"/>
    </w:rPr>
  </w:style>
  <w:style w:type="character" w:styleId="FootnoteReference">
    <w:name w:val="footnote reference"/>
    <w:semiHidden/>
    <w:rsid w:val="0052601C"/>
    <w:rPr>
      <w:vertAlign w:val="superscript"/>
    </w:rPr>
  </w:style>
  <w:style w:type="character" w:customStyle="1" w:styleId="FooterChar">
    <w:name w:val="Footer Char"/>
    <w:link w:val="Footer"/>
    <w:uiPriority w:val="99"/>
    <w:rsid w:val="00AD2310"/>
    <w:rPr>
      <w:sz w:val="28"/>
      <w:szCs w:val="28"/>
      <w:lang w:bidi="ar-SA"/>
    </w:rPr>
  </w:style>
  <w:style w:type="paragraph" w:styleId="BalloonText">
    <w:name w:val="Balloon Text"/>
    <w:basedOn w:val="Normal"/>
    <w:link w:val="BalloonTextChar"/>
    <w:rsid w:val="00B72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2BC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ממזר צווח וחלל שותק איכא בינייהו –</vt:lpstr>
    </vt:vector>
  </TitlesOfParts>
  <Company> 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ממזר צווח וחלל שותק איכא בינייהו –</dc:title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