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803214" w:rsidP="005468F1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פרט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לזורק אבן לגו </w:t>
      </w:r>
      <w:r>
        <w:rPr>
          <w:b/>
          <w:bCs/>
          <w:sz w:val="32"/>
          <w:szCs w:val="32"/>
          <w:rtl/>
          <w:lang w:bidi="he-IL"/>
        </w:rPr>
        <w:t>–</w:t>
      </w:r>
    </w:p>
    <w:p w:rsidR="00803214" w:rsidRDefault="00803214" w:rsidP="005468F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It excludes</w:t>
      </w:r>
      <w:r w:rsidR="003174A2">
        <w:rPr>
          <w:b/>
          <w:bCs/>
          <w:sz w:val="32"/>
          <w:szCs w:val="32"/>
          <w:lang w:bidi="he-IL"/>
        </w:rPr>
        <w:t>,</w:t>
      </w:r>
      <w:r>
        <w:rPr>
          <w:b/>
          <w:bCs/>
          <w:sz w:val="32"/>
          <w:szCs w:val="32"/>
          <w:lang w:bidi="he-IL"/>
        </w:rPr>
        <w:t xml:space="preserve"> </w:t>
      </w:r>
      <w:r w:rsidR="003174A2">
        <w:rPr>
          <w:b/>
          <w:bCs/>
          <w:sz w:val="32"/>
          <w:szCs w:val="32"/>
          <w:lang w:bidi="he-IL"/>
        </w:rPr>
        <w:t>one who</w:t>
      </w:r>
      <w:r>
        <w:rPr>
          <w:b/>
          <w:bCs/>
          <w:sz w:val="32"/>
          <w:szCs w:val="32"/>
          <w:lang w:bidi="he-IL"/>
        </w:rPr>
        <w:t xml:space="preserve"> thr</w:t>
      </w:r>
      <w:r w:rsidR="003174A2">
        <w:rPr>
          <w:b/>
          <w:bCs/>
          <w:sz w:val="32"/>
          <w:szCs w:val="32"/>
          <w:lang w:bidi="he-IL"/>
        </w:rPr>
        <w:t>o</w:t>
      </w:r>
      <w:r>
        <w:rPr>
          <w:b/>
          <w:bCs/>
          <w:sz w:val="32"/>
          <w:szCs w:val="32"/>
          <w:lang w:bidi="he-IL"/>
        </w:rPr>
        <w:t>w</w:t>
      </w:r>
      <w:r w:rsidR="003174A2">
        <w:rPr>
          <w:b/>
          <w:bCs/>
          <w:sz w:val="32"/>
          <w:szCs w:val="32"/>
          <w:lang w:bidi="he-IL"/>
        </w:rPr>
        <w:t>s</w:t>
      </w:r>
      <w:r>
        <w:rPr>
          <w:b/>
          <w:bCs/>
          <w:sz w:val="32"/>
          <w:szCs w:val="32"/>
          <w:lang w:bidi="he-IL"/>
        </w:rPr>
        <w:t xml:space="preserve"> a stone in their midst.</w:t>
      </w:r>
    </w:p>
    <w:p w:rsidR="00803214" w:rsidRDefault="00803214" w:rsidP="005468F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803214" w:rsidRPr="009013F1" w:rsidRDefault="00AD7CDF" w:rsidP="005468F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013F1">
        <w:rPr>
          <w:rFonts w:ascii="Copperplate Gothic Bold" w:hAnsi="Copperplate Gothic Bold"/>
          <w:u w:val="double"/>
          <w:lang w:bidi="he-IL"/>
        </w:rPr>
        <w:t>Overview</w:t>
      </w:r>
    </w:p>
    <w:p w:rsidR="00AD7CDF" w:rsidRPr="00AD7CDF" w:rsidRDefault="00AD7CDF" w:rsidP="005468F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derive the rule of </w:t>
      </w:r>
      <w:r>
        <w:rPr>
          <w:rFonts w:hint="cs"/>
          <w:rtl/>
          <w:lang w:bidi="he-IL"/>
        </w:rPr>
        <w:t>כל קבוע כמחצה על מחצה דמי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פסוק וארב לו וקם עליו</w:t>
      </w:r>
      <w:r>
        <w:rPr>
          <w:lang w:bidi="he-IL"/>
        </w:rPr>
        <w:t xml:space="preserve"> (as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here explains). However, </w:t>
      </w:r>
      <w:r>
        <w:rPr>
          <w:rFonts w:hint="cs"/>
          <w:rtl/>
          <w:lang w:bidi="he-IL"/>
        </w:rPr>
        <w:t>רבי שמעון</w:t>
      </w:r>
      <w:r>
        <w:rPr>
          <w:lang w:bidi="he-IL"/>
        </w:rPr>
        <w:t xml:space="preserve"> derives from this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that if </w:t>
      </w:r>
      <w:r>
        <w:rPr>
          <w:rFonts w:hint="cs"/>
          <w:rtl/>
          <w:lang w:bidi="he-IL"/>
        </w:rPr>
        <w:t>נתכוין להר</w:t>
      </w:r>
      <w:r w:rsidR="0026296C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ג את זה והרג את זה</w:t>
      </w:r>
      <w:r>
        <w:rPr>
          <w:lang w:bidi="he-IL"/>
        </w:rPr>
        <w:t xml:space="preserve"> that he is </w:t>
      </w:r>
      <w:r>
        <w:rPr>
          <w:rFonts w:hint="cs"/>
          <w:rtl/>
          <w:lang w:bidi="he-IL"/>
        </w:rPr>
        <w:t>פטור ממיתה</w:t>
      </w:r>
      <w:r>
        <w:rPr>
          <w:lang w:bidi="he-IL"/>
        </w:rPr>
        <w:t>.</w:t>
      </w:r>
      <w:r w:rsidR="00E32268">
        <w:rPr>
          <w:lang w:bidi="he-IL"/>
        </w:rPr>
        <w:t xml:space="preserve"> The question arises, from where does </w:t>
      </w:r>
      <w:r w:rsidR="00E32268">
        <w:rPr>
          <w:rFonts w:hint="cs"/>
          <w:rtl/>
          <w:lang w:bidi="he-IL"/>
        </w:rPr>
        <w:t>ר"ש</w:t>
      </w:r>
      <w:r w:rsidR="00E32268">
        <w:rPr>
          <w:lang w:bidi="he-IL"/>
        </w:rPr>
        <w:t xml:space="preserve"> derive the rule of </w:t>
      </w:r>
      <w:r w:rsidR="00E32268">
        <w:rPr>
          <w:rFonts w:hint="cs"/>
          <w:rtl/>
          <w:lang w:bidi="he-IL"/>
        </w:rPr>
        <w:t>קבוע</w:t>
      </w:r>
      <w:r w:rsidR="00E32268">
        <w:rPr>
          <w:lang w:bidi="he-IL"/>
        </w:rPr>
        <w:t>.</w:t>
      </w:r>
      <w:r w:rsidR="00E32268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</w:t>
      </w:r>
    </w:p>
    <w:p w:rsidR="00803214" w:rsidRPr="00E32268" w:rsidRDefault="00E32268" w:rsidP="005468F1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803214" w:rsidRDefault="00803214" w:rsidP="005468F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803214" w:rsidRPr="00AC1499" w:rsidRDefault="00803214" w:rsidP="005468F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AC1499">
        <w:rPr>
          <w:rFonts w:ascii="David" w:hAnsi="David" w:cs="David"/>
          <w:b/>
          <w:bCs/>
          <w:rtl/>
          <w:lang w:bidi="he-IL"/>
        </w:rPr>
        <w:t xml:space="preserve">תימה דלרבי שמעון קבוע מנא ליה </w:t>
      </w:r>
      <w:r w:rsidR="00AC1499">
        <w:rPr>
          <w:rFonts w:ascii="David" w:hAnsi="David" w:cs="David"/>
          <w:b/>
          <w:bCs/>
          <w:lang w:bidi="he-IL"/>
        </w:rPr>
        <w:t>-</w:t>
      </w:r>
    </w:p>
    <w:p w:rsidR="00CD2B10" w:rsidRPr="00E32268" w:rsidRDefault="00803214" w:rsidP="005468F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is </w:t>
      </w:r>
      <w:r w:rsidR="009013F1">
        <w:rPr>
          <w:b/>
          <w:bCs/>
          <w:lang w:bidi="he-IL"/>
        </w:rPr>
        <w:t>astound</w:t>
      </w:r>
      <w:r>
        <w:rPr>
          <w:b/>
          <w:bCs/>
          <w:lang w:bidi="he-IL"/>
        </w:rPr>
        <w:t xml:space="preserve">ing! According to </w:t>
      </w:r>
      <w:r>
        <w:rPr>
          <w:rFonts w:hint="cs"/>
          <w:b/>
          <w:bCs/>
          <w:rtl/>
          <w:lang w:bidi="he-IL"/>
        </w:rPr>
        <w:t>ר"ש</w:t>
      </w:r>
      <w:r>
        <w:rPr>
          <w:b/>
          <w:bCs/>
          <w:lang w:bidi="he-IL"/>
        </w:rPr>
        <w:t>,</w:t>
      </w:r>
      <w:r w:rsidR="00CD2B10" w:rsidRPr="00CD2B10">
        <w:rPr>
          <w:b/>
          <w:bCs/>
          <w:lang w:bidi="he-IL"/>
        </w:rPr>
        <w:t xml:space="preserve"> </w:t>
      </w:r>
      <w:r w:rsidR="00CD2B10">
        <w:rPr>
          <w:b/>
          <w:bCs/>
          <w:lang w:bidi="he-IL"/>
        </w:rPr>
        <w:t xml:space="preserve">how does he derive </w:t>
      </w:r>
      <w:r w:rsidR="00CD2B10">
        <w:rPr>
          <w:lang w:bidi="he-IL"/>
        </w:rPr>
        <w:t xml:space="preserve">the rule of </w:t>
      </w:r>
      <w:r w:rsidR="00CD2B10">
        <w:rPr>
          <w:rFonts w:hint="cs"/>
          <w:rtl/>
          <w:lang w:bidi="he-IL"/>
        </w:rPr>
        <w:t xml:space="preserve">כל </w:t>
      </w:r>
      <w:r w:rsidR="00CD2B10">
        <w:rPr>
          <w:rFonts w:hint="cs"/>
          <w:b/>
          <w:bCs/>
          <w:rtl/>
          <w:lang w:bidi="he-IL"/>
        </w:rPr>
        <w:t>קבוע</w:t>
      </w:r>
      <w:r w:rsidR="00CD2B10">
        <w:rPr>
          <w:rFonts w:hint="cs"/>
          <w:rtl/>
          <w:lang w:bidi="he-IL"/>
        </w:rPr>
        <w:t xml:space="preserve"> </w:t>
      </w:r>
      <w:r w:rsidR="00CD2B10" w:rsidRPr="005468F1">
        <w:rPr>
          <w:rFonts w:hint="cs"/>
          <w:rtl/>
          <w:lang w:bidi="he-IL"/>
        </w:rPr>
        <w:t>כמחצה</w:t>
      </w:r>
      <w:r w:rsidR="00CD2B10" w:rsidRPr="00E32268">
        <w:rPr>
          <w:rFonts w:hint="cs"/>
          <w:sz w:val="24"/>
          <w:szCs w:val="24"/>
          <w:rtl/>
          <w:lang w:bidi="he-IL"/>
        </w:rPr>
        <w:t xml:space="preserve"> על מחצה דמי</w:t>
      </w:r>
      <w:r w:rsidR="00CD2B10" w:rsidRPr="00E32268">
        <w:rPr>
          <w:sz w:val="24"/>
          <w:szCs w:val="24"/>
          <w:lang w:bidi="he-IL"/>
        </w:rPr>
        <w:t xml:space="preserve">. The rule of </w:t>
      </w:r>
      <w:r w:rsidR="00CD2B10" w:rsidRPr="00E32268">
        <w:rPr>
          <w:rFonts w:hint="cs"/>
          <w:sz w:val="24"/>
          <w:szCs w:val="24"/>
          <w:rtl/>
          <w:lang w:bidi="he-IL"/>
        </w:rPr>
        <w:t>קבוע</w:t>
      </w:r>
      <w:r w:rsidR="00CD2B10" w:rsidRPr="00E32268">
        <w:rPr>
          <w:sz w:val="24"/>
          <w:szCs w:val="24"/>
          <w:lang w:bidi="he-IL"/>
        </w:rPr>
        <w:t xml:space="preserve"> is derived from the </w:t>
      </w:r>
      <w:r w:rsidR="00CD2B10" w:rsidRPr="00E32268">
        <w:rPr>
          <w:rFonts w:hint="cs"/>
          <w:sz w:val="24"/>
          <w:szCs w:val="24"/>
          <w:rtl/>
          <w:lang w:bidi="he-IL"/>
        </w:rPr>
        <w:t>פסוק</w:t>
      </w:r>
      <w:r w:rsidR="00CD2B10" w:rsidRPr="00E32268">
        <w:rPr>
          <w:sz w:val="24"/>
          <w:szCs w:val="24"/>
          <w:lang w:bidi="he-IL"/>
        </w:rPr>
        <w:t xml:space="preserve"> of </w:t>
      </w:r>
      <w:r w:rsidR="00CD2B10" w:rsidRPr="00E32268">
        <w:rPr>
          <w:rFonts w:hint="cs"/>
          <w:sz w:val="24"/>
          <w:szCs w:val="24"/>
          <w:rtl/>
          <w:lang w:bidi="he-IL"/>
        </w:rPr>
        <w:t>וארב לו</w:t>
      </w:r>
      <w:r w:rsidR="00CD2B10" w:rsidRPr="00E32268">
        <w:rPr>
          <w:sz w:val="24"/>
          <w:szCs w:val="24"/>
          <w:lang w:bidi="he-IL"/>
        </w:rPr>
        <w:t>. However,</w:t>
      </w:r>
      <w:r w:rsidRPr="00E32268">
        <w:rPr>
          <w:sz w:val="24"/>
          <w:szCs w:val="24"/>
          <w:lang w:bidi="he-IL"/>
        </w:rPr>
        <w:t xml:space="preserve"> </w:t>
      </w:r>
      <w:r w:rsidR="00CD2B10" w:rsidRPr="00E32268">
        <w:rPr>
          <w:rFonts w:hint="cs"/>
          <w:sz w:val="24"/>
          <w:szCs w:val="24"/>
          <w:rtl/>
          <w:lang w:bidi="he-IL"/>
        </w:rPr>
        <w:t>ר"ש</w:t>
      </w:r>
      <w:r w:rsidR="00CD2B10" w:rsidRPr="00E32268">
        <w:rPr>
          <w:sz w:val="24"/>
          <w:szCs w:val="24"/>
          <w:lang w:bidi="he-IL"/>
        </w:rPr>
        <w:t xml:space="preserve"> </w:t>
      </w:r>
      <w:r w:rsidRPr="00E32268">
        <w:rPr>
          <w:sz w:val="24"/>
          <w:szCs w:val="24"/>
          <w:lang w:bidi="he-IL"/>
        </w:rPr>
        <w:t xml:space="preserve">interprets the </w:t>
      </w:r>
      <w:r w:rsidRPr="00E32268">
        <w:rPr>
          <w:rFonts w:hint="cs"/>
          <w:sz w:val="24"/>
          <w:szCs w:val="24"/>
          <w:rtl/>
          <w:lang w:bidi="he-IL"/>
        </w:rPr>
        <w:t>פסוק</w:t>
      </w:r>
      <w:r w:rsidRPr="00E32268">
        <w:rPr>
          <w:sz w:val="24"/>
          <w:szCs w:val="24"/>
          <w:lang w:bidi="he-IL"/>
        </w:rPr>
        <w:t xml:space="preserve"> of </w:t>
      </w:r>
      <w:r w:rsidRPr="00E32268">
        <w:rPr>
          <w:rFonts w:hint="cs"/>
          <w:sz w:val="24"/>
          <w:szCs w:val="24"/>
          <w:rtl/>
          <w:lang w:bidi="he-IL"/>
        </w:rPr>
        <w:t>וארב לו וגו'</w:t>
      </w:r>
      <w:r w:rsidRPr="00E32268">
        <w:rPr>
          <w:sz w:val="24"/>
          <w:szCs w:val="24"/>
          <w:lang w:bidi="he-IL"/>
        </w:rPr>
        <w:t xml:space="preserve"> to exclude a murderer, who killed an un</w:t>
      </w:r>
      <w:r w:rsidR="00E32268">
        <w:rPr>
          <w:sz w:val="24"/>
          <w:szCs w:val="24"/>
          <w:lang w:bidi="he-IL"/>
        </w:rPr>
        <w:t>in</w:t>
      </w:r>
      <w:r w:rsidRPr="00E32268">
        <w:rPr>
          <w:sz w:val="24"/>
          <w:szCs w:val="24"/>
          <w:lang w:bidi="he-IL"/>
        </w:rPr>
        <w:t xml:space="preserve">tended victim, from </w:t>
      </w:r>
      <w:r w:rsidRPr="00E32268">
        <w:rPr>
          <w:rFonts w:hint="cs"/>
          <w:sz w:val="24"/>
          <w:szCs w:val="24"/>
          <w:rtl/>
          <w:lang w:bidi="he-IL"/>
        </w:rPr>
        <w:t>מיתה</w:t>
      </w:r>
      <w:r w:rsidR="00CD2B10" w:rsidRPr="00E32268">
        <w:rPr>
          <w:sz w:val="24"/>
          <w:szCs w:val="24"/>
          <w:lang w:bidi="he-IL"/>
        </w:rPr>
        <w:t xml:space="preserve">. From which </w:t>
      </w:r>
      <w:r w:rsidR="00CD2B10" w:rsidRPr="00E32268">
        <w:rPr>
          <w:rFonts w:hint="cs"/>
          <w:sz w:val="24"/>
          <w:szCs w:val="24"/>
          <w:rtl/>
          <w:lang w:bidi="he-IL"/>
        </w:rPr>
        <w:t>פסוק</w:t>
      </w:r>
      <w:r w:rsidR="00CD2B10" w:rsidRPr="00E32268">
        <w:rPr>
          <w:sz w:val="24"/>
          <w:szCs w:val="24"/>
          <w:lang w:bidi="he-IL"/>
        </w:rPr>
        <w:t xml:space="preserve"> does </w:t>
      </w:r>
      <w:r w:rsidR="00CD2B10" w:rsidRPr="00E32268">
        <w:rPr>
          <w:rFonts w:hint="cs"/>
          <w:sz w:val="24"/>
          <w:szCs w:val="24"/>
          <w:rtl/>
          <w:lang w:bidi="he-IL"/>
        </w:rPr>
        <w:t>ר"ש</w:t>
      </w:r>
      <w:r w:rsidR="00CD2B10" w:rsidRPr="00E32268">
        <w:rPr>
          <w:sz w:val="24"/>
          <w:szCs w:val="24"/>
          <w:lang w:bidi="he-IL"/>
        </w:rPr>
        <w:t xml:space="preserve"> derive the rule of </w:t>
      </w:r>
      <w:r w:rsidR="00CD2B10" w:rsidRPr="00E32268">
        <w:rPr>
          <w:rFonts w:hint="cs"/>
          <w:sz w:val="24"/>
          <w:szCs w:val="24"/>
          <w:rtl/>
          <w:lang w:bidi="he-IL"/>
        </w:rPr>
        <w:t>קבוע</w:t>
      </w:r>
      <w:r w:rsidR="00CD2B10" w:rsidRPr="00E32268">
        <w:rPr>
          <w:sz w:val="24"/>
          <w:szCs w:val="24"/>
          <w:lang w:bidi="he-IL"/>
        </w:rPr>
        <w:t>.</w:t>
      </w:r>
    </w:p>
    <w:p w:rsidR="00CD2B10" w:rsidRPr="00E32268" w:rsidRDefault="00CD2B10" w:rsidP="005468F1">
      <w:pPr>
        <w:spacing w:line="276" w:lineRule="auto"/>
        <w:jc w:val="both"/>
        <w:rPr>
          <w:sz w:val="24"/>
          <w:szCs w:val="24"/>
          <w:lang w:bidi="he-IL"/>
        </w:rPr>
      </w:pPr>
    </w:p>
    <w:p w:rsidR="00CD2B10" w:rsidRPr="00E32268" w:rsidRDefault="00CD2B10" w:rsidP="005468F1">
      <w:pPr>
        <w:spacing w:line="276" w:lineRule="auto"/>
        <w:jc w:val="both"/>
        <w:rPr>
          <w:rFonts w:hint="cs"/>
          <w:sz w:val="24"/>
          <w:szCs w:val="24"/>
          <w:lang w:bidi="he-IL"/>
        </w:rPr>
      </w:pPr>
      <w:r w:rsidRPr="00E32268">
        <w:rPr>
          <w:rFonts w:hint="cs"/>
          <w:sz w:val="24"/>
          <w:szCs w:val="24"/>
          <w:rtl/>
          <w:lang w:bidi="he-IL"/>
        </w:rPr>
        <w:t>תוספות</w:t>
      </w:r>
      <w:r w:rsidRPr="00E32268">
        <w:rPr>
          <w:sz w:val="24"/>
          <w:szCs w:val="24"/>
          <w:lang w:bidi="he-IL"/>
        </w:rPr>
        <w:t xml:space="preserve"> anticipates a possible solution, and rejects it</w:t>
      </w:r>
      <w:r w:rsidRPr="00E32268">
        <w:rPr>
          <w:rFonts w:hint="cs"/>
          <w:sz w:val="24"/>
          <w:szCs w:val="24"/>
          <w:rtl/>
          <w:lang w:bidi="he-IL"/>
        </w:rPr>
        <w:t>:</w:t>
      </w:r>
    </w:p>
    <w:p w:rsidR="00CD2B10" w:rsidRPr="00AC1499" w:rsidRDefault="00CD2B10" w:rsidP="005468F1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AC1499">
        <w:rPr>
          <w:rFonts w:ascii="David" w:hAnsi="David" w:cs="David"/>
          <w:b/>
          <w:bCs/>
          <w:rtl/>
          <w:lang w:bidi="he-IL"/>
        </w:rPr>
        <w:t>ואין לומר דמסקינן בפרק הנשרפין</w:t>
      </w:r>
      <w:r w:rsidRPr="00AC1499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(סנהדרין דף עט,א ושם)</w:t>
      </w:r>
      <w:r w:rsidRPr="00AC1499">
        <w:rPr>
          <w:rFonts w:ascii="David" w:hAnsi="David" w:cs="David"/>
          <w:b/>
          <w:bCs/>
          <w:rtl/>
          <w:lang w:bidi="he-IL"/>
        </w:rPr>
        <w:t xml:space="preserve"> דרבי שמעון סבר כרבי</w:t>
      </w:r>
      <w:r w:rsidR="005468F1">
        <w:rPr>
          <w:rStyle w:val="FootnoteReference"/>
          <w:rFonts w:ascii="David" w:hAnsi="David" w:cs="David"/>
          <w:b/>
          <w:bCs/>
          <w:rtl/>
          <w:lang w:bidi="he-IL"/>
        </w:rPr>
        <w:footnoteReference w:id="2"/>
      </w:r>
      <w:r w:rsidRPr="00AC1499">
        <w:rPr>
          <w:rFonts w:ascii="David" w:hAnsi="David" w:cs="David"/>
          <w:b/>
          <w:bCs/>
          <w:rtl/>
          <w:lang w:bidi="he-IL"/>
        </w:rPr>
        <w:t xml:space="preserve"> </w:t>
      </w:r>
      <w:r w:rsidR="00AC1499">
        <w:rPr>
          <w:rFonts w:ascii="David" w:hAnsi="David" w:cs="David"/>
          <w:b/>
          <w:bCs/>
          <w:lang w:bidi="he-IL"/>
        </w:rPr>
        <w:t>-</w:t>
      </w:r>
    </w:p>
    <w:p w:rsidR="00CD2B10" w:rsidRDefault="00CD2B10" w:rsidP="005468F1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one cannot answer that in </w:t>
      </w:r>
      <w:r>
        <w:rPr>
          <w:rFonts w:hint="cs"/>
          <w:b/>
          <w:bCs/>
          <w:rtl/>
          <w:lang w:bidi="he-IL"/>
        </w:rPr>
        <w:t>פרק נשרפין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concludes that </w:t>
      </w:r>
      <w:r>
        <w:rPr>
          <w:rFonts w:hint="cs"/>
          <w:b/>
          <w:bCs/>
          <w:rtl/>
          <w:lang w:bidi="he-IL"/>
        </w:rPr>
        <w:t>ר"ש</w:t>
      </w:r>
      <w:r>
        <w:rPr>
          <w:b/>
          <w:bCs/>
          <w:lang w:bidi="he-IL"/>
        </w:rPr>
        <w:t xml:space="preserve"> agrees with </w:t>
      </w:r>
      <w:r>
        <w:rPr>
          <w:rFonts w:hint="cs"/>
          <w:b/>
          <w:bCs/>
          <w:rtl/>
          <w:lang w:bidi="he-IL"/>
        </w:rPr>
        <w:t>רבי</w:t>
      </w:r>
      <w:r>
        <w:rPr>
          <w:b/>
          <w:bCs/>
          <w:lang w:bidi="he-IL"/>
        </w:rPr>
        <w:t xml:space="preserve"> –</w:t>
      </w:r>
    </w:p>
    <w:p w:rsidR="00803214" w:rsidRPr="00AC1499" w:rsidRDefault="00CD2B10" w:rsidP="005468F1">
      <w:pPr>
        <w:bidi/>
        <w:spacing w:line="276" w:lineRule="auto"/>
        <w:jc w:val="both"/>
        <w:rPr>
          <w:rFonts w:ascii="David" w:hAnsi="David" w:cs="David"/>
          <w:rtl/>
          <w:lang w:bidi="he-IL"/>
        </w:rPr>
      </w:pPr>
      <w:r w:rsidRPr="00AC1499">
        <w:rPr>
          <w:rFonts w:ascii="David" w:hAnsi="David" w:cs="David"/>
          <w:b/>
          <w:bCs/>
          <w:rtl/>
          <w:lang w:bidi="he-IL"/>
        </w:rPr>
        <w:t>דיליף נתינה נתינה ואי</w:t>
      </w:r>
      <w:r w:rsidR="00D46709" w:rsidRPr="00AC1499">
        <w:rPr>
          <w:rFonts w:ascii="David" w:hAnsi="David" w:cs="David"/>
          <w:b/>
          <w:bCs/>
          <w:rtl/>
          <w:lang w:bidi="he-IL"/>
        </w:rPr>
        <w:t>י</w:t>
      </w:r>
      <w:r w:rsidRPr="00AC1499">
        <w:rPr>
          <w:rFonts w:ascii="David" w:hAnsi="David" w:cs="David"/>
          <w:b/>
          <w:bCs/>
          <w:rtl/>
          <w:lang w:bidi="he-IL"/>
        </w:rPr>
        <w:t>תר ליה וארב לו לקבוע</w:t>
      </w:r>
      <w:r w:rsidR="00AC1499">
        <w:rPr>
          <w:rFonts w:ascii="David" w:hAnsi="David" w:cs="David"/>
          <w:b/>
          <w:bCs/>
          <w:lang w:bidi="he-IL"/>
        </w:rPr>
        <w:t>-</w:t>
      </w:r>
      <w:r w:rsidR="00803214" w:rsidRPr="00AC1499">
        <w:rPr>
          <w:rFonts w:ascii="David" w:hAnsi="David" w:cs="David"/>
          <w:lang w:bidi="he-IL"/>
        </w:rPr>
        <w:t xml:space="preserve"> </w:t>
      </w:r>
    </w:p>
    <w:p w:rsidR="00CF3DCE" w:rsidRPr="00E32268" w:rsidRDefault="00CF3DCE" w:rsidP="005468F1">
      <w:pPr>
        <w:spacing w:line="276" w:lineRule="auto"/>
        <w:jc w:val="both"/>
        <w:rPr>
          <w:sz w:val="24"/>
          <w:szCs w:val="24"/>
          <w:lang w:bidi="he-IL"/>
        </w:rPr>
      </w:pPr>
      <w:r w:rsidRPr="00CF3DCE">
        <w:rPr>
          <w:b/>
          <w:bCs/>
          <w:lang w:bidi="he-IL"/>
        </w:rPr>
        <w:t xml:space="preserve">Who derives </w:t>
      </w:r>
      <w:r>
        <w:rPr>
          <w:lang w:bidi="he-IL"/>
        </w:rPr>
        <w:t xml:space="preserve">from the </w:t>
      </w:r>
      <w:r>
        <w:rPr>
          <w:rFonts w:hint="cs"/>
          <w:rtl/>
          <w:lang w:bidi="he-IL"/>
        </w:rPr>
        <w:t>גזירה שוה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נתינה נתינה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נתכוין להרג זה והרג את זה</w:t>
      </w:r>
      <w:r>
        <w:rPr>
          <w:lang w:bidi="he-IL"/>
        </w:rPr>
        <w:t xml:space="preserve"> is only </w:t>
      </w:r>
      <w:r>
        <w:rPr>
          <w:rFonts w:hint="cs"/>
          <w:rtl/>
          <w:lang w:bidi="he-IL"/>
        </w:rPr>
        <w:t>מחוייב ממון</w:t>
      </w:r>
      <w:r>
        <w:rPr>
          <w:lang w:bidi="he-IL"/>
        </w:rPr>
        <w:t xml:space="preserve"> and not </w:t>
      </w:r>
      <w:r>
        <w:rPr>
          <w:rFonts w:hint="cs"/>
          <w:rtl/>
          <w:lang w:bidi="he-IL"/>
        </w:rPr>
        <w:t>מיתה</w:t>
      </w:r>
      <w:r>
        <w:rPr>
          <w:lang w:bidi="he-IL"/>
        </w:rPr>
        <w:t>,</w:t>
      </w:r>
      <w:r>
        <w:rPr>
          <w:rStyle w:val="FootnoteReference"/>
          <w:lang w:bidi="he-IL"/>
        </w:rPr>
        <w:footnoteReference w:id="3"/>
      </w:r>
      <w:r>
        <w:rPr>
          <w:lang w:bidi="he-IL"/>
        </w:rPr>
        <w:t xml:space="preserve"> and therefore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וארב לו</w:t>
      </w:r>
      <w:r>
        <w:rPr>
          <w:b/>
          <w:bCs/>
          <w:lang w:bidi="he-IL"/>
        </w:rPr>
        <w:t xml:space="preserve"> remains </w:t>
      </w:r>
      <w:r w:rsidR="00D0507E">
        <w:rPr>
          <w:lang w:bidi="he-IL"/>
        </w:rPr>
        <w:t>available</w:t>
      </w:r>
      <w:r>
        <w:rPr>
          <w:lang w:bidi="he-IL"/>
        </w:rPr>
        <w:t xml:space="preserve">, to teach us the rule of </w:t>
      </w:r>
      <w:r>
        <w:rPr>
          <w:rFonts w:hint="cs"/>
          <w:b/>
          <w:bCs/>
          <w:rtl/>
          <w:lang w:bidi="he-IL"/>
        </w:rPr>
        <w:t>קבוע</w:t>
      </w:r>
      <w:r>
        <w:rPr>
          <w:b/>
          <w:bCs/>
          <w:lang w:bidi="he-IL"/>
        </w:rPr>
        <w:t>.</w:t>
      </w:r>
      <w:r w:rsidR="00DD3A15">
        <w:rPr>
          <w:b/>
          <w:bCs/>
          <w:lang w:bidi="he-IL"/>
        </w:rPr>
        <w:t xml:space="preserve"> </w:t>
      </w:r>
      <w:r w:rsidR="00DD3A15" w:rsidRPr="00E32268">
        <w:rPr>
          <w:sz w:val="24"/>
          <w:szCs w:val="24"/>
          <w:lang w:bidi="he-IL"/>
        </w:rPr>
        <w:t xml:space="preserve">This would seemingly answer the question. </w:t>
      </w:r>
      <w:r w:rsidR="00DD3A15" w:rsidRPr="00E32268">
        <w:rPr>
          <w:rFonts w:hint="cs"/>
          <w:sz w:val="24"/>
          <w:szCs w:val="24"/>
          <w:rtl/>
          <w:lang w:bidi="he-IL"/>
        </w:rPr>
        <w:t>ר"ש</w:t>
      </w:r>
      <w:r w:rsidR="00DD3A15" w:rsidRPr="00E32268">
        <w:rPr>
          <w:sz w:val="24"/>
          <w:szCs w:val="24"/>
          <w:lang w:bidi="he-IL"/>
        </w:rPr>
        <w:t xml:space="preserve"> derives </w:t>
      </w:r>
      <w:r w:rsidR="00DD3A15" w:rsidRPr="00E32268">
        <w:rPr>
          <w:rFonts w:hint="cs"/>
          <w:sz w:val="24"/>
          <w:szCs w:val="24"/>
          <w:rtl/>
          <w:lang w:bidi="he-IL"/>
        </w:rPr>
        <w:t>קבוע</w:t>
      </w:r>
      <w:r w:rsidR="00DD3A15" w:rsidRPr="00E32268">
        <w:rPr>
          <w:sz w:val="24"/>
          <w:szCs w:val="24"/>
          <w:lang w:bidi="he-IL"/>
        </w:rPr>
        <w:t xml:space="preserve"> from </w:t>
      </w:r>
      <w:r w:rsidR="00DD3A15" w:rsidRPr="00E32268">
        <w:rPr>
          <w:rFonts w:hint="cs"/>
          <w:sz w:val="24"/>
          <w:szCs w:val="24"/>
          <w:rtl/>
          <w:lang w:bidi="he-IL"/>
        </w:rPr>
        <w:t>וארב לו</w:t>
      </w:r>
      <w:r w:rsidR="00DD3A15" w:rsidRPr="00E32268">
        <w:rPr>
          <w:sz w:val="24"/>
          <w:szCs w:val="24"/>
          <w:lang w:bidi="he-IL"/>
        </w:rPr>
        <w:t xml:space="preserve"> as the </w:t>
      </w:r>
      <w:r w:rsidR="00DD3A15" w:rsidRPr="00E32268">
        <w:rPr>
          <w:rFonts w:hint="cs"/>
          <w:sz w:val="24"/>
          <w:szCs w:val="24"/>
          <w:rtl/>
          <w:lang w:bidi="he-IL"/>
        </w:rPr>
        <w:t>רבנן</w:t>
      </w:r>
      <w:r w:rsidR="00DD3A15" w:rsidRPr="00E32268">
        <w:rPr>
          <w:sz w:val="24"/>
          <w:szCs w:val="24"/>
          <w:lang w:bidi="he-IL"/>
        </w:rPr>
        <w:t xml:space="preserve"> do; and he derives the </w:t>
      </w:r>
      <w:r w:rsidR="00DD3A15" w:rsidRPr="00E32268">
        <w:rPr>
          <w:rFonts w:hint="cs"/>
          <w:sz w:val="24"/>
          <w:szCs w:val="24"/>
          <w:rtl/>
          <w:lang w:bidi="he-IL"/>
        </w:rPr>
        <w:t>דין</w:t>
      </w:r>
      <w:r w:rsidR="00DD3A15" w:rsidRPr="00E32268">
        <w:rPr>
          <w:sz w:val="24"/>
          <w:szCs w:val="24"/>
          <w:lang w:bidi="he-IL"/>
        </w:rPr>
        <w:t xml:space="preserve"> of </w:t>
      </w:r>
      <w:r w:rsidR="00DD3A15" w:rsidRPr="00E32268">
        <w:rPr>
          <w:rFonts w:hint="cs"/>
          <w:sz w:val="24"/>
          <w:szCs w:val="24"/>
          <w:rtl/>
          <w:lang w:bidi="he-IL"/>
        </w:rPr>
        <w:t>נתכוין וכו'</w:t>
      </w:r>
      <w:r w:rsidR="00DD3A15" w:rsidRPr="00E32268">
        <w:rPr>
          <w:sz w:val="24"/>
          <w:szCs w:val="24"/>
          <w:lang w:bidi="he-IL"/>
        </w:rPr>
        <w:t xml:space="preserve"> from the </w:t>
      </w:r>
      <w:r w:rsidR="00DD3A15" w:rsidRPr="00E32268">
        <w:rPr>
          <w:rFonts w:hint="cs"/>
          <w:sz w:val="24"/>
          <w:szCs w:val="24"/>
          <w:rtl/>
          <w:lang w:bidi="he-IL"/>
        </w:rPr>
        <w:t>גז"ש נתינה נתינה</w:t>
      </w:r>
      <w:r w:rsidR="00DD3A15" w:rsidRPr="00E32268">
        <w:rPr>
          <w:sz w:val="24"/>
          <w:szCs w:val="24"/>
          <w:lang w:bidi="he-IL"/>
        </w:rPr>
        <w:t>.</w:t>
      </w:r>
    </w:p>
    <w:p w:rsidR="00DD3A15" w:rsidRPr="00E32268" w:rsidRDefault="00DD3A15" w:rsidP="005468F1">
      <w:pPr>
        <w:spacing w:line="276" w:lineRule="auto"/>
        <w:jc w:val="both"/>
        <w:rPr>
          <w:sz w:val="24"/>
          <w:szCs w:val="24"/>
          <w:lang w:bidi="he-IL"/>
        </w:rPr>
      </w:pPr>
    </w:p>
    <w:p w:rsidR="00DD3A15" w:rsidRPr="00E32268" w:rsidRDefault="00DD3A15" w:rsidP="005468F1">
      <w:pPr>
        <w:spacing w:line="276" w:lineRule="auto"/>
        <w:jc w:val="both"/>
        <w:rPr>
          <w:sz w:val="24"/>
          <w:szCs w:val="24"/>
          <w:lang w:bidi="he-IL"/>
        </w:rPr>
      </w:pPr>
      <w:r w:rsidRPr="00E32268">
        <w:rPr>
          <w:rFonts w:hint="cs"/>
          <w:sz w:val="24"/>
          <w:szCs w:val="24"/>
          <w:rtl/>
          <w:lang w:bidi="he-IL"/>
        </w:rPr>
        <w:t>תוספות</w:t>
      </w:r>
      <w:r w:rsidRPr="00E32268">
        <w:rPr>
          <w:sz w:val="24"/>
          <w:szCs w:val="24"/>
          <w:lang w:bidi="he-IL"/>
        </w:rPr>
        <w:t xml:space="preserve"> rejects this answer:</w:t>
      </w:r>
    </w:p>
    <w:p w:rsidR="00AF3A15" w:rsidRPr="00AC1499" w:rsidRDefault="00AF3A15" w:rsidP="005468F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spacing w:val="-2"/>
          <w:rtl/>
          <w:lang w:bidi="he-IL"/>
        </w:rPr>
      </w:pPr>
      <w:r w:rsidRPr="00AC1499">
        <w:rPr>
          <w:rFonts w:ascii="David" w:hAnsi="David" w:cs="David"/>
          <w:b/>
          <w:bCs/>
          <w:spacing w:val="-2"/>
          <w:rtl/>
          <w:lang w:bidi="he-IL"/>
        </w:rPr>
        <w:t>דאכתי לתנא דבי חזקיה מנא ליה קבוע</w:t>
      </w:r>
      <w:r w:rsidR="009013F1" w:rsidRPr="00AC1499">
        <w:rPr>
          <w:rFonts w:ascii="David" w:hAnsi="David" w:cs="David"/>
          <w:b/>
          <w:bCs/>
          <w:spacing w:val="-2"/>
          <w:rtl/>
          <w:lang w:bidi="he-IL"/>
        </w:rPr>
        <w:t xml:space="preserve"> דלית ליה דרבי דהא באין מתכוין פטור מממון</w:t>
      </w:r>
      <w:r w:rsidR="00462715">
        <w:rPr>
          <w:rFonts w:ascii="David" w:hAnsi="David" w:cs="David" w:hint="cs"/>
          <w:b/>
          <w:bCs/>
          <w:spacing w:val="-2"/>
          <w:rtl/>
          <w:lang w:bidi="he-IL"/>
        </w:rPr>
        <w:t>:</w:t>
      </w:r>
    </w:p>
    <w:p w:rsidR="00AF3A15" w:rsidRDefault="00AF3A15" w:rsidP="005468F1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</w:t>
      </w:r>
      <w:r>
        <w:rPr>
          <w:lang w:bidi="he-IL"/>
        </w:rPr>
        <w:t xml:space="preserve">the question </w:t>
      </w:r>
      <w:r>
        <w:rPr>
          <w:b/>
          <w:bCs/>
          <w:lang w:bidi="he-IL"/>
        </w:rPr>
        <w:t xml:space="preserve">will still remain; according to the </w:t>
      </w:r>
      <w:r>
        <w:rPr>
          <w:rFonts w:hint="cs"/>
          <w:b/>
          <w:bCs/>
          <w:rtl/>
          <w:lang w:bidi="he-IL"/>
        </w:rPr>
        <w:t>ברייתא</w:t>
      </w:r>
      <w:r>
        <w:rPr>
          <w:b/>
          <w:bCs/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דבי חזקיה</w:t>
      </w:r>
      <w:r>
        <w:rPr>
          <w:b/>
          <w:bCs/>
          <w:lang w:bidi="he-IL"/>
        </w:rPr>
        <w:t>,</w:t>
      </w:r>
      <w:r w:rsidR="009013F1">
        <w:rPr>
          <w:rStyle w:val="FootnoteReference"/>
          <w:b/>
          <w:bCs/>
          <w:lang w:bidi="he-IL"/>
        </w:rPr>
        <w:footnoteReference w:id="4"/>
      </w:r>
      <w:r>
        <w:rPr>
          <w:b/>
          <w:bCs/>
          <w:lang w:bidi="he-IL"/>
        </w:rPr>
        <w:t xml:space="preserve"> how will </w:t>
      </w:r>
      <w:r w:rsidR="004A2B4B">
        <w:rPr>
          <w:lang w:bidi="he-IL"/>
        </w:rPr>
        <w:lastRenderedPageBreak/>
        <w:t>they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know that </w:t>
      </w:r>
      <w:r>
        <w:rPr>
          <w:rFonts w:hint="cs"/>
          <w:b/>
          <w:bCs/>
          <w:rtl/>
          <w:lang w:bidi="he-IL"/>
        </w:rPr>
        <w:t>קבוע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is </w:t>
      </w:r>
      <w:r>
        <w:rPr>
          <w:rFonts w:hint="cs"/>
          <w:rtl/>
          <w:lang w:bidi="he-IL"/>
        </w:rPr>
        <w:t>כמחצה על מחצה</w:t>
      </w:r>
      <w:r w:rsidR="009013F1">
        <w:rPr>
          <w:lang w:bidi="he-IL"/>
        </w:rPr>
        <w:t>,</w:t>
      </w:r>
      <w:r>
        <w:rPr>
          <w:lang w:bidi="he-IL"/>
        </w:rPr>
        <w:t xml:space="preserve"> </w:t>
      </w:r>
      <w:r w:rsidR="009013F1">
        <w:rPr>
          <w:b/>
          <w:bCs/>
          <w:lang w:bidi="he-IL"/>
        </w:rPr>
        <w:t>s</w:t>
      </w:r>
      <w:r>
        <w:rPr>
          <w:b/>
          <w:bCs/>
          <w:lang w:bidi="he-IL"/>
        </w:rPr>
        <w:t xml:space="preserve">ince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דבי חזקיה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disagree with </w:t>
      </w:r>
      <w:r>
        <w:rPr>
          <w:rFonts w:hint="cs"/>
          <w:b/>
          <w:bCs/>
          <w:rtl/>
          <w:lang w:bidi="he-IL"/>
        </w:rPr>
        <w:t>רבי</w:t>
      </w:r>
      <w:r>
        <w:rPr>
          <w:b/>
          <w:bCs/>
          <w:lang w:bidi="he-IL"/>
        </w:rPr>
        <w:t xml:space="preserve">, for </w:t>
      </w:r>
      <w:r>
        <w:rPr>
          <w:lang w:bidi="he-IL"/>
        </w:rPr>
        <w:t xml:space="preserve">they maintain that if someone killed another unintentionally (intending to kill another instead) </w:t>
      </w:r>
      <w:r>
        <w:rPr>
          <w:b/>
          <w:bCs/>
          <w:lang w:bidi="he-IL"/>
        </w:rPr>
        <w:t xml:space="preserve">he is exempt from </w:t>
      </w:r>
      <w:r>
        <w:rPr>
          <w:lang w:bidi="he-IL"/>
        </w:rPr>
        <w:t xml:space="preserve">paying </w:t>
      </w:r>
      <w:r>
        <w:rPr>
          <w:b/>
          <w:bCs/>
          <w:lang w:bidi="he-IL"/>
        </w:rPr>
        <w:t xml:space="preserve">monetary </w:t>
      </w:r>
      <w:r w:rsidRPr="00E32268">
        <w:rPr>
          <w:sz w:val="24"/>
          <w:szCs w:val="24"/>
          <w:lang w:bidi="he-IL"/>
        </w:rPr>
        <w:t>compensation</w:t>
      </w:r>
      <w:r w:rsidR="009013F1">
        <w:rPr>
          <w:sz w:val="24"/>
          <w:szCs w:val="24"/>
          <w:lang w:bidi="he-IL"/>
        </w:rPr>
        <w:t>.</w:t>
      </w:r>
      <w:r w:rsidR="00D0507E" w:rsidRPr="00E32268">
        <w:rPr>
          <w:rStyle w:val="FootnoteReference"/>
          <w:sz w:val="24"/>
          <w:szCs w:val="24"/>
          <w:lang w:bidi="he-IL"/>
        </w:rPr>
        <w:footnoteReference w:id="5"/>
      </w:r>
      <w:r w:rsidR="00D0507E" w:rsidRPr="00E32268">
        <w:rPr>
          <w:sz w:val="24"/>
          <w:szCs w:val="24"/>
          <w:lang w:bidi="he-IL"/>
        </w:rPr>
        <w:t xml:space="preserve"> Therefore, we cannot interpret </w:t>
      </w:r>
      <w:r w:rsidR="00D0507E" w:rsidRPr="00E32268">
        <w:rPr>
          <w:rFonts w:hint="cs"/>
          <w:sz w:val="24"/>
          <w:szCs w:val="24"/>
          <w:rtl/>
          <w:lang w:bidi="he-IL"/>
        </w:rPr>
        <w:t>ונתת נפש תחת נפש</w:t>
      </w:r>
      <w:r w:rsidR="00D0507E" w:rsidRPr="00E32268">
        <w:rPr>
          <w:sz w:val="24"/>
          <w:szCs w:val="24"/>
          <w:lang w:bidi="he-IL"/>
        </w:rPr>
        <w:t xml:space="preserve"> to mean </w:t>
      </w:r>
      <w:r w:rsidR="00D0507E" w:rsidRPr="00E32268">
        <w:rPr>
          <w:rFonts w:hint="cs"/>
          <w:sz w:val="24"/>
          <w:szCs w:val="24"/>
          <w:rtl/>
          <w:lang w:bidi="he-IL"/>
        </w:rPr>
        <w:t>ממון</w:t>
      </w:r>
      <w:r w:rsidR="00D0507E" w:rsidRPr="00E32268">
        <w:rPr>
          <w:sz w:val="24"/>
          <w:szCs w:val="24"/>
          <w:lang w:bidi="he-IL"/>
        </w:rPr>
        <w:t xml:space="preserve"> (as </w:t>
      </w:r>
      <w:r w:rsidR="00D0507E" w:rsidRPr="00E32268">
        <w:rPr>
          <w:rFonts w:hint="cs"/>
          <w:sz w:val="24"/>
          <w:szCs w:val="24"/>
          <w:rtl/>
          <w:lang w:bidi="he-IL"/>
        </w:rPr>
        <w:t>רבי</w:t>
      </w:r>
      <w:r w:rsidR="00D0507E" w:rsidRPr="00E32268">
        <w:rPr>
          <w:sz w:val="24"/>
          <w:szCs w:val="24"/>
          <w:lang w:bidi="he-IL"/>
        </w:rPr>
        <w:t xml:space="preserve"> does); for there is no </w:t>
      </w:r>
      <w:r w:rsidR="00D0507E" w:rsidRPr="00E32268">
        <w:rPr>
          <w:rFonts w:hint="cs"/>
          <w:sz w:val="24"/>
          <w:szCs w:val="24"/>
          <w:rtl/>
          <w:lang w:bidi="he-IL"/>
        </w:rPr>
        <w:t>חיוב ממון</w:t>
      </w:r>
      <w:r w:rsidR="00D0507E" w:rsidRPr="00E32268">
        <w:rPr>
          <w:sz w:val="24"/>
          <w:szCs w:val="24"/>
          <w:lang w:bidi="he-IL"/>
        </w:rPr>
        <w:t xml:space="preserve"> (according to </w:t>
      </w:r>
      <w:r w:rsidR="00D0507E" w:rsidRPr="00E32268">
        <w:rPr>
          <w:rFonts w:hint="cs"/>
          <w:sz w:val="24"/>
          <w:szCs w:val="24"/>
          <w:rtl/>
          <w:lang w:bidi="he-IL"/>
        </w:rPr>
        <w:t>דבי חזקיה</w:t>
      </w:r>
      <w:r w:rsidR="00D0507E" w:rsidRPr="00E32268">
        <w:rPr>
          <w:sz w:val="24"/>
          <w:szCs w:val="24"/>
          <w:lang w:bidi="he-IL"/>
        </w:rPr>
        <w:t xml:space="preserve">) if there was an </w:t>
      </w:r>
      <w:r w:rsidR="00D0507E" w:rsidRPr="00E32268">
        <w:rPr>
          <w:rFonts w:hint="cs"/>
          <w:sz w:val="24"/>
          <w:szCs w:val="24"/>
          <w:rtl/>
          <w:lang w:bidi="he-IL"/>
        </w:rPr>
        <w:t>אסון</w:t>
      </w:r>
      <w:r w:rsidR="00D0507E" w:rsidRPr="00E32268">
        <w:rPr>
          <w:sz w:val="24"/>
          <w:szCs w:val="24"/>
          <w:lang w:bidi="he-IL"/>
        </w:rPr>
        <w:t xml:space="preserve">. The </w:t>
      </w:r>
      <w:r w:rsidR="00D0507E" w:rsidRPr="00E32268">
        <w:rPr>
          <w:rFonts w:hint="cs"/>
          <w:sz w:val="24"/>
          <w:szCs w:val="24"/>
          <w:rtl/>
          <w:lang w:bidi="he-IL"/>
        </w:rPr>
        <w:t>גז"ש נתינה נתינה</w:t>
      </w:r>
      <w:r w:rsidR="00D0507E" w:rsidRPr="00E32268">
        <w:rPr>
          <w:sz w:val="24"/>
          <w:szCs w:val="24"/>
          <w:lang w:bidi="he-IL"/>
        </w:rPr>
        <w:t xml:space="preserve"> cannot teach us that</w:t>
      </w:r>
      <w:r w:rsidR="00FF096F">
        <w:rPr>
          <w:sz w:val="24"/>
          <w:szCs w:val="24"/>
          <w:lang w:bidi="he-IL"/>
        </w:rPr>
        <w:t xml:space="preserve"> </w:t>
      </w:r>
      <w:r w:rsidR="00FF096F">
        <w:rPr>
          <w:rFonts w:hint="cs"/>
          <w:sz w:val="24"/>
          <w:szCs w:val="24"/>
          <w:rtl/>
          <w:lang w:bidi="he-IL"/>
        </w:rPr>
        <w:t>נתכוין להרוג את זה והרג את זה</w:t>
      </w:r>
      <w:r w:rsidR="00FF096F">
        <w:rPr>
          <w:sz w:val="24"/>
          <w:szCs w:val="24"/>
          <w:lang w:bidi="he-IL"/>
        </w:rPr>
        <w:t xml:space="preserve"> is</w:t>
      </w:r>
      <w:r w:rsidR="00D0507E" w:rsidRPr="00E32268">
        <w:rPr>
          <w:sz w:val="24"/>
          <w:szCs w:val="24"/>
          <w:lang w:bidi="he-IL"/>
        </w:rPr>
        <w:t xml:space="preserve"> </w:t>
      </w:r>
      <w:r w:rsidR="00D0507E" w:rsidRPr="00E32268">
        <w:rPr>
          <w:rFonts w:hint="cs"/>
          <w:sz w:val="24"/>
          <w:szCs w:val="24"/>
          <w:rtl/>
          <w:lang w:bidi="he-IL"/>
        </w:rPr>
        <w:t>פטור ממיתה וחייב ממון</w:t>
      </w:r>
      <w:r w:rsidR="00D0507E" w:rsidRPr="00E32268">
        <w:rPr>
          <w:sz w:val="24"/>
          <w:szCs w:val="24"/>
          <w:lang w:bidi="he-IL"/>
        </w:rPr>
        <w:t xml:space="preserve">. According to </w:t>
      </w:r>
      <w:r w:rsidR="00D0507E" w:rsidRPr="00E32268">
        <w:rPr>
          <w:rFonts w:hint="cs"/>
          <w:sz w:val="24"/>
          <w:szCs w:val="24"/>
          <w:rtl/>
          <w:lang w:bidi="he-IL"/>
        </w:rPr>
        <w:t>דבי חזקיה</w:t>
      </w:r>
      <w:r w:rsidR="00D0507E" w:rsidRPr="00E32268">
        <w:rPr>
          <w:sz w:val="24"/>
          <w:szCs w:val="24"/>
          <w:lang w:bidi="he-IL"/>
        </w:rPr>
        <w:t>,</w:t>
      </w:r>
      <w:r w:rsidR="004A2B4B">
        <w:rPr>
          <w:sz w:val="24"/>
          <w:szCs w:val="24"/>
          <w:lang w:bidi="he-IL"/>
        </w:rPr>
        <w:t xml:space="preserve"> we</w:t>
      </w:r>
      <w:r w:rsidR="00D0507E" w:rsidRPr="00E32268">
        <w:rPr>
          <w:sz w:val="24"/>
          <w:szCs w:val="24"/>
          <w:lang w:bidi="he-IL"/>
        </w:rPr>
        <w:t xml:space="preserve"> derive that </w:t>
      </w:r>
      <w:r w:rsidR="00D0507E" w:rsidRPr="00E32268">
        <w:rPr>
          <w:rFonts w:hint="cs"/>
          <w:sz w:val="24"/>
          <w:szCs w:val="24"/>
          <w:rtl/>
          <w:lang w:bidi="he-IL"/>
        </w:rPr>
        <w:t>נתכוין להר</w:t>
      </w:r>
      <w:r w:rsidR="00FF096F">
        <w:rPr>
          <w:rFonts w:hint="cs"/>
          <w:sz w:val="24"/>
          <w:szCs w:val="24"/>
          <w:rtl/>
          <w:lang w:bidi="he-IL"/>
        </w:rPr>
        <w:t>ו</w:t>
      </w:r>
      <w:r w:rsidR="00D0507E" w:rsidRPr="00E32268">
        <w:rPr>
          <w:rFonts w:hint="cs"/>
          <w:sz w:val="24"/>
          <w:szCs w:val="24"/>
          <w:rtl/>
          <w:lang w:bidi="he-IL"/>
        </w:rPr>
        <w:t>ג זה והרג את זה פטור</w:t>
      </w:r>
      <w:r w:rsidR="00D0507E" w:rsidRPr="00E32268">
        <w:rPr>
          <w:sz w:val="24"/>
          <w:szCs w:val="24"/>
          <w:lang w:bidi="he-IL"/>
        </w:rPr>
        <w:t xml:space="preserve">, only from </w:t>
      </w:r>
      <w:r w:rsidR="00D0507E" w:rsidRPr="00E32268">
        <w:rPr>
          <w:rFonts w:hint="cs"/>
          <w:sz w:val="24"/>
          <w:szCs w:val="24"/>
          <w:rtl/>
          <w:lang w:bidi="he-IL"/>
        </w:rPr>
        <w:t>וארב לו וגו'</w:t>
      </w:r>
      <w:r w:rsidR="00D0507E" w:rsidRPr="00E32268">
        <w:rPr>
          <w:sz w:val="24"/>
          <w:szCs w:val="24"/>
          <w:lang w:bidi="he-IL"/>
        </w:rPr>
        <w:t xml:space="preserve">. The question remains; if </w:t>
      </w:r>
      <w:r w:rsidR="00BD0770">
        <w:rPr>
          <w:sz w:val="24"/>
          <w:szCs w:val="24"/>
          <w:lang w:bidi="he-IL"/>
        </w:rPr>
        <w:t>t</w:t>
      </w:r>
      <w:r w:rsidR="00D0507E" w:rsidRPr="00E32268">
        <w:rPr>
          <w:sz w:val="24"/>
          <w:szCs w:val="24"/>
          <w:lang w:bidi="he-IL"/>
        </w:rPr>
        <w:t>he</w:t>
      </w:r>
      <w:r w:rsidR="00BD0770">
        <w:rPr>
          <w:sz w:val="24"/>
          <w:szCs w:val="24"/>
          <w:lang w:bidi="he-IL"/>
        </w:rPr>
        <w:t>y</w:t>
      </w:r>
      <w:r w:rsidR="00D0507E" w:rsidRPr="00E32268">
        <w:rPr>
          <w:sz w:val="24"/>
          <w:szCs w:val="24"/>
          <w:lang w:bidi="he-IL"/>
        </w:rPr>
        <w:t xml:space="preserve"> derive from </w:t>
      </w:r>
      <w:r w:rsidR="00D0507E" w:rsidRPr="00E32268">
        <w:rPr>
          <w:rFonts w:hint="cs"/>
          <w:sz w:val="24"/>
          <w:szCs w:val="24"/>
          <w:rtl/>
          <w:lang w:bidi="he-IL"/>
        </w:rPr>
        <w:t>וארב לו</w:t>
      </w:r>
      <w:r w:rsidR="00D0507E" w:rsidRPr="00E32268">
        <w:rPr>
          <w:sz w:val="24"/>
          <w:szCs w:val="24"/>
          <w:lang w:bidi="he-IL"/>
        </w:rPr>
        <w:t xml:space="preserve"> the </w:t>
      </w:r>
      <w:r w:rsidR="00D0507E" w:rsidRPr="00E32268">
        <w:rPr>
          <w:rFonts w:hint="cs"/>
          <w:sz w:val="24"/>
          <w:szCs w:val="24"/>
          <w:rtl/>
          <w:lang w:bidi="he-IL"/>
        </w:rPr>
        <w:t>דין</w:t>
      </w:r>
      <w:r w:rsidR="00D0507E" w:rsidRPr="00E32268">
        <w:rPr>
          <w:sz w:val="24"/>
          <w:szCs w:val="24"/>
          <w:lang w:bidi="he-IL"/>
        </w:rPr>
        <w:t xml:space="preserve"> of </w:t>
      </w:r>
      <w:r w:rsidR="00D0507E" w:rsidRPr="00E32268">
        <w:rPr>
          <w:rFonts w:hint="cs"/>
          <w:sz w:val="24"/>
          <w:szCs w:val="24"/>
          <w:rtl/>
          <w:lang w:bidi="he-IL"/>
        </w:rPr>
        <w:t>נתכוין להרוג וכו'</w:t>
      </w:r>
      <w:r w:rsidR="004A2B4B">
        <w:rPr>
          <w:sz w:val="24"/>
          <w:szCs w:val="24"/>
          <w:lang w:bidi="he-IL"/>
        </w:rPr>
        <w:t>, from where do</w:t>
      </w:r>
      <w:r w:rsidR="00D0507E" w:rsidRPr="00E32268">
        <w:rPr>
          <w:sz w:val="24"/>
          <w:szCs w:val="24"/>
          <w:lang w:bidi="he-IL"/>
        </w:rPr>
        <w:t xml:space="preserve"> </w:t>
      </w:r>
      <w:r w:rsidR="004A2B4B">
        <w:rPr>
          <w:sz w:val="24"/>
          <w:szCs w:val="24"/>
          <w:lang w:bidi="he-IL"/>
        </w:rPr>
        <w:t>t</w:t>
      </w:r>
      <w:r w:rsidR="00D0507E" w:rsidRPr="00E32268">
        <w:rPr>
          <w:sz w:val="24"/>
          <w:szCs w:val="24"/>
          <w:lang w:bidi="he-IL"/>
        </w:rPr>
        <w:t>he</w:t>
      </w:r>
      <w:r w:rsidR="004A2B4B">
        <w:rPr>
          <w:sz w:val="24"/>
          <w:szCs w:val="24"/>
          <w:lang w:bidi="he-IL"/>
        </w:rPr>
        <w:t>y</w:t>
      </w:r>
      <w:r w:rsidR="00D0507E" w:rsidRPr="00E32268">
        <w:rPr>
          <w:sz w:val="24"/>
          <w:szCs w:val="24"/>
          <w:lang w:bidi="he-IL"/>
        </w:rPr>
        <w:t xml:space="preserve"> derive the </w:t>
      </w:r>
      <w:r w:rsidR="00D0507E" w:rsidRPr="00E32268">
        <w:rPr>
          <w:rFonts w:hint="cs"/>
          <w:sz w:val="24"/>
          <w:szCs w:val="24"/>
          <w:rtl/>
          <w:lang w:bidi="he-IL"/>
        </w:rPr>
        <w:t>דין</w:t>
      </w:r>
      <w:r w:rsidR="00D0507E" w:rsidRPr="00E32268">
        <w:rPr>
          <w:sz w:val="24"/>
          <w:szCs w:val="24"/>
          <w:lang w:bidi="he-IL"/>
        </w:rPr>
        <w:t xml:space="preserve"> of </w:t>
      </w:r>
      <w:r w:rsidR="00D0507E" w:rsidRPr="00E32268">
        <w:rPr>
          <w:rFonts w:hint="cs"/>
          <w:sz w:val="24"/>
          <w:szCs w:val="24"/>
          <w:rtl/>
          <w:lang w:bidi="he-IL"/>
        </w:rPr>
        <w:t>קבוע</w:t>
      </w:r>
      <w:r w:rsidR="00D0507E" w:rsidRPr="00E32268">
        <w:rPr>
          <w:sz w:val="24"/>
          <w:szCs w:val="24"/>
          <w:lang w:bidi="he-IL"/>
        </w:rPr>
        <w:t xml:space="preserve">?! </w:t>
      </w:r>
      <w:r w:rsidR="005468F1">
        <w:rPr>
          <w:rFonts w:hint="cs"/>
          <w:sz w:val="24"/>
          <w:szCs w:val="24"/>
          <w:rtl/>
          <w:lang w:bidi="he-IL"/>
        </w:rPr>
        <w:t>תוספות</w:t>
      </w:r>
      <w:r w:rsidR="005468F1">
        <w:rPr>
          <w:sz w:val="24"/>
          <w:szCs w:val="24"/>
          <w:lang w:bidi="he-IL"/>
        </w:rPr>
        <w:t xml:space="preserve"> does not answer this question.</w:t>
      </w:r>
      <w:r w:rsidR="005468F1">
        <w:rPr>
          <w:rStyle w:val="FootnoteReference"/>
          <w:sz w:val="24"/>
          <w:szCs w:val="24"/>
          <w:lang w:bidi="he-IL"/>
        </w:rPr>
        <w:footnoteReference w:id="6"/>
      </w:r>
    </w:p>
    <w:p w:rsidR="00E32268" w:rsidRDefault="00E32268" w:rsidP="005468F1">
      <w:pPr>
        <w:spacing w:line="276" w:lineRule="auto"/>
        <w:jc w:val="both"/>
        <w:rPr>
          <w:sz w:val="24"/>
          <w:szCs w:val="24"/>
          <w:lang w:bidi="he-IL"/>
        </w:rPr>
      </w:pPr>
    </w:p>
    <w:p w:rsidR="00E32268" w:rsidRPr="00A95147" w:rsidRDefault="00E32268" w:rsidP="005468F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95147">
        <w:rPr>
          <w:rFonts w:ascii="Copperplate Gothic Bold" w:hAnsi="Copperplate Gothic Bold"/>
          <w:u w:val="double"/>
          <w:lang w:bidi="he-IL"/>
        </w:rPr>
        <w:t>Summary</w:t>
      </w:r>
    </w:p>
    <w:p w:rsidR="00E32268" w:rsidRDefault="00E32268" w:rsidP="005468F1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ר"ש</w:t>
      </w:r>
      <w:r>
        <w:rPr>
          <w:lang w:bidi="he-IL"/>
        </w:rPr>
        <w:t xml:space="preserve"> cannot derive </w:t>
      </w:r>
      <w:r>
        <w:rPr>
          <w:rFonts w:hint="cs"/>
          <w:rtl/>
          <w:lang w:bidi="he-IL"/>
        </w:rPr>
        <w:t>קבוע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וארב לו</w:t>
      </w:r>
      <w:r>
        <w:rPr>
          <w:lang w:bidi="he-IL"/>
        </w:rPr>
        <w:t xml:space="preserve"> (he needs it for </w:t>
      </w:r>
      <w:r>
        <w:rPr>
          <w:rFonts w:hint="cs"/>
          <w:rtl/>
          <w:lang w:bidi="he-IL"/>
        </w:rPr>
        <w:t>נתכוין להרוג וכו'</w:t>
      </w:r>
      <w:r>
        <w:rPr>
          <w:lang w:bidi="he-IL"/>
        </w:rPr>
        <w:t xml:space="preserve">). He cannot derive from </w:t>
      </w:r>
      <w:r>
        <w:rPr>
          <w:rFonts w:hint="cs"/>
          <w:rtl/>
          <w:lang w:bidi="he-IL"/>
        </w:rPr>
        <w:t>נתינה נתינה</w:t>
      </w:r>
      <w:r>
        <w:rPr>
          <w:lang w:bidi="he-IL"/>
        </w:rPr>
        <w:t xml:space="preserve"> according to the </w:t>
      </w:r>
      <w:r>
        <w:rPr>
          <w:rFonts w:hint="cs"/>
          <w:rtl/>
          <w:lang w:bidi="he-IL"/>
        </w:rPr>
        <w:t>תנא דבי חזקיה</w:t>
      </w:r>
      <w:r>
        <w:rPr>
          <w:lang w:bidi="he-IL"/>
        </w:rPr>
        <w:t xml:space="preserve">. From where does </w:t>
      </w:r>
      <w:r>
        <w:rPr>
          <w:rFonts w:hint="cs"/>
          <w:rtl/>
          <w:lang w:bidi="he-IL"/>
        </w:rPr>
        <w:t>ר"ש</w:t>
      </w:r>
      <w:r>
        <w:rPr>
          <w:lang w:bidi="he-IL"/>
        </w:rPr>
        <w:t xml:space="preserve"> derive the rule of </w:t>
      </w:r>
      <w:r>
        <w:rPr>
          <w:rFonts w:hint="cs"/>
          <w:rtl/>
          <w:lang w:bidi="he-IL"/>
        </w:rPr>
        <w:t>קבוע</w:t>
      </w:r>
      <w:r>
        <w:rPr>
          <w:lang w:bidi="he-IL"/>
        </w:rPr>
        <w:t>?!</w:t>
      </w:r>
    </w:p>
    <w:p w:rsidR="00E32268" w:rsidRPr="00E32268" w:rsidRDefault="00E32268" w:rsidP="005468F1">
      <w:pPr>
        <w:spacing w:line="276" w:lineRule="auto"/>
        <w:jc w:val="both"/>
        <w:rPr>
          <w:sz w:val="24"/>
          <w:szCs w:val="24"/>
          <w:lang w:bidi="he-IL"/>
        </w:rPr>
      </w:pPr>
    </w:p>
    <w:p w:rsidR="00E32268" w:rsidRPr="00A95147" w:rsidRDefault="00E32268" w:rsidP="005468F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A95147">
        <w:rPr>
          <w:rFonts w:ascii="Copperplate Gothic Bold" w:hAnsi="Copperplate Gothic Bold"/>
          <w:u w:val="double"/>
          <w:lang w:bidi="he-IL"/>
        </w:rPr>
        <w:t>Thinking it over</w:t>
      </w:r>
    </w:p>
    <w:p w:rsidR="005468F1" w:rsidRDefault="005468F1" w:rsidP="005468F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initially attempted to answer that </w:t>
      </w:r>
      <w:r>
        <w:rPr>
          <w:rFonts w:hint="cs"/>
          <w:rtl/>
          <w:lang w:bidi="he-IL"/>
        </w:rPr>
        <w:t>ר"ש</w:t>
      </w:r>
      <w:r>
        <w:rPr>
          <w:lang w:bidi="he-IL"/>
        </w:rPr>
        <w:t xml:space="preserve"> derives the rule pf </w:t>
      </w:r>
      <w:r>
        <w:rPr>
          <w:rFonts w:hint="cs"/>
          <w:rtl/>
          <w:lang w:bidi="he-IL"/>
        </w:rPr>
        <w:t>נתכוין להרוג זה והרג את זה פטור</w:t>
      </w:r>
      <w:r>
        <w:rPr>
          <w:lang w:bidi="he-IL"/>
        </w:rPr>
        <w:t xml:space="preserve">, from </w:t>
      </w:r>
      <w:r>
        <w:rPr>
          <w:rFonts w:hint="cs"/>
          <w:rtl/>
          <w:lang w:bidi="he-IL"/>
        </w:rPr>
        <w:t>נתינה נתינה</w:t>
      </w:r>
      <w:r>
        <w:rPr>
          <w:lang w:bidi="he-IL"/>
        </w:rPr>
        <w:t xml:space="preserve"> (like </w:t>
      </w:r>
      <w:r>
        <w:rPr>
          <w:rFonts w:hint="cs"/>
          <w:rtl/>
          <w:lang w:bidi="he-IL"/>
        </w:rPr>
        <w:t>רבי</w:t>
      </w:r>
      <w:r>
        <w:rPr>
          <w:lang w:bidi="he-IL"/>
        </w:rPr>
        <w:t>).</w:t>
      </w:r>
      <w:r>
        <w:rPr>
          <w:rStyle w:val="FootnoteReference"/>
          <w:lang w:bidi="he-IL"/>
        </w:rPr>
        <w:footnoteReference w:id="7"/>
      </w:r>
      <w:r>
        <w:rPr>
          <w:lang w:bidi="he-IL"/>
        </w:rPr>
        <w:t xml:space="preserve"> However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here states that he derives it from </w:t>
      </w:r>
      <w:r>
        <w:rPr>
          <w:rFonts w:hint="cs"/>
          <w:rtl/>
          <w:lang w:bidi="he-IL"/>
        </w:rPr>
        <w:t>וארב לו וגו'</w:t>
      </w:r>
      <w:r>
        <w:rPr>
          <w:lang w:bidi="he-IL"/>
        </w:rPr>
        <w:t xml:space="preserve">, how can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 that he derives it from </w:t>
      </w:r>
      <w:r>
        <w:rPr>
          <w:rFonts w:hint="cs"/>
          <w:rtl/>
          <w:lang w:bidi="he-IL"/>
        </w:rPr>
        <w:t>נתינה נתינה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8"/>
      </w:r>
    </w:p>
    <w:p w:rsidR="005468F1" w:rsidRDefault="005468F1" w:rsidP="005468F1">
      <w:pPr>
        <w:spacing w:line="276" w:lineRule="auto"/>
        <w:jc w:val="both"/>
        <w:rPr>
          <w:lang w:bidi="he-IL"/>
        </w:rPr>
      </w:pPr>
    </w:p>
    <w:p w:rsidR="00E32268" w:rsidRPr="00E32268" w:rsidRDefault="005468F1" w:rsidP="005468F1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FF096F">
        <w:rPr>
          <w:lang w:bidi="he-IL"/>
        </w:rPr>
        <w:t xml:space="preserve">Explain: a) how </w:t>
      </w:r>
      <w:r w:rsidR="00FF096F" w:rsidRPr="00A95147">
        <w:rPr>
          <w:i/>
          <w:iCs/>
          <w:u w:val="single"/>
          <w:lang w:bidi="he-IL"/>
        </w:rPr>
        <w:t>we</w:t>
      </w:r>
      <w:r w:rsidR="00FF096F">
        <w:rPr>
          <w:lang w:bidi="he-IL"/>
        </w:rPr>
        <w:t xml:space="preserve"> know that </w:t>
      </w:r>
      <w:r w:rsidR="00FF096F">
        <w:rPr>
          <w:rFonts w:hint="cs"/>
          <w:rtl/>
          <w:lang w:bidi="he-IL"/>
        </w:rPr>
        <w:t>דבי חזקיה</w:t>
      </w:r>
      <w:r w:rsidR="00FF096F">
        <w:rPr>
          <w:lang w:bidi="he-IL"/>
        </w:rPr>
        <w:t xml:space="preserve"> maintain that </w:t>
      </w:r>
      <w:r w:rsidR="00FF096F">
        <w:rPr>
          <w:rFonts w:hint="cs"/>
          <w:rtl/>
          <w:lang w:bidi="he-IL"/>
        </w:rPr>
        <w:t>נתכוין להרוג זה והרג את זה</w:t>
      </w:r>
      <w:r w:rsidR="00FF096F">
        <w:rPr>
          <w:lang w:bidi="he-IL"/>
        </w:rPr>
        <w:t xml:space="preserve"> is </w:t>
      </w:r>
      <w:r w:rsidR="00FF096F">
        <w:rPr>
          <w:rFonts w:hint="cs"/>
          <w:rtl/>
          <w:lang w:bidi="he-IL"/>
        </w:rPr>
        <w:t>פטור</w:t>
      </w:r>
      <w:r w:rsidR="00FF096F">
        <w:rPr>
          <w:lang w:bidi="he-IL"/>
        </w:rPr>
        <w:t xml:space="preserve">; and b) how does </w:t>
      </w:r>
      <w:r w:rsidR="00FF096F" w:rsidRPr="00462715">
        <w:rPr>
          <w:rFonts w:hint="cs"/>
          <w:u w:val="single"/>
          <w:rtl/>
          <w:lang w:bidi="he-IL"/>
        </w:rPr>
        <w:t>דבי חזקיה</w:t>
      </w:r>
      <w:r w:rsidR="00FF096F">
        <w:rPr>
          <w:lang w:bidi="he-IL"/>
        </w:rPr>
        <w:t xml:space="preserve"> know that </w:t>
      </w:r>
      <w:r w:rsidR="00FF096F">
        <w:rPr>
          <w:rFonts w:hint="cs"/>
          <w:rtl/>
          <w:lang w:bidi="he-IL"/>
        </w:rPr>
        <w:t>נתכוין לזוא"ז</w:t>
      </w:r>
      <w:r w:rsidR="00FF096F">
        <w:rPr>
          <w:lang w:bidi="he-IL"/>
        </w:rPr>
        <w:t xml:space="preserve"> is </w:t>
      </w:r>
      <w:r w:rsidR="00FF096F">
        <w:rPr>
          <w:rFonts w:hint="cs"/>
          <w:rtl/>
          <w:lang w:bidi="he-IL"/>
        </w:rPr>
        <w:t>פטור</w:t>
      </w:r>
      <w:r w:rsidR="00FF096F">
        <w:rPr>
          <w:lang w:bidi="he-IL"/>
        </w:rPr>
        <w:t xml:space="preserve">! </w:t>
      </w:r>
    </w:p>
    <w:sectPr w:rsidR="00E32268" w:rsidRPr="00E32268" w:rsidSect="001E0EF2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42" w:rsidRDefault="00147842">
      <w:r>
        <w:separator/>
      </w:r>
    </w:p>
  </w:endnote>
  <w:endnote w:type="continuationSeparator" w:id="0">
    <w:p w:rsidR="00147842" w:rsidRDefault="0014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A2" w:rsidRDefault="003174A2" w:rsidP="007463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74A2" w:rsidRDefault="003174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3F1" w:rsidRDefault="009013F1">
    <w:pPr>
      <w:pStyle w:val="Footer"/>
      <w:jc w:val="center"/>
      <w:rPr>
        <w:noProof/>
        <w:sz w:val="14"/>
        <w:szCs w:val="14"/>
      </w:rPr>
    </w:pPr>
    <w:r w:rsidRPr="009013F1">
      <w:rPr>
        <w:sz w:val="20"/>
        <w:szCs w:val="20"/>
      </w:rPr>
      <w:fldChar w:fldCharType="begin"/>
    </w:r>
    <w:r w:rsidRPr="009013F1">
      <w:rPr>
        <w:sz w:val="20"/>
        <w:szCs w:val="20"/>
      </w:rPr>
      <w:instrText xml:space="preserve"> PAGE   \* MERGEFORMAT </w:instrText>
    </w:r>
    <w:r w:rsidRPr="009013F1">
      <w:rPr>
        <w:sz w:val="20"/>
        <w:szCs w:val="20"/>
      </w:rPr>
      <w:fldChar w:fldCharType="separate"/>
    </w:r>
    <w:r w:rsidR="00B27AB9">
      <w:rPr>
        <w:noProof/>
        <w:sz w:val="20"/>
        <w:szCs w:val="20"/>
      </w:rPr>
      <w:t>2</w:t>
    </w:r>
    <w:r w:rsidRPr="009013F1">
      <w:rPr>
        <w:noProof/>
        <w:sz w:val="20"/>
        <w:szCs w:val="20"/>
      </w:rPr>
      <w:fldChar w:fldCharType="end"/>
    </w:r>
  </w:p>
  <w:p w:rsidR="009013F1" w:rsidRPr="009013F1" w:rsidRDefault="009013F1">
    <w:pPr>
      <w:pStyle w:val="Footer"/>
      <w:jc w:val="center"/>
      <w:rPr>
        <w:sz w:val="14"/>
        <w:szCs w:val="14"/>
      </w:rPr>
    </w:pPr>
    <w:r>
      <w:rPr>
        <w:noProof/>
        <w:sz w:val="14"/>
        <w:szCs w:val="14"/>
      </w:rPr>
      <w:t>TosfosInEnglish.com</w:t>
    </w:r>
  </w:p>
  <w:p w:rsidR="003174A2" w:rsidRPr="006C63C7" w:rsidRDefault="003174A2" w:rsidP="006C63C7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42" w:rsidRDefault="00147842">
      <w:r>
        <w:separator/>
      </w:r>
    </w:p>
  </w:footnote>
  <w:footnote w:type="continuationSeparator" w:id="0">
    <w:p w:rsidR="00147842" w:rsidRDefault="00147842">
      <w:r>
        <w:continuationSeparator/>
      </w:r>
    </w:p>
  </w:footnote>
  <w:footnote w:id="1">
    <w:p w:rsidR="003174A2" w:rsidRPr="00462715" w:rsidRDefault="003174A2" w:rsidP="005468F1">
      <w:pPr>
        <w:pStyle w:val="FootnoteText"/>
        <w:spacing w:line="264" w:lineRule="auto"/>
        <w:jc w:val="both"/>
        <w:rPr>
          <w:lang w:bidi="he-IL"/>
        </w:rPr>
      </w:pPr>
      <w:r w:rsidRPr="00462715">
        <w:rPr>
          <w:rStyle w:val="FootnoteReference"/>
        </w:rPr>
        <w:footnoteRef/>
      </w:r>
      <w:r w:rsidRPr="00462715">
        <w:t xml:space="preserve"> The </w:t>
      </w:r>
      <w:r w:rsidRPr="00462715">
        <w:rPr>
          <w:rFonts w:hint="cs"/>
          <w:rtl/>
          <w:lang w:bidi="he-IL"/>
        </w:rPr>
        <w:t>רבנן</w:t>
      </w:r>
      <w:r w:rsidRPr="00462715">
        <w:rPr>
          <w:lang w:bidi="he-IL"/>
        </w:rPr>
        <w:t xml:space="preserve"> disagree with </w:t>
      </w:r>
      <w:r w:rsidRPr="00462715">
        <w:rPr>
          <w:rFonts w:hint="cs"/>
          <w:rtl/>
          <w:lang w:bidi="he-IL"/>
        </w:rPr>
        <w:t>ר"ש</w:t>
      </w:r>
      <w:r w:rsidRPr="00462715">
        <w:rPr>
          <w:lang w:bidi="he-IL"/>
        </w:rPr>
        <w:t xml:space="preserve"> and maintain that </w:t>
      </w:r>
      <w:r w:rsidRPr="00462715">
        <w:rPr>
          <w:rFonts w:hint="cs"/>
          <w:rtl/>
          <w:lang w:bidi="he-IL"/>
        </w:rPr>
        <w:t>נתכוין להרוג את זה והרג את זה חייב</w:t>
      </w:r>
      <w:r w:rsidRPr="00462715">
        <w:rPr>
          <w:lang w:bidi="he-IL"/>
        </w:rPr>
        <w:t>.</w:t>
      </w:r>
    </w:p>
  </w:footnote>
  <w:footnote w:id="2">
    <w:p w:rsidR="005468F1" w:rsidRPr="005468F1" w:rsidRDefault="005468F1" w:rsidP="005468F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1.</w:t>
      </w:r>
    </w:p>
  </w:footnote>
  <w:footnote w:id="3">
    <w:p w:rsidR="003174A2" w:rsidRPr="00462715" w:rsidRDefault="003174A2" w:rsidP="005468F1">
      <w:pPr>
        <w:pStyle w:val="FootnoteText"/>
        <w:widowControl w:val="0"/>
        <w:spacing w:line="264" w:lineRule="auto"/>
        <w:jc w:val="both"/>
        <w:rPr>
          <w:lang w:bidi="he-IL"/>
        </w:rPr>
      </w:pPr>
      <w:r w:rsidRPr="00462715">
        <w:rPr>
          <w:rStyle w:val="FootnoteReference"/>
        </w:rPr>
        <w:footnoteRef/>
      </w:r>
      <w:r w:rsidRPr="00462715">
        <w:t xml:space="preserve"> The </w:t>
      </w:r>
      <w:r w:rsidRPr="00462715">
        <w:rPr>
          <w:rFonts w:hint="cs"/>
          <w:rtl/>
          <w:lang w:bidi="he-IL"/>
        </w:rPr>
        <w:t>תורה</w:t>
      </w:r>
      <w:r w:rsidRPr="00462715">
        <w:rPr>
          <w:lang w:bidi="he-IL"/>
        </w:rPr>
        <w:t xml:space="preserve"> states: </w:t>
      </w:r>
      <w:r w:rsidRPr="00462715">
        <w:rPr>
          <w:rFonts w:hint="cs"/>
          <w:rtl/>
          <w:lang w:bidi="he-IL"/>
        </w:rPr>
        <w:t>(משפטים כא, כב וכ"ג)</w:t>
      </w:r>
      <w:r w:rsidRPr="00462715">
        <w:rPr>
          <w:lang w:bidi="he-IL"/>
        </w:rPr>
        <w:t xml:space="preserve"> </w:t>
      </w:r>
      <w:r w:rsidRPr="00462715">
        <w:rPr>
          <w:rFonts w:hint="cs"/>
          <w:rtl/>
          <w:lang w:bidi="he-IL"/>
        </w:rPr>
        <w:t>וכי ינצו אנשים ונגפו אשה הרה וגו' ולא יהיה אסון וגו' ונתן בפלילים. ואם אסון יהיה ונתת נפש תחת נפש</w:t>
      </w:r>
      <w:r w:rsidRPr="00462715">
        <w:rPr>
          <w:lang w:bidi="he-IL"/>
        </w:rPr>
        <w:t xml:space="preserve">. The </w:t>
      </w:r>
      <w:r w:rsidRPr="00462715">
        <w:rPr>
          <w:rFonts w:hint="cs"/>
          <w:rtl/>
          <w:lang w:bidi="he-IL"/>
        </w:rPr>
        <w:t>פסוק</w:t>
      </w:r>
      <w:r w:rsidRPr="00462715">
        <w:rPr>
          <w:lang w:bidi="he-IL"/>
        </w:rPr>
        <w:t xml:space="preserve"> is discussing a case where the person intended to kill another, and instead harmed a pregnant woman causing an abortion. If the woman was not killed, the aggressor must pay the damages of the fetus </w:t>
      </w:r>
      <w:r w:rsidR="005468F1">
        <w:rPr>
          <w:lang w:bidi="he-IL"/>
        </w:rPr>
        <w:t>(</w:t>
      </w:r>
      <w:r w:rsidRPr="00462715">
        <w:rPr>
          <w:rFonts w:hint="cs"/>
          <w:rtl/>
          <w:lang w:bidi="he-IL"/>
        </w:rPr>
        <w:t>ונתן</w:t>
      </w:r>
      <w:r w:rsidR="005468F1">
        <w:rPr>
          <w:rFonts w:hint="cs"/>
          <w:rtl/>
          <w:lang w:bidi="he-IL"/>
        </w:rPr>
        <w:t xml:space="preserve"> </w:t>
      </w:r>
      <w:r w:rsidRPr="00462715">
        <w:rPr>
          <w:rFonts w:hint="cs"/>
          <w:rtl/>
          <w:lang w:bidi="he-IL"/>
        </w:rPr>
        <w:t>בפלילים</w:t>
      </w:r>
      <w:r w:rsidR="005468F1">
        <w:rPr>
          <w:lang w:bidi="he-IL"/>
        </w:rPr>
        <w:t>)</w:t>
      </w:r>
      <w:r w:rsidRPr="00462715">
        <w:rPr>
          <w:lang w:bidi="he-IL"/>
        </w:rPr>
        <w:t xml:space="preserve">. If the woman was killed, </w:t>
      </w:r>
      <w:r w:rsidR="00FF096F" w:rsidRPr="00462715">
        <w:rPr>
          <w:lang w:bidi="he-IL"/>
        </w:rPr>
        <w:t xml:space="preserve">however, </w:t>
      </w:r>
      <w:r w:rsidRPr="00462715">
        <w:rPr>
          <w:lang w:bidi="he-IL"/>
        </w:rPr>
        <w:t>then</w:t>
      </w:r>
      <w:r w:rsidR="00FF096F" w:rsidRPr="00462715">
        <w:rPr>
          <w:lang w:bidi="he-IL"/>
        </w:rPr>
        <w:t xml:space="preserve"> the rule is</w:t>
      </w:r>
      <w:r w:rsidRPr="00462715">
        <w:rPr>
          <w:lang w:bidi="he-IL"/>
        </w:rPr>
        <w:t xml:space="preserve"> </w:t>
      </w:r>
      <w:r w:rsidRPr="00462715">
        <w:rPr>
          <w:rFonts w:hint="cs"/>
          <w:rtl/>
          <w:lang w:bidi="he-IL"/>
        </w:rPr>
        <w:t>ונתת נפש תחת נפש</w:t>
      </w:r>
      <w:r w:rsidRPr="00462715">
        <w:rPr>
          <w:lang w:bidi="he-IL"/>
        </w:rPr>
        <w:t xml:space="preserve">. According to </w:t>
      </w:r>
      <w:r w:rsidRPr="00462715">
        <w:rPr>
          <w:rFonts w:hint="cs"/>
          <w:rtl/>
          <w:lang w:bidi="he-IL"/>
        </w:rPr>
        <w:t>רבי</w:t>
      </w:r>
      <w:r w:rsidR="005468F1">
        <w:rPr>
          <w:lang w:bidi="he-IL"/>
        </w:rPr>
        <w:t xml:space="preserve"> however, </w:t>
      </w:r>
      <w:r w:rsidRPr="00462715">
        <w:rPr>
          <w:lang w:bidi="he-IL"/>
        </w:rPr>
        <w:t xml:space="preserve">there is a </w:t>
      </w:r>
      <w:r w:rsidRPr="00462715">
        <w:rPr>
          <w:rFonts w:hint="cs"/>
          <w:rtl/>
          <w:lang w:bidi="he-IL"/>
        </w:rPr>
        <w:t>גזירה שוה נתינה (ונתת נפש) נתינה (ונתן בפלילים)</w:t>
      </w:r>
      <w:r w:rsidRPr="00462715">
        <w:rPr>
          <w:lang w:bidi="he-IL"/>
        </w:rPr>
        <w:t xml:space="preserve">, which teaches us that even if the woman was </w:t>
      </w:r>
      <w:r w:rsidR="00FF096F" w:rsidRPr="00462715">
        <w:rPr>
          <w:lang w:bidi="he-IL"/>
        </w:rPr>
        <w:t>killed;</w:t>
      </w:r>
      <w:r w:rsidRPr="00462715">
        <w:rPr>
          <w:lang w:bidi="he-IL"/>
        </w:rPr>
        <w:t xml:space="preserve"> the </w:t>
      </w:r>
      <w:r w:rsidRPr="00462715">
        <w:rPr>
          <w:rFonts w:hint="cs"/>
          <w:rtl/>
          <w:lang w:bidi="he-IL"/>
        </w:rPr>
        <w:t>הורג</w:t>
      </w:r>
      <w:r w:rsidRPr="00462715">
        <w:rPr>
          <w:lang w:bidi="he-IL"/>
        </w:rPr>
        <w:t xml:space="preserve"> is only obligated to pay money (but not</w:t>
      </w:r>
      <w:r w:rsidR="00FF096F" w:rsidRPr="00462715">
        <w:rPr>
          <w:lang w:bidi="he-IL"/>
        </w:rPr>
        <w:t xml:space="preserve"> to</w:t>
      </w:r>
      <w:r w:rsidRPr="00462715">
        <w:rPr>
          <w:lang w:bidi="he-IL"/>
        </w:rPr>
        <w:t xml:space="preserve"> be killed). This </w:t>
      </w:r>
      <w:r w:rsidRPr="00462715">
        <w:rPr>
          <w:rFonts w:hint="cs"/>
          <w:rtl/>
          <w:lang w:bidi="he-IL"/>
        </w:rPr>
        <w:t>גז"ש</w:t>
      </w:r>
      <w:r w:rsidRPr="00462715">
        <w:rPr>
          <w:lang w:bidi="he-IL"/>
        </w:rPr>
        <w:t xml:space="preserve"> in effect teaches us that </w:t>
      </w:r>
      <w:r w:rsidRPr="00462715">
        <w:rPr>
          <w:rFonts w:hint="cs"/>
          <w:rtl/>
          <w:lang w:bidi="he-IL"/>
        </w:rPr>
        <w:t>נתכוין להרג את זה</w:t>
      </w:r>
      <w:r w:rsidRPr="00462715">
        <w:rPr>
          <w:lang w:bidi="he-IL"/>
        </w:rPr>
        <w:t xml:space="preserve"> (the other person) </w:t>
      </w:r>
      <w:r w:rsidRPr="00462715">
        <w:rPr>
          <w:rFonts w:hint="cs"/>
          <w:rtl/>
          <w:lang w:bidi="he-IL"/>
        </w:rPr>
        <w:t>והרג את זה</w:t>
      </w:r>
      <w:r w:rsidRPr="00462715">
        <w:rPr>
          <w:lang w:bidi="he-IL"/>
        </w:rPr>
        <w:t xml:space="preserve"> (the </w:t>
      </w:r>
      <w:r w:rsidRPr="00462715">
        <w:rPr>
          <w:rFonts w:hint="cs"/>
          <w:rtl/>
          <w:lang w:bidi="he-IL"/>
        </w:rPr>
        <w:t>אשה הרה</w:t>
      </w:r>
      <w:r w:rsidRPr="00462715">
        <w:rPr>
          <w:lang w:bidi="he-IL"/>
        </w:rPr>
        <w:t>)</w:t>
      </w:r>
      <w:r w:rsidR="005468F1">
        <w:rPr>
          <w:lang w:bidi="he-IL"/>
        </w:rPr>
        <w:t>, he</w:t>
      </w:r>
      <w:r w:rsidRPr="00462715">
        <w:rPr>
          <w:lang w:bidi="he-IL"/>
        </w:rPr>
        <w:t xml:space="preserve"> is </w:t>
      </w:r>
      <w:r w:rsidRPr="00462715">
        <w:rPr>
          <w:rFonts w:hint="cs"/>
          <w:rtl/>
          <w:lang w:bidi="he-IL"/>
        </w:rPr>
        <w:t>פטור ממיתה</w:t>
      </w:r>
      <w:r w:rsidRPr="00462715">
        <w:rPr>
          <w:lang w:bidi="he-IL"/>
        </w:rPr>
        <w:t>; the same ruling</w:t>
      </w:r>
      <w:r w:rsidR="00FF096F" w:rsidRPr="00462715">
        <w:rPr>
          <w:lang w:bidi="he-IL"/>
        </w:rPr>
        <w:t xml:space="preserve"> that</w:t>
      </w:r>
      <w:r w:rsidRPr="00462715">
        <w:rPr>
          <w:lang w:bidi="he-IL"/>
        </w:rPr>
        <w:t xml:space="preserve"> </w:t>
      </w:r>
      <w:r w:rsidRPr="00462715">
        <w:rPr>
          <w:rFonts w:hint="cs"/>
          <w:rtl/>
          <w:lang w:bidi="he-IL"/>
        </w:rPr>
        <w:t>ר"ש</w:t>
      </w:r>
      <w:r w:rsidRPr="00462715">
        <w:rPr>
          <w:lang w:bidi="he-IL"/>
        </w:rPr>
        <w:t xml:space="preserve"> derived from the </w:t>
      </w:r>
      <w:r w:rsidRPr="00462715">
        <w:rPr>
          <w:rFonts w:hint="cs"/>
          <w:rtl/>
          <w:lang w:bidi="he-IL"/>
        </w:rPr>
        <w:t>פסוק</w:t>
      </w:r>
      <w:r w:rsidRPr="00462715">
        <w:rPr>
          <w:lang w:bidi="he-IL"/>
        </w:rPr>
        <w:t xml:space="preserve"> of </w:t>
      </w:r>
      <w:r w:rsidRPr="00462715">
        <w:rPr>
          <w:rFonts w:hint="cs"/>
          <w:rtl/>
          <w:lang w:bidi="he-IL"/>
        </w:rPr>
        <w:t>וארב לו</w:t>
      </w:r>
      <w:r w:rsidRPr="00462715">
        <w:rPr>
          <w:lang w:bidi="he-IL"/>
        </w:rPr>
        <w:t xml:space="preserve">.  </w:t>
      </w:r>
    </w:p>
  </w:footnote>
  <w:footnote w:id="4">
    <w:p w:rsidR="009013F1" w:rsidRPr="00462715" w:rsidRDefault="009013F1" w:rsidP="00B040C1">
      <w:pPr>
        <w:pStyle w:val="FootnoteText"/>
        <w:widowControl w:val="0"/>
        <w:spacing w:line="264" w:lineRule="auto"/>
        <w:jc w:val="both"/>
        <w:rPr>
          <w:lang w:bidi="he-IL"/>
        </w:rPr>
      </w:pPr>
      <w:r w:rsidRPr="00462715">
        <w:rPr>
          <w:rStyle w:val="FootnoteReference"/>
        </w:rPr>
        <w:footnoteRef/>
      </w:r>
      <w:r w:rsidRPr="00462715">
        <w:t xml:space="preserve"> It is written in the </w:t>
      </w:r>
      <w:r w:rsidRPr="00462715">
        <w:rPr>
          <w:rFonts w:hint="cs"/>
          <w:rtl/>
          <w:lang w:bidi="he-IL"/>
        </w:rPr>
        <w:t>תורה (ויקרא [אמור] כד,כא) ומכה בהמה ישלמנה ומכה אדם יומת</w:t>
      </w:r>
      <w:r w:rsidRPr="00462715">
        <w:rPr>
          <w:lang w:bidi="he-IL"/>
        </w:rPr>
        <w:t xml:space="preserve">. The </w:t>
      </w:r>
      <w:r w:rsidRPr="00462715">
        <w:rPr>
          <w:rFonts w:hint="cs"/>
          <w:rtl/>
          <w:lang w:bidi="he-IL"/>
        </w:rPr>
        <w:t>תורה</w:t>
      </w:r>
      <w:r w:rsidRPr="00462715">
        <w:rPr>
          <w:lang w:bidi="he-IL"/>
        </w:rPr>
        <w:t xml:space="preserve"> compares killing an animal to slaying a person. </w:t>
      </w:r>
      <w:r w:rsidRPr="00462715">
        <w:rPr>
          <w:rFonts w:hint="cs"/>
          <w:rtl/>
          <w:lang w:bidi="he-IL"/>
        </w:rPr>
        <w:t>דבי חזקיה</w:t>
      </w:r>
      <w:r w:rsidRPr="00462715">
        <w:rPr>
          <w:lang w:bidi="he-IL"/>
        </w:rPr>
        <w:t xml:space="preserve"> derive from this </w:t>
      </w:r>
      <w:r w:rsidRPr="00462715">
        <w:rPr>
          <w:rFonts w:hint="cs"/>
          <w:rtl/>
          <w:lang w:bidi="he-IL"/>
        </w:rPr>
        <w:t>היקש</w:t>
      </w:r>
      <w:r w:rsidRPr="00462715">
        <w:rPr>
          <w:lang w:bidi="he-IL"/>
        </w:rPr>
        <w:t xml:space="preserve"> that just as the laws concerning </w:t>
      </w:r>
      <w:r w:rsidRPr="00462715">
        <w:rPr>
          <w:rFonts w:hint="cs"/>
          <w:rtl/>
          <w:lang w:bidi="he-IL"/>
        </w:rPr>
        <w:t>מכה בהמה</w:t>
      </w:r>
      <w:r w:rsidRPr="00462715">
        <w:rPr>
          <w:lang w:bidi="he-IL"/>
        </w:rPr>
        <w:t xml:space="preserve"> are universal; there is no difference between </w:t>
      </w:r>
      <w:r w:rsidRPr="00462715">
        <w:rPr>
          <w:rFonts w:hint="cs"/>
          <w:rtl/>
          <w:lang w:bidi="he-IL"/>
        </w:rPr>
        <w:t>מתכוין</w:t>
      </w:r>
      <w:r w:rsidRPr="00462715">
        <w:rPr>
          <w:lang w:bidi="he-IL"/>
        </w:rPr>
        <w:t xml:space="preserve"> and </w:t>
      </w:r>
      <w:r w:rsidRPr="00462715">
        <w:rPr>
          <w:rFonts w:hint="cs"/>
          <w:rtl/>
          <w:lang w:bidi="he-IL"/>
        </w:rPr>
        <w:t>אינו מתכוין</w:t>
      </w:r>
      <w:r w:rsidRPr="00462715">
        <w:rPr>
          <w:lang w:bidi="he-IL"/>
        </w:rPr>
        <w:t xml:space="preserve">, etc. (he is always obligated to pay), so too by </w:t>
      </w:r>
      <w:r w:rsidRPr="00462715">
        <w:rPr>
          <w:rFonts w:hint="cs"/>
          <w:rtl/>
          <w:lang w:bidi="he-IL"/>
        </w:rPr>
        <w:t>מכה אדם</w:t>
      </w:r>
      <w:r w:rsidRPr="00462715">
        <w:rPr>
          <w:lang w:bidi="he-IL"/>
        </w:rPr>
        <w:t xml:space="preserve"> there is no difference between </w:t>
      </w:r>
      <w:r w:rsidRPr="00462715">
        <w:rPr>
          <w:rFonts w:hint="cs"/>
          <w:rtl/>
          <w:lang w:bidi="he-IL"/>
        </w:rPr>
        <w:t>מתכוין</w:t>
      </w:r>
      <w:r w:rsidRPr="00462715">
        <w:rPr>
          <w:lang w:bidi="he-IL"/>
        </w:rPr>
        <w:t xml:space="preserve"> and </w:t>
      </w:r>
      <w:r w:rsidRPr="00462715">
        <w:rPr>
          <w:rFonts w:hint="cs"/>
          <w:rtl/>
          <w:lang w:bidi="he-IL"/>
        </w:rPr>
        <w:t>אינו מתכוין</w:t>
      </w:r>
      <w:r w:rsidRPr="00462715">
        <w:rPr>
          <w:lang w:bidi="he-IL"/>
        </w:rPr>
        <w:t xml:space="preserve"> (concerning payments). We know that if a person kills </w:t>
      </w:r>
      <w:r w:rsidRPr="00462715">
        <w:rPr>
          <w:rFonts w:hint="cs"/>
          <w:rtl/>
          <w:lang w:bidi="he-IL"/>
        </w:rPr>
        <w:t>במתכוין</w:t>
      </w:r>
      <w:r w:rsidRPr="00462715">
        <w:rPr>
          <w:lang w:bidi="he-IL"/>
        </w:rPr>
        <w:t xml:space="preserve"> he is </w:t>
      </w:r>
      <w:r w:rsidRPr="00462715">
        <w:rPr>
          <w:rFonts w:hint="cs"/>
          <w:rtl/>
          <w:lang w:bidi="he-IL"/>
        </w:rPr>
        <w:t>פטור</w:t>
      </w:r>
      <w:r w:rsidRPr="00462715">
        <w:rPr>
          <w:lang w:bidi="he-IL"/>
        </w:rPr>
        <w:t xml:space="preserve"> from any monetary damages on account of </w:t>
      </w:r>
      <w:r w:rsidRPr="00462715">
        <w:rPr>
          <w:rFonts w:hint="cs"/>
          <w:rtl/>
          <w:lang w:bidi="he-IL"/>
        </w:rPr>
        <w:t>קם ליה בדרבה מיניה</w:t>
      </w:r>
      <w:r w:rsidRPr="00462715">
        <w:rPr>
          <w:lang w:bidi="he-IL"/>
        </w:rPr>
        <w:t xml:space="preserve">. Similarly (even) if he killed </w:t>
      </w:r>
      <w:r w:rsidRPr="00462715">
        <w:rPr>
          <w:rFonts w:hint="cs"/>
          <w:rtl/>
          <w:lang w:bidi="he-IL"/>
        </w:rPr>
        <w:t>באינו מתכוין</w:t>
      </w:r>
      <w:r w:rsidRPr="00462715">
        <w:rPr>
          <w:lang w:bidi="he-IL"/>
        </w:rPr>
        <w:t xml:space="preserve"> (when he is not put to death), he is also </w:t>
      </w:r>
      <w:r w:rsidRPr="00462715">
        <w:rPr>
          <w:rFonts w:hint="cs"/>
          <w:rtl/>
          <w:lang w:bidi="he-IL"/>
        </w:rPr>
        <w:t>פטור מתשלומין</w:t>
      </w:r>
      <w:r w:rsidRPr="00462715">
        <w:rPr>
          <w:lang w:bidi="he-IL"/>
        </w:rPr>
        <w:t xml:space="preserve">.  </w:t>
      </w:r>
    </w:p>
  </w:footnote>
  <w:footnote w:id="5">
    <w:p w:rsidR="003174A2" w:rsidRPr="00462715" w:rsidRDefault="003174A2" w:rsidP="005468F1">
      <w:pPr>
        <w:pStyle w:val="FootnoteText"/>
        <w:widowControl w:val="0"/>
        <w:spacing w:line="264" w:lineRule="auto"/>
        <w:jc w:val="both"/>
        <w:rPr>
          <w:lang w:bidi="he-IL"/>
        </w:rPr>
      </w:pPr>
      <w:r w:rsidRPr="00462715">
        <w:rPr>
          <w:rStyle w:val="FootnoteReference"/>
        </w:rPr>
        <w:footnoteRef/>
      </w:r>
      <w:r w:rsidRPr="00462715">
        <w:t xml:space="preserve"> The </w:t>
      </w:r>
      <w:r w:rsidRPr="00462715">
        <w:rPr>
          <w:rFonts w:hint="cs"/>
          <w:rtl/>
          <w:lang w:bidi="he-IL"/>
        </w:rPr>
        <w:t>היקש</w:t>
      </w:r>
      <w:r w:rsidRPr="00462715">
        <w:rPr>
          <w:lang w:bidi="he-IL"/>
        </w:rPr>
        <w:t xml:space="preserve"> of </w:t>
      </w:r>
      <w:r w:rsidRPr="00462715">
        <w:rPr>
          <w:rFonts w:hint="cs"/>
          <w:rtl/>
          <w:lang w:bidi="he-IL"/>
        </w:rPr>
        <w:t>מכה בהמה וגו'</w:t>
      </w:r>
      <w:r w:rsidRPr="00462715">
        <w:rPr>
          <w:lang w:bidi="he-IL"/>
        </w:rPr>
        <w:t xml:space="preserve"> </w:t>
      </w:r>
      <w:r w:rsidR="00AC1499" w:rsidRPr="00462715">
        <w:rPr>
          <w:lang w:bidi="he-IL"/>
        </w:rPr>
        <w:t xml:space="preserve">is necessary to </w:t>
      </w:r>
      <w:r w:rsidRPr="00462715">
        <w:rPr>
          <w:lang w:bidi="he-IL"/>
        </w:rPr>
        <w:t xml:space="preserve">teach us </w:t>
      </w:r>
      <w:r w:rsidR="0026296C" w:rsidRPr="00462715">
        <w:rPr>
          <w:lang w:bidi="he-IL"/>
        </w:rPr>
        <w:t xml:space="preserve">(according to </w:t>
      </w:r>
      <w:r w:rsidR="0026296C" w:rsidRPr="00462715">
        <w:rPr>
          <w:rFonts w:hint="cs"/>
          <w:rtl/>
          <w:lang w:bidi="he-IL"/>
        </w:rPr>
        <w:t>דבי חזקיה</w:t>
      </w:r>
      <w:r w:rsidR="0026296C" w:rsidRPr="00462715">
        <w:rPr>
          <w:lang w:bidi="he-IL"/>
        </w:rPr>
        <w:t xml:space="preserve">) </w:t>
      </w:r>
      <w:r w:rsidRPr="00462715">
        <w:rPr>
          <w:lang w:bidi="he-IL"/>
        </w:rPr>
        <w:t xml:space="preserve">that there is never a </w:t>
      </w:r>
      <w:r w:rsidRPr="00462715">
        <w:rPr>
          <w:rFonts w:hint="cs"/>
          <w:rtl/>
          <w:lang w:bidi="he-IL"/>
        </w:rPr>
        <w:t>חיוב תשלומין</w:t>
      </w:r>
      <w:r w:rsidRPr="00462715">
        <w:rPr>
          <w:lang w:bidi="he-IL"/>
        </w:rPr>
        <w:t xml:space="preserve"> if </w:t>
      </w:r>
      <w:r w:rsidRPr="00462715">
        <w:rPr>
          <w:rFonts w:hint="cs"/>
          <w:rtl/>
          <w:lang w:bidi="he-IL"/>
        </w:rPr>
        <w:t>מיתה</w:t>
      </w:r>
      <w:r w:rsidRPr="00462715">
        <w:rPr>
          <w:lang w:bidi="he-IL"/>
        </w:rPr>
        <w:t xml:space="preserve"> is involved even by </w:t>
      </w:r>
      <w:r w:rsidRPr="00462715">
        <w:rPr>
          <w:rFonts w:hint="cs"/>
          <w:rtl/>
          <w:lang w:bidi="he-IL"/>
        </w:rPr>
        <w:t>נתכוין להרוג את זה וכו'</w:t>
      </w:r>
      <w:r w:rsidRPr="00462715">
        <w:rPr>
          <w:lang w:bidi="he-IL"/>
        </w:rPr>
        <w:t>. From this we also derive that</w:t>
      </w:r>
      <w:r w:rsidR="0026296C" w:rsidRPr="00462715">
        <w:rPr>
          <w:lang w:bidi="he-IL"/>
        </w:rPr>
        <w:t xml:space="preserve"> </w:t>
      </w:r>
      <w:r w:rsidR="0026296C" w:rsidRPr="00462715">
        <w:rPr>
          <w:rFonts w:hint="cs"/>
          <w:rtl/>
          <w:lang w:bidi="he-IL"/>
        </w:rPr>
        <w:t>דבי חזקיה</w:t>
      </w:r>
      <w:r w:rsidR="0026296C" w:rsidRPr="00462715">
        <w:rPr>
          <w:lang w:bidi="he-IL"/>
        </w:rPr>
        <w:t xml:space="preserve"> maintain that</w:t>
      </w:r>
      <w:r w:rsidRPr="00462715">
        <w:rPr>
          <w:lang w:bidi="he-IL"/>
        </w:rPr>
        <w:t xml:space="preserve"> </w:t>
      </w:r>
      <w:r w:rsidRPr="00462715">
        <w:rPr>
          <w:rFonts w:hint="cs"/>
          <w:rtl/>
          <w:lang w:bidi="he-IL"/>
        </w:rPr>
        <w:t>נתכוין להרוג וכו'</w:t>
      </w:r>
      <w:r w:rsidRPr="00462715">
        <w:rPr>
          <w:lang w:bidi="he-IL"/>
        </w:rPr>
        <w:t xml:space="preserve"> is </w:t>
      </w:r>
      <w:r w:rsidRPr="00462715">
        <w:rPr>
          <w:rFonts w:hint="cs"/>
          <w:rtl/>
          <w:lang w:bidi="he-IL"/>
        </w:rPr>
        <w:t>פטור ממיתה</w:t>
      </w:r>
      <w:r w:rsidRPr="00462715">
        <w:rPr>
          <w:lang w:bidi="he-IL"/>
        </w:rPr>
        <w:t xml:space="preserve">; for if it would be </w:t>
      </w:r>
      <w:r w:rsidRPr="00462715">
        <w:rPr>
          <w:rFonts w:hint="cs"/>
          <w:rtl/>
          <w:lang w:bidi="he-IL"/>
        </w:rPr>
        <w:t>מחויב מיתה</w:t>
      </w:r>
      <w:r w:rsidRPr="00462715">
        <w:rPr>
          <w:lang w:bidi="he-IL"/>
        </w:rPr>
        <w:t xml:space="preserve">, then the </w:t>
      </w:r>
      <w:r w:rsidRPr="00462715">
        <w:rPr>
          <w:rFonts w:hint="cs"/>
          <w:rtl/>
          <w:lang w:bidi="he-IL"/>
        </w:rPr>
        <w:t>היקש</w:t>
      </w:r>
      <w:r w:rsidRPr="00462715">
        <w:rPr>
          <w:lang w:bidi="he-IL"/>
        </w:rPr>
        <w:t xml:space="preserve"> of </w:t>
      </w:r>
      <w:r w:rsidRPr="00462715">
        <w:rPr>
          <w:rFonts w:hint="cs"/>
          <w:rtl/>
          <w:lang w:bidi="he-IL"/>
        </w:rPr>
        <w:t>מכה בהמה</w:t>
      </w:r>
      <w:r w:rsidRPr="00462715">
        <w:rPr>
          <w:lang w:bidi="he-IL"/>
        </w:rPr>
        <w:t xml:space="preserve"> is unnecessary to exempt him from </w:t>
      </w:r>
      <w:r w:rsidRPr="00462715">
        <w:rPr>
          <w:rFonts w:hint="cs"/>
          <w:rtl/>
          <w:lang w:bidi="he-IL"/>
        </w:rPr>
        <w:t>תשלומין</w:t>
      </w:r>
      <w:r w:rsidRPr="00462715">
        <w:rPr>
          <w:lang w:bidi="he-IL"/>
        </w:rPr>
        <w:t xml:space="preserve">. It is a ‘regular’ </w:t>
      </w:r>
      <w:r w:rsidRPr="00462715">
        <w:rPr>
          <w:rFonts w:hint="cs"/>
          <w:rtl/>
          <w:lang w:bidi="he-IL"/>
        </w:rPr>
        <w:t>קם ליה בדרבה מיניה</w:t>
      </w:r>
      <w:r w:rsidRPr="00462715">
        <w:rPr>
          <w:lang w:bidi="he-IL"/>
        </w:rPr>
        <w:t xml:space="preserve">. It is therefore apparent that the </w:t>
      </w:r>
      <w:r w:rsidRPr="00462715">
        <w:rPr>
          <w:rFonts w:hint="cs"/>
          <w:rtl/>
          <w:lang w:bidi="he-IL"/>
        </w:rPr>
        <w:t>דבי חזקיה</w:t>
      </w:r>
      <w:r w:rsidRPr="00462715">
        <w:rPr>
          <w:lang w:bidi="he-IL"/>
        </w:rPr>
        <w:t xml:space="preserve"> agree with </w:t>
      </w:r>
      <w:r w:rsidRPr="00462715">
        <w:rPr>
          <w:rFonts w:hint="cs"/>
          <w:rtl/>
          <w:lang w:bidi="he-IL"/>
        </w:rPr>
        <w:t>ר"ש</w:t>
      </w:r>
      <w:r w:rsidRPr="00462715">
        <w:rPr>
          <w:lang w:bidi="he-IL"/>
        </w:rPr>
        <w:t xml:space="preserve"> that </w:t>
      </w:r>
      <w:r w:rsidRPr="00462715">
        <w:rPr>
          <w:rFonts w:hint="cs"/>
          <w:rtl/>
          <w:lang w:bidi="he-IL"/>
        </w:rPr>
        <w:t>נתכוין להרוג את זה והרג את זה</w:t>
      </w:r>
      <w:r w:rsidRPr="00462715">
        <w:rPr>
          <w:lang w:bidi="he-IL"/>
        </w:rPr>
        <w:t xml:space="preserve"> is</w:t>
      </w:r>
      <w:r w:rsidR="0026296C" w:rsidRPr="00462715">
        <w:rPr>
          <w:lang w:bidi="he-IL"/>
        </w:rPr>
        <w:t xml:space="preserve"> </w:t>
      </w:r>
      <w:r w:rsidR="0026296C" w:rsidRPr="00462715">
        <w:rPr>
          <w:rFonts w:hint="cs"/>
          <w:rtl/>
          <w:lang w:bidi="he-IL"/>
        </w:rPr>
        <w:t>פ</w:t>
      </w:r>
      <w:r w:rsidRPr="00462715">
        <w:rPr>
          <w:rFonts w:hint="cs"/>
          <w:rtl/>
          <w:lang w:bidi="he-IL"/>
        </w:rPr>
        <w:t xml:space="preserve">טור </w:t>
      </w:r>
      <w:r w:rsidR="0026296C" w:rsidRPr="00462715">
        <w:rPr>
          <w:rFonts w:hint="cs"/>
          <w:rtl/>
          <w:lang w:bidi="he-IL"/>
        </w:rPr>
        <w:t>ממיתה</w:t>
      </w:r>
      <w:r w:rsidR="0026296C" w:rsidRPr="00462715">
        <w:rPr>
          <w:lang w:bidi="he-IL"/>
        </w:rPr>
        <w:t>.</w:t>
      </w:r>
    </w:p>
  </w:footnote>
  <w:footnote w:id="6">
    <w:p w:rsidR="005468F1" w:rsidRDefault="005468F1" w:rsidP="005468F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תוה"ר</w:t>
      </w:r>
      <w:r>
        <w:rPr>
          <w:lang w:bidi="he-IL"/>
        </w:rPr>
        <w:t>.</w:t>
      </w:r>
    </w:p>
  </w:footnote>
  <w:footnote w:id="7">
    <w:p w:rsidR="005468F1" w:rsidRDefault="005468F1" w:rsidP="005468F1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8">
    <w:p w:rsidR="005468F1" w:rsidRDefault="005468F1" w:rsidP="005468F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תוה"ר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A2" w:rsidRPr="006C63C7" w:rsidRDefault="003174A2" w:rsidP="006C63C7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טו,א תוס' ד"ה פרט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63C7"/>
    <w:rsid w:val="00147842"/>
    <w:rsid w:val="00184D2E"/>
    <w:rsid w:val="001E0EF2"/>
    <w:rsid w:val="0020216B"/>
    <w:rsid w:val="00210A1E"/>
    <w:rsid w:val="00256FD7"/>
    <w:rsid w:val="0026296C"/>
    <w:rsid w:val="003174A2"/>
    <w:rsid w:val="00335480"/>
    <w:rsid w:val="003F6705"/>
    <w:rsid w:val="00462715"/>
    <w:rsid w:val="00463069"/>
    <w:rsid w:val="004A2B4B"/>
    <w:rsid w:val="005468F1"/>
    <w:rsid w:val="005F43AD"/>
    <w:rsid w:val="006C63C7"/>
    <w:rsid w:val="007463AE"/>
    <w:rsid w:val="007552E7"/>
    <w:rsid w:val="007D47CA"/>
    <w:rsid w:val="00803214"/>
    <w:rsid w:val="0089054C"/>
    <w:rsid w:val="009013F1"/>
    <w:rsid w:val="00941DAB"/>
    <w:rsid w:val="00A95147"/>
    <w:rsid w:val="00AC1499"/>
    <w:rsid w:val="00AD550E"/>
    <w:rsid w:val="00AD7CDF"/>
    <w:rsid w:val="00AF3A15"/>
    <w:rsid w:val="00B040C1"/>
    <w:rsid w:val="00B27AB9"/>
    <w:rsid w:val="00BD0770"/>
    <w:rsid w:val="00CD2B10"/>
    <w:rsid w:val="00CF3DCE"/>
    <w:rsid w:val="00D0507E"/>
    <w:rsid w:val="00D46709"/>
    <w:rsid w:val="00D54370"/>
    <w:rsid w:val="00D80DE2"/>
    <w:rsid w:val="00DD3A15"/>
    <w:rsid w:val="00E32268"/>
    <w:rsid w:val="00F12F62"/>
    <w:rsid w:val="00F6757D"/>
    <w:rsid w:val="00FF096F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50BDBF-AD62-442E-8DD0-9174A910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C63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63C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F3DCE"/>
    <w:rPr>
      <w:sz w:val="20"/>
      <w:szCs w:val="20"/>
    </w:rPr>
  </w:style>
  <w:style w:type="character" w:styleId="FootnoteReference">
    <w:name w:val="footnote reference"/>
    <w:semiHidden/>
    <w:rsid w:val="00CF3DCE"/>
    <w:rPr>
      <w:vertAlign w:val="superscript"/>
    </w:rPr>
  </w:style>
  <w:style w:type="character" w:styleId="PageNumber">
    <w:name w:val="page number"/>
    <w:basedOn w:val="DefaultParagraphFont"/>
    <w:rsid w:val="00D0507E"/>
  </w:style>
  <w:style w:type="character" w:customStyle="1" w:styleId="FooterChar">
    <w:name w:val="Footer Char"/>
    <w:link w:val="Footer"/>
    <w:uiPriority w:val="99"/>
    <w:rsid w:val="009013F1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