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DE2" w:rsidRDefault="00183860" w:rsidP="009343BF">
      <w:pPr>
        <w:bidi/>
        <w:spacing w:line="276" w:lineRule="auto"/>
        <w:jc w:val="both"/>
        <w:rPr>
          <w:rFonts w:hint="cs"/>
          <w:b/>
          <w:bCs/>
          <w:sz w:val="32"/>
          <w:szCs w:val="32"/>
          <w:rtl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וליוחסין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לא בעינן תרי רובי ורמינהו כולי</w:t>
      </w:r>
      <w:r w:rsidR="009927DA">
        <w:rPr>
          <w:rFonts w:hint="cs"/>
          <w:b/>
          <w:bCs/>
          <w:sz w:val="32"/>
          <w:szCs w:val="32"/>
          <w:rtl/>
          <w:lang w:bidi="he-IL"/>
        </w:rPr>
        <w:t xml:space="preserve"> -     </w:t>
      </w:r>
      <w:r w:rsidR="00A7465D">
        <w:rPr>
          <w:b/>
          <w:bCs/>
          <w:sz w:val="32"/>
          <w:szCs w:val="32"/>
          <w:lang w:bidi="he-IL"/>
        </w:rPr>
        <w:t xml:space="preserve">    </w:t>
      </w:r>
      <w:r w:rsidR="009343BF">
        <w:rPr>
          <w:b/>
          <w:bCs/>
          <w:sz w:val="32"/>
          <w:szCs w:val="32"/>
          <w:lang w:bidi="he-IL"/>
        </w:rPr>
        <w:t xml:space="preserve"> </w:t>
      </w:r>
      <w:r w:rsidR="009343BF">
        <w:rPr>
          <w:b/>
          <w:bCs/>
          <w:sz w:val="16"/>
          <w:szCs w:val="16"/>
          <w:lang w:bidi="he-IL"/>
        </w:rPr>
        <w:t xml:space="preserve">  </w:t>
      </w:r>
      <w:r w:rsidR="00A7465D">
        <w:rPr>
          <w:b/>
          <w:bCs/>
          <w:sz w:val="32"/>
          <w:szCs w:val="32"/>
          <w:lang w:bidi="he-IL"/>
        </w:rPr>
        <w:t xml:space="preserve"> </w:t>
      </w:r>
      <w:r w:rsidR="00A7465D">
        <w:rPr>
          <w:b/>
          <w:bCs/>
          <w:sz w:val="16"/>
          <w:szCs w:val="16"/>
          <w:lang w:bidi="he-IL"/>
        </w:rPr>
        <w:t xml:space="preserve">    </w:t>
      </w:r>
      <w:r w:rsidR="009927DA">
        <w:rPr>
          <w:rFonts w:hint="cs"/>
          <w:b/>
          <w:bCs/>
          <w:sz w:val="32"/>
          <w:szCs w:val="32"/>
          <w:rtl/>
          <w:lang w:bidi="he-IL"/>
        </w:rPr>
        <w:t xml:space="preserve">   </w:t>
      </w:r>
      <w:r w:rsidR="009927DA" w:rsidRPr="009927DA">
        <w:rPr>
          <w:b/>
          <w:bCs/>
          <w:sz w:val="32"/>
          <w:szCs w:val="32"/>
          <w:lang w:bidi="he-IL"/>
        </w:rPr>
        <w:t>And do we not require</w:t>
      </w:r>
    </w:p>
    <w:p w:rsidR="00183860" w:rsidRDefault="00183860" w:rsidP="009927DA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sz w:val="32"/>
          <w:szCs w:val="32"/>
          <w:lang w:bidi="he-IL"/>
        </w:rPr>
        <w:t>two majorities concerning genealog</w:t>
      </w:r>
      <w:r w:rsidR="009927DA">
        <w:rPr>
          <w:b/>
          <w:bCs/>
          <w:sz w:val="32"/>
          <w:szCs w:val="32"/>
          <w:lang w:bidi="he-IL"/>
        </w:rPr>
        <w:t>y</w:t>
      </w:r>
      <w:r>
        <w:rPr>
          <w:b/>
          <w:bCs/>
          <w:sz w:val="32"/>
          <w:szCs w:val="32"/>
          <w:lang w:bidi="he-IL"/>
        </w:rPr>
        <w:t>?! I will dispute that</w:t>
      </w:r>
      <w:r>
        <w:rPr>
          <w:sz w:val="32"/>
          <w:szCs w:val="32"/>
          <w:lang w:bidi="he-IL"/>
        </w:rPr>
        <w:t xml:space="preserve"> </w:t>
      </w:r>
      <w:r>
        <w:rPr>
          <w:b/>
          <w:bCs/>
          <w:sz w:val="32"/>
          <w:szCs w:val="32"/>
          <w:lang w:bidi="he-IL"/>
        </w:rPr>
        <w:t>etc.!</w:t>
      </w:r>
    </w:p>
    <w:p w:rsidR="00183860" w:rsidRDefault="00183860" w:rsidP="009927DA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183860" w:rsidRPr="00D06A1F" w:rsidRDefault="00A24731" w:rsidP="009927DA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D06A1F">
        <w:rPr>
          <w:rFonts w:ascii="Copperplate Gothic Bold" w:hAnsi="Copperplate Gothic Bold"/>
          <w:u w:val="double"/>
          <w:lang w:bidi="he-IL"/>
        </w:rPr>
        <w:t>Overview</w:t>
      </w:r>
    </w:p>
    <w:p w:rsidR="00A24731" w:rsidRPr="00A24731" w:rsidRDefault="004C5BE6" w:rsidP="009927DA">
      <w:pPr>
        <w:spacing w:line="276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רב חייא בר אשי</w:t>
      </w:r>
      <w:r>
        <w:rPr>
          <w:lang w:bidi="he-IL"/>
        </w:rPr>
        <w:t xml:space="preserve"> said in the name of </w:t>
      </w:r>
      <w:r>
        <w:rPr>
          <w:rFonts w:hint="cs"/>
          <w:rtl/>
          <w:lang w:bidi="he-IL"/>
        </w:rPr>
        <w:t>רב</w:t>
      </w:r>
      <w:r>
        <w:rPr>
          <w:lang w:bidi="he-IL"/>
        </w:rPr>
        <w:t xml:space="preserve"> that the </w:t>
      </w:r>
      <w:r>
        <w:rPr>
          <w:rFonts w:hint="cs"/>
          <w:rtl/>
          <w:lang w:bidi="he-IL"/>
        </w:rPr>
        <w:t>הלכה</w:t>
      </w:r>
      <w:r>
        <w:rPr>
          <w:lang w:bidi="he-IL"/>
        </w:rPr>
        <w:t xml:space="preserve"> is according to </w:t>
      </w:r>
      <w:r>
        <w:rPr>
          <w:rFonts w:hint="cs"/>
          <w:rtl/>
          <w:lang w:bidi="he-IL"/>
        </w:rPr>
        <w:t>ר' יוסי</w:t>
      </w:r>
      <w:r>
        <w:rPr>
          <w:lang w:bidi="he-IL"/>
        </w:rPr>
        <w:t xml:space="preserve"> of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. </w:t>
      </w:r>
      <w:r>
        <w:rPr>
          <w:rFonts w:hint="cs"/>
          <w:rtl/>
          <w:lang w:bidi="he-IL"/>
        </w:rPr>
        <w:t>רבי ירמיה</w:t>
      </w:r>
      <w:r>
        <w:rPr>
          <w:lang w:bidi="he-IL"/>
        </w:rPr>
        <w:t xml:space="preserve"> understood that to mean that the </w:t>
      </w:r>
      <w:r>
        <w:rPr>
          <w:rFonts w:hint="cs"/>
          <w:rtl/>
          <w:lang w:bidi="he-IL"/>
        </w:rPr>
        <w:t>תינוקת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מותרת לכהונה</w:t>
      </w:r>
      <w:r>
        <w:rPr>
          <w:lang w:bidi="he-IL"/>
        </w:rPr>
        <w:t xml:space="preserve"> even if there is one </w:t>
      </w:r>
      <w:r>
        <w:rPr>
          <w:rFonts w:hint="cs"/>
          <w:rtl/>
          <w:lang w:bidi="he-IL"/>
        </w:rPr>
        <w:t>רוב</w:t>
      </w:r>
      <w:r>
        <w:rPr>
          <w:lang w:bidi="he-IL"/>
        </w:rPr>
        <w:t xml:space="preserve"> only. </w:t>
      </w:r>
      <w:r>
        <w:rPr>
          <w:rFonts w:hint="cs"/>
          <w:rtl/>
          <w:lang w:bidi="he-IL"/>
        </w:rPr>
        <w:t>ר' ירמיה</w:t>
      </w:r>
      <w:r>
        <w:rPr>
          <w:lang w:bidi="he-IL"/>
        </w:rPr>
        <w:t xml:space="preserve"> therefore challenged this ruling from another ruling of </w:t>
      </w:r>
      <w:r>
        <w:rPr>
          <w:rFonts w:hint="cs"/>
          <w:rtl/>
          <w:lang w:bidi="he-IL"/>
        </w:rPr>
        <w:t>רב</w:t>
      </w:r>
      <w:r>
        <w:rPr>
          <w:lang w:bidi="he-IL"/>
        </w:rPr>
        <w:t xml:space="preserve"> concerning a castaway child, that even if the </w:t>
      </w:r>
      <w:r>
        <w:rPr>
          <w:rFonts w:hint="cs"/>
          <w:rtl/>
          <w:lang w:bidi="he-IL"/>
        </w:rPr>
        <w:t>רוב</w:t>
      </w:r>
      <w:r>
        <w:rPr>
          <w:lang w:bidi="he-IL"/>
        </w:rPr>
        <w:t xml:space="preserve"> are </w:t>
      </w:r>
      <w:r>
        <w:rPr>
          <w:rFonts w:hint="cs"/>
          <w:rtl/>
          <w:lang w:bidi="he-IL"/>
        </w:rPr>
        <w:t>ישראלים</w:t>
      </w:r>
      <w:r>
        <w:rPr>
          <w:lang w:bidi="he-IL"/>
        </w:rPr>
        <w:t xml:space="preserve"> we do not consider this child a </w:t>
      </w:r>
      <w:r>
        <w:rPr>
          <w:rFonts w:hint="cs"/>
          <w:rtl/>
          <w:lang w:bidi="he-IL"/>
        </w:rPr>
        <w:t>ישראל</w:t>
      </w:r>
      <w:r>
        <w:rPr>
          <w:lang w:bidi="he-IL"/>
        </w:rPr>
        <w:t xml:space="preserve"> in regards to </w:t>
      </w:r>
      <w:r>
        <w:rPr>
          <w:rFonts w:hint="cs"/>
          <w:rtl/>
          <w:lang w:bidi="he-IL"/>
        </w:rPr>
        <w:t>יוחסין</w:t>
      </w:r>
      <w:r>
        <w:rPr>
          <w:lang w:bidi="he-IL"/>
        </w:rPr>
        <w:t>.</w:t>
      </w:r>
      <w:r w:rsidR="00DC6E3F">
        <w:rPr>
          <w:rStyle w:val="FootnoteReference"/>
          <w:lang w:bidi="he-IL"/>
        </w:rPr>
        <w:footnoteReference w:id="1"/>
      </w:r>
      <w:r>
        <w:rPr>
          <w:lang w:bidi="he-IL"/>
        </w:rPr>
        <w:t xml:space="preserve"> Why is it that by the </w:t>
      </w:r>
      <w:r>
        <w:rPr>
          <w:rFonts w:hint="cs"/>
          <w:rtl/>
          <w:lang w:bidi="he-IL"/>
        </w:rPr>
        <w:t>תינוקת</w:t>
      </w:r>
      <w:r>
        <w:rPr>
          <w:lang w:bidi="he-IL"/>
        </w:rPr>
        <w:t xml:space="preserve"> one </w:t>
      </w:r>
      <w:r>
        <w:rPr>
          <w:rFonts w:hint="cs"/>
          <w:rtl/>
          <w:lang w:bidi="he-IL"/>
        </w:rPr>
        <w:t>רוב</w:t>
      </w:r>
      <w:r>
        <w:rPr>
          <w:lang w:bidi="he-IL"/>
        </w:rPr>
        <w:t xml:space="preserve"> is sufficient for </w:t>
      </w:r>
      <w:r>
        <w:rPr>
          <w:rFonts w:hint="cs"/>
          <w:rtl/>
          <w:lang w:bidi="he-IL"/>
        </w:rPr>
        <w:t>יוחסין</w:t>
      </w:r>
      <w:r>
        <w:rPr>
          <w:lang w:bidi="he-IL"/>
        </w:rPr>
        <w:t>?</w:t>
      </w:r>
      <w:r w:rsidR="00DC6E3F">
        <w:rPr>
          <w:lang w:bidi="he-IL"/>
        </w:rPr>
        <w:t xml:space="preserve"> Our </w:t>
      </w:r>
      <w:r w:rsidR="00DC6E3F">
        <w:rPr>
          <w:rFonts w:hint="cs"/>
          <w:rtl/>
          <w:lang w:bidi="he-IL"/>
        </w:rPr>
        <w:t>תוספות</w:t>
      </w:r>
      <w:r w:rsidR="00DC6E3F">
        <w:rPr>
          <w:lang w:bidi="he-IL"/>
        </w:rPr>
        <w:t xml:space="preserve"> argues that this contradiction could be resolved without resorting to the</w:t>
      </w:r>
      <w:r w:rsidR="00156FDC">
        <w:rPr>
          <w:lang w:bidi="he-IL"/>
        </w:rPr>
        <w:t xml:space="preserve"> s</w:t>
      </w:r>
      <w:r w:rsidR="00156FDC">
        <w:rPr>
          <w:rFonts w:hint="cs"/>
          <w:rtl/>
          <w:lang w:bidi="he-IL"/>
        </w:rPr>
        <w:t>גמרא'</w:t>
      </w:r>
      <w:r w:rsidR="00DC6E3F">
        <w:rPr>
          <w:lang w:bidi="he-IL"/>
        </w:rPr>
        <w:t xml:space="preserve"> answer that </w:t>
      </w:r>
      <w:r w:rsidR="00DC6E3F">
        <w:rPr>
          <w:rFonts w:hint="cs"/>
          <w:rtl/>
          <w:lang w:bidi="he-IL"/>
        </w:rPr>
        <w:t>תינוקת</w:t>
      </w:r>
      <w:r w:rsidR="00DC6E3F">
        <w:rPr>
          <w:lang w:bidi="he-IL"/>
        </w:rPr>
        <w:t xml:space="preserve"> is </w:t>
      </w:r>
      <w:r w:rsidR="00DC6E3F">
        <w:rPr>
          <w:rFonts w:hint="cs"/>
          <w:rtl/>
          <w:lang w:bidi="he-IL"/>
        </w:rPr>
        <w:t>כשר לכהונה</w:t>
      </w:r>
      <w:r w:rsidR="00DC6E3F">
        <w:rPr>
          <w:lang w:bidi="he-IL"/>
        </w:rPr>
        <w:t xml:space="preserve"> only by </w:t>
      </w:r>
      <w:r w:rsidR="00DC6E3F">
        <w:rPr>
          <w:rFonts w:hint="cs"/>
          <w:rtl/>
          <w:lang w:bidi="he-IL"/>
        </w:rPr>
        <w:t>תרי רובי</w:t>
      </w:r>
      <w:r w:rsidR="00DC6E3F">
        <w:rPr>
          <w:lang w:bidi="he-IL"/>
        </w:rPr>
        <w:t>.</w:t>
      </w:r>
    </w:p>
    <w:p w:rsidR="00183860" w:rsidRPr="00156FDC" w:rsidRDefault="00156FDC" w:rsidP="009927DA">
      <w:pPr>
        <w:spacing w:line="276" w:lineRule="auto"/>
        <w:jc w:val="center"/>
        <w:rPr>
          <w:rFonts w:hint="cs"/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-----------------------</w:t>
      </w:r>
    </w:p>
    <w:p w:rsidR="00183860" w:rsidRPr="00183860" w:rsidRDefault="00183860" w:rsidP="009927DA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asks:</w:t>
      </w:r>
    </w:p>
    <w:p w:rsidR="00183860" w:rsidRPr="00D06A1F" w:rsidRDefault="00183860" w:rsidP="00D06A1F">
      <w:pPr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D06A1F">
        <w:rPr>
          <w:rFonts w:ascii="David" w:hAnsi="David" w:cs="David"/>
          <w:b/>
          <w:bCs/>
          <w:rtl/>
          <w:lang w:bidi="he-IL"/>
        </w:rPr>
        <w:t>הוה מצי לשנויי שאני תינוק דלית ליה חזקה דכשרות</w:t>
      </w:r>
      <w:r w:rsidR="00D06A1F">
        <w:rPr>
          <w:rFonts w:ascii="David" w:hAnsi="David" w:cs="David" w:hint="cs"/>
          <w:b/>
          <w:bCs/>
          <w:rtl/>
          <w:lang w:bidi="he-IL"/>
        </w:rPr>
        <w:t>:</w:t>
      </w:r>
    </w:p>
    <w:p w:rsidR="00183860" w:rsidRDefault="00C74F86" w:rsidP="009927DA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could have answered, </w:t>
      </w:r>
      <w:r>
        <w:rPr>
          <w:lang w:bidi="he-IL"/>
        </w:rPr>
        <w:t xml:space="preserve">that the following case of </w:t>
      </w:r>
      <w:r w:rsidRPr="00A24731">
        <w:rPr>
          <w:lang w:bidi="he-IL"/>
        </w:rPr>
        <w:t>a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>castaway</w:t>
      </w:r>
      <w:r>
        <w:rPr>
          <w:b/>
          <w:bCs/>
          <w:lang w:bidi="he-IL"/>
        </w:rPr>
        <w:t xml:space="preserve"> child, is different </w:t>
      </w:r>
      <w:r>
        <w:rPr>
          <w:lang w:bidi="he-IL"/>
        </w:rPr>
        <w:t xml:space="preserve">than the case of </w:t>
      </w:r>
      <w:r>
        <w:rPr>
          <w:rFonts w:hint="cs"/>
          <w:rtl/>
          <w:lang w:bidi="he-IL"/>
        </w:rPr>
        <w:t>תינוקת</w:t>
      </w:r>
      <w:r>
        <w:rPr>
          <w:lang w:bidi="he-IL"/>
        </w:rPr>
        <w:t xml:space="preserve"> in our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; </w:t>
      </w:r>
      <w:r>
        <w:rPr>
          <w:b/>
          <w:bCs/>
          <w:lang w:bidi="he-IL"/>
        </w:rPr>
        <w:t xml:space="preserve">for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תינוק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has no presumption of </w:t>
      </w:r>
      <w:r>
        <w:rPr>
          <w:rFonts w:hint="cs"/>
          <w:b/>
          <w:bCs/>
          <w:rtl/>
          <w:lang w:bidi="he-IL"/>
        </w:rPr>
        <w:t>כשרות</w:t>
      </w:r>
      <w:r>
        <w:rPr>
          <w:b/>
          <w:bCs/>
          <w:lang w:bidi="he-IL"/>
        </w:rPr>
        <w:t xml:space="preserve">. </w:t>
      </w:r>
      <w:r w:rsidRPr="004C5BE6">
        <w:rPr>
          <w:sz w:val="24"/>
          <w:szCs w:val="24"/>
          <w:lang w:bidi="he-IL"/>
        </w:rPr>
        <w:t xml:space="preserve">We do not know the lineage of this child, therefore </w:t>
      </w:r>
      <w:r w:rsidR="00DC6E3F">
        <w:rPr>
          <w:sz w:val="24"/>
          <w:szCs w:val="24"/>
          <w:lang w:bidi="he-IL"/>
        </w:rPr>
        <w:t>one</w:t>
      </w:r>
      <w:r w:rsidRPr="004C5BE6">
        <w:rPr>
          <w:sz w:val="24"/>
          <w:szCs w:val="24"/>
          <w:lang w:bidi="he-IL"/>
        </w:rPr>
        <w:t xml:space="preserve"> </w:t>
      </w:r>
      <w:r w:rsidRPr="004C5BE6">
        <w:rPr>
          <w:rFonts w:hint="cs"/>
          <w:sz w:val="24"/>
          <w:szCs w:val="24"/>
          <w:rtl/>
          <w:lang w:bidi="he-IL"/>
        </w:rPr>
        <w:t>רוב</w:t>
      </w:r>
      <w:r w:rsidRPr="004C5BE6">
        <w:rPr>
          <w:sz w:val="24"/>
          <w:szCs w:val="24"/>
          <w:lang w:bidi="he-IL"/>
        </w:rPr>
        <w:t xml:space="preserve"> </w:t>
      </w:r>
      <w:r w:rsidR="00DC6E3F">
        <w:rPr>
          <w:sz w:val="24"/>
          <w:szCs w:val="24"/>
          <w:lang w:bidi="he-IL"/>
        </w:rPr>
        <w:t>is insufficient.</w:t>
      </w:r>
      <w:r w:rsidRPr="004C5BE6">
        <w:rPr>
          <w:sz w:val="24"/>
          <w:szCs w:val="24"/>
          <w:lang w:bidi="he-IL"/>
        </w:rPr>
        <w:t xml:space="preserve"> However in our </w:t>
      </w:r>
      <w:r w:rsidRPr="004C5BE6">
        <w:rPr>
          <w:rFonts w:hint="cs"/>
          <w:sz w:val="24"/>
          <w:szCs w:val="24"/>
          <w:rtl/>
          <w:lang w:bidi="he-IL"/>
        </w:rPr>
        <w:t>משנה</w:t>
      </w:r>
      <w:r w:rsidRPr="004C5BE6">
        <w:rPr>
          <w:sz w:val="24"/>
          <w:szCs w:val="24"/>
          <w:lang w:bidi="he-IL"/>
        </w:rPr>
        <w:t xml:space="preserve">, the </w:t>
      </w:r>
      <w:r w:rsidRPr="004C5BE6">
        <w:rPr>
          <w:rFonts w:hint="cs"/>
          <w:sz w:val="24"/>
          <w:szCs w:val="24"/>
          <w:rtl/>
          <w:lang w:bidi="he-IL"/>
        </w:rPr>
        <w:t>תינוקת</w:t>
      </w:r>
      <w:r w:rsidRPr="004C5BE6">
        <w:rPr>
          <w:sz w:val="24"/>
          <w:szCs w:val="24"/>
          <w:lang w:bidi="he-IL"/>
        </w:rPr>
        <w:t xml:space="preserve"> had a </w:t>
      </w:r>
      <w:r w:rsidRPr="004C5BE6">
        <w:rPr>
          <w:rFonts w:hint="cs"/>
          <w:sz w:val="24"/>
          <w:szCs w:val="24"/>
          <w:rtl/>
          <w:lang w:bidi="he-IL"/>
        </w:rPr>
        <w:t>חזקת כשרות</w:t>
      </w:r>
      <w:r w:rsidRPr="004C5BE6">
        <w:rPr>
          <w:sz w:val="24"/>
          <w:szCs w:val="24"/>
          <w:lang w:bidi="he-IL"/>
        </w:rPr>
        <w:t xml:space="preserve"> before she was </w:t>
      </w:r>
      <w:r w:rsidRPr="004C5BE6">
        <w:rPr>
          <w:rFonts w:hint="cs"/>
          <w:sz w:val="24"/>
          <w:szCs w:val="24"/>
          <w:rtl/>
          <w:lang w:bidi="he-IL"/>
        </w:rPr>
        <w:t>נבעלה באונס</w:t>
      </w:r>
      <w:r w:rsidRPr="004C5BE6">
        <w:rPr>
          <w:sz w:val="24"/>
          <w:szCs w:val="24"/>
          <w:lang w:bidi="he-IL"/>
        </w:rPr>
        <w:t xml:space="preserve">, therefore one </w:t>
      </w:r>
      <w:r w:rsidRPr="004C5BE6">
        <w:rPr>
          <w:rFonts w:hint="cs"/>
          <w:sz w:val="24"/>
          <w:szCs w:val="24"/>
          <w:rtl/>
          <w:lang w:bidi="he-IL"/>
        </w:rPr>
        <w:t>רוב</w:t>
      </w:r>
      <w:r w:rsidRPr="004C5BE6">
        <w:rPr>
          <w:sz w:val="24"/>
          <w:szCs w:val="24"/>
          <w:lang w:bidi="he-IL"/>
        </w:rPr>
        <w:t xml:space="preserve"> may be sufficient.</w:t>
      </w:r>
      <w:r w:rsidR="00DC6E3F">
        <w:rPr>
          <w:rStyle w:val="FootnoteReference"/>
          <w:sz w:val="24"/>
          <w:szCs w:val="24"/>
          <w:lang w:bidi="he-IL"/>
        </w:rPr>
        <w:footnoteReference w:id="2"/>
      </w:r>
      <w:r w:rsidRPr="004C5BE6">
        <w:rPr>
          <w:b/>
          <w:bCs/>
          <w:sz w:val="24"/>
          <w:szCs w:val="24"/>
          <w:lang w:bidi="he-IL"/>
        </w:rPr>
        <w:t xml:space="preserve"> </w:t>
      </w:r>
      <w:r w:rsidRPr="004C5BE6">
        <w:rPr>
          <w:sz w:val="24"/>
          <w:szCs w:val="24"/>
          <w:lang w:bidi="he-IL"/>
        </w:rPr>
        <w:t xml:space="preserve"> </w:t>
      </w:r>
    </w:p>
    <w:p w:rsidR="00DC6E3F" w:rsidRPr="00D06A1F" w:rsidRDefault="00DC6E3F" w:rsidP="009927DA">
      <w:pPr>
        <w:spacing w:line="276" w:lineRule="auto"/>
        <w:jc w:val="both"/>
        <w:rPr>
          <w:sz w:val="22"/>
          <w:szCs w:val="22"/>
          <w:lang w:bidi="he-IL"/>
        </w:rPr>
      </w:pPr>
    </w:p>
    <w:p w:rsidR="00DC6E3F" w:rsidRPr="00D06A1F" w:rsidRDefault="00DC6E3F" w:rsidP="009927DA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D06A1F">
        <w:rPr>
          <w:rFonts w:ascii="Copperplate Gothic Bold" w:hAnsi="Copperplate Gothic Bold"/>
          <w:u w:val="double"/>
          <w:lang w:bidi="he-IL"/>
        </w:rPr>
        <w:t>Summary</w:t>
      </w:r>
    </w:p>
    <w:p w:rsidR="00DC6E3F" w:rsidRPr="00D06A1F" w:rsidRDefault="00DC6E3F" w:rsidP="009927DA">
      <w:pPr>
        <w:spacing w:line="276" w:lineRule="auto"/>
        <w:jc w:val="both"/>
        <w:rPr>
          <w:spacing w:val="-2"/>
          <w:lang w:bidi="he-IL"/>
        </w:rPr>
      </w:pPr>
      <w:r w:rsidRPr="00D06A1F">
        <w:rPr>
          <w:spacing w:val="-2"/>
          <w:lang w:bidi="he-IL"/>
        </w:rPr>
        <w:t xml:space="preserve">There is the option that </w:t>
      </w:r>
      <w:r w:rsidRPr="00D06A1F">
        <w:rPr>
          <w:rFonts w:hint="cs"/>
          <w:spacing w:val="-2"/>
          <w:rtl/>
          <w:lang w:bidi="he-IL"/>
        </w:rPr>
        <w:t>תרי רובי</w:t>
      </w:r>
      <w:r w:rsidRPr="00D06A1F">
        <w:rPr>
          <w:spacing w:val="-2"/>
          <w:lang w:bidi="he-IL"/>
        </w:rPr>
        <w:t xml:space="preserve"> are required only when there is no </w:t>
      </w:r>
      <w:r w:rsidRPr="00D06A1F">
        <w:rPr>
          <w:rFonts w:hint="cs"/>
          <w:spacing w:val="-2"/>
          <w:rtl/>
          <w:lang w:bidi="he-IL"/>
        </w:rPr>
        <w:t>חזקת כשרות</w:t>
      </w:r>
      <w:r w:rsidRPr="00D06A1F">
        <w:rPr>
          <w:spacing w:val="-2"/>
          <w:lang w:bidi="he-IL"/>
        </w:rPr>
        <w:t>.</w:t>
      </w:r>
    </w:p>
    <w:p w:rsidR="00DC6E3F" w:rsidRPr="00D06A1F" w:rsidRDefault="00DC6E3F" w:rsidP="009927DA">
      <w:pPr>
        <w:spacing w:line="276" w:lineRule="auto"/>
        <w:jc w:val="both"/>
        <w:rPr>
          <w:sz w:val="22"/>
          <w:szCs w:val="22"/>
          <w:lang w:bidi="he-IL"/>
        </w:rPr>
      </w:pPr>
    </w:p>
    <w:p w:rsidR="00DC6E3F" w:rsidRPr="00D06A1F" w:rsidRDefault="00DC6E3F" w:rsidP="009927DA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D06A1F">
        <w:rPr>
          <w:rFonts w:ascii="Copperplate Gothic Bold" w:hAnsi="Copperplate Gothic Bold"/>
          <w:u w:val="double"/>
          <w:lang w:bidi="he-IL"/>
        </w:rPr>
        <w:t>Thinking it over</w:t>
      </w:r>
    </w:p>
    <w:p w:rsidR="00DC6E3F" w:rsidRPr="00DC6E3F" w:rsidRDefault="001D7059" w:rsidP="00D06A1F">
      <w:pPr>
        <w:widowControl w:val="0"/>
        <w:spacing w:line="276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maintains that there is a difference between a case of </w:t>
      </w:r>
      <w:r>
        <w:rPr>
          <w:rFonts w:hint="cs"/>
          <w:rtl/>
          <w:lang w:bidi="he-IL"/>
        </w:rPr>
        <w:t>חזקת כשרות</w:t>
      </w:r>
      <w:r>
        <w:rPr>
          <w:lang w:bidi="he-IL"/>
        </w:rPr>
        <w:t xml:space="preserve"> and no </w:t>
      </w:r>
      <w:r>
        <w:rPr>
          <w:rFonts w:hint="cs"/>
          <w:rtl/>
          <w:lang w:bidi="he-IL"/>
        </w:rPr>
        <w:t>חזקת כשרות</w:t>
      </w:r>
      <w:r>
        <w:rPr>
          <w:lang w:bidi="he-IL"/>
        </w:rPr>
        <w:t xml:space="preserve"> with regard to </w:t>
      </w:r>
      <w:r>
        <w:rPr>
          <w:rFonts w:hint="cs"/>
          <w:rtl/>
          <w:lang w:bidi="he-IL"/>
        </w:rPr>
        <w:t>תרי רובי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will shortly ask on </w:t>
      </w:r>
      <w:r>
        <w:rPr>
          <w:rFonts w:hint="cs"/>
          <w:rtl/>
          <w:lang w:bidi="he-IL"/>
        </w:rPr>
        <w:t>רב חנן בר רבא</w:t>
      </w:r>
      <w:r>
        <w:rPr>
          <w:lang w:bidi="he-IL"/>
        </w:rPr>
        <w:t xml:space="preserve"> who maintains that the need for </w:t>
      </w:r>
      <w:r>
        <w:rPr>
          <w:rFonts w:hint="cs"/>
          <w:rtl/>
          <w:lang w:bidi="he-IL"/>
        </w:rPr>
        <w:t>תרי רובי</w:t>
      </w:r>
      <w:r>
        <w:rPr>
          <w:lang w:bidi="he-IL"/>
        </w:rPr>
        <w:t xml:space="preserve"> by the </w:t>
      </w:r>
      <w:r>
        <w:rPr>
          <w:rFonts w:hint="cs"/>
          <w:rtl/>
          <w:lang w:bidi="he-IL"/>
        </w:rPr>
        <w:t>תינוקת</w:t>
      </w:r>
      <w:r>
        <w:rPr>
          <w:lang w:bidi="he-IL"/>
        </w:rPr>
        <w:t xml:space="preserve"> of our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was merely a </w:t>
      </w:r>
      <w:r>
        <w:rPr>
          <w:rFonts w:hint="cs"/>
          <w:rtl/>
          <w:lang w:bidi="he-IL"/>
        </w:rPr>
        <w:t>הוראת שעה</w:t>
      </w:r>
      <w:r>
        <w:rPr>
          <w:lang w:bidi="he-IL"/>
        </w:rPr>
        <w:t xml:space="preserve">. This is contradicted by the </w:t>
      </w:r>
      <w:r>
        <w:rPr>
          <w:rFonts w:hint="cs"/>
          <w:rtl/>
          <w:lang w:bidi="he-IL"/>
        </w:rPr>
        <w:t>דין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 xml:space="preserve">תינוק </w:t>
      </w:r>
      <w:r w:rsidR="004A2E7F">
        <w:rPr>
          <w:rFonts w:hint="cs"/>
          <w:rtl/>
          <w:lang w:bidi="he-IL"/>
        </w:rPr>
        <w:t>המושלך</w:t>
      </w:r>
      <w:r w:rsidR="004A2E7F">
        <w:rPr>
          <w:lang w:bidi="he-IL"/>
        </w:rPr>
        <w:t xml:space="preserve"> were two </w:t>
      </w:r>
      <w:r w:rsidR="004A2E7F">
        <w:rPr>
          <w:rFonts w:hint="cs"/>
          <w:rtl/>
          <w:lang w:bidi="he-IL"/>
        </w:rPr>
        <w:t>רובי</w:t>
      </w:r>
      <w:r w:rsidR="004A2E7F">
        <w:rPr>
          <w:lang w:bidi="he-IL"/>
        </w:rPr>
        <w:t xml:space="preserve"> are required. However according to </w:t>
      </w:r>
      <w:r w:rsidR="004A2E7F">
        <w:rPr>
          <w:rFonts w:hint="cs"/>
          <w:rtl/>
          <w:lang w:bidi="he-IL"/>
        </w:rPr>
        <w:t>תוספות</w:t>
      </w:r>
      <w:r w:rsidR="004A2E7F">
        <w:rPr>
          <w:lang w:bidi="he-IL"/>
        </w:rPr>
        <w:t xml:space="preserve"> there is no contradiction; because in the case of </w:t>
      </w:r>
      <w:r w:rsidR="004A2E7F">
        <w:rPr>
          <w:rFonts w:hint="cs"/>
          <w:rtl/>
          <w:lang w:bidi="he-IL"/>
        </w:rPr>
        <w:t>תינוק המושלך</w:t>
      </w:r>
      <w:r w:rsidR="004A2E7F">
        <w:rPr>
          <w:lang w:bidi="he-IL"/>
        </w:rPr>
        <w:t xml:space="preserve"> there is no </w:t>
      </w:r>
      <w:r w:rsidR="004A2E7F">
        <w:rPr>
          <w:rFonts w:hint="cs"/>
          <w:rtl/>
          <w:lang w:bidi="he-IL"/>
        </w:rPr>
        <w:t>חזקת כשרות</w:t>
      </w:r>
      <w:r w:rsidR="004A2E7F">
        <w:rPr>
          <w:lang w:bidi="he-IL"/>
        </w:rPr>
        <w:t>!</w:t>
      </w:r>
      <w:r w:rsidR="004A2E7F">
        <w:rPr>
          <w:rStyle w:val="FootnoteReference"/>
          <w:lang w:bidi="he-IL"/>
        </w:rPr>
        <w:footnoteReference w:id="3"/>
      </w:r>
    </w:p>
    <w:sectPr w:rsidR="00DC6E3F" w:rsidRPr="00DC6E3F" w:rsidSect="00A7465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752" w:rsidRDefault="00892752">
      <w:r>
        <w:separator/>
      </w:r>
    </w:p>
  </w:endnote>
  <w:endnote w:type="continuationSeparator" w:id="0">
    <w:p w:rsidR="00892752" w:rsidRDefault="00892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5C85" w:rsidRDefault="00F05C85">
    <w:pPr>
      <w:pStyle w:val="Footer"/>
      <w:rPr>
        <w:rFonts w:hint="cs"/>
        <w:rtl/>
        <w:lang w:bidi="he-IL"/>
      </w:rPr>
    </w:pPr>
  </w:p>
  <w:p w:rsidR="00F05C85" w:rsidRPr="00183860" w:rsidRDefault="00F05C85" w:rsidP="00183860">
    <w:pPr>
      <w:pStyle w:val="Footer"/>
      <w:jc w:val="center"/>
      <w:rPr>
        <w:sz w:val="16"/>
        <w:szCs w:val="16"/>
        <w:lang w:bidi="he-IL"/>
      </w:rPr>
    </w:pPr>
    <w:r>
      <w:rPr>
        <w:sz w:val="16"/>
        <w:szCs w:val="16"/>
        <w:lang w:bidi="he-IL"/>
      </w:rPr>
      <w:t>TosfosInEnglish.com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752" w:rsidRDefault="00892752">
      <w:r>
        <w:separator/>
      </w:r>
    </w:p>
  </w:footnote>
  <w:footnote w:type="continuationSeparator" w:id="0">
    <w:p w:rsidR="00892752" w:rsidRDefault="00892752">
      <w:r>
        <w:continuationSeparator/>
      </w:r>
    </w:p>
  </w:footnote>
  <w:footnote w:id="1">
    <w:p w:rsidR="00F05C85" w:rsidRDefault="00F05C85" w:rsidP="00D06A1F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רש"י טו,ב ד"ה אבל</w:t>
      </w:r>
      <w:r>
        <w:rPr>
          <w:lang w:bidi="he-IL"/>
        </w:rPr>
        <w:t xml:space="preserve">, that we are concerned that she may be an </w:t>
      </w:r>
      <w:r>
        <w:rPr>
          <w:rFonts w:hint="cs"/>
          <w:rtl/>
          <w:lang w:bidi="he-IL"/>
        </w:rPr>
        <w:t>עכו"ם</w:t>
      </w:r>
      <w:r>
        <w:rPr>
          <w:lang w:bidi="he-IL"/>
        </w:rPr>
        <w:t xml:space="preserve"> (or a </w:t>
      </w:r>
      <w:r>
        <w:rPr>
          <w:rFonts w:hint="cs"/>
          <w:rtl/>
          <w:lang w:bidi="he-IL"/>
        </w:rPr>
        <w:t>גיורת</w:t>
      </w:r>
      <w:r>
        <w:rPr>
          <w:lang w:bidi="he-IL"/>
        </w:rPr>
        <w:t xml:space="preserve">) who are </w:t>
      </w:r>
      <w:r>
        <w:rPr>
          <w:rFonts w:hint="cs"/>
          <w:rtl/>
          <w:lang w:bidi="he-IL"/>
        </w:rPr>
        <w:t>פסול לכהונה</w:t>
      </w:r>
      <w:r>
        <w:rPr>
          <w:lang w:bidi="he-IL"/>
        </w:rPr>
        <w:t>.</w:t>
      </w:r>
    </w:p>
  </w:footnote>
  <w:footnote w:id="2">
    <w:p w:rsidR="00F05C85" w:rsidRDefault="00F05C85" w:rsidP="00D06A1F">
      <w:pPr>
        <w:pStyle w:val="FootnoteText"/>
        <w:widowControl w:val="0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תוספות הרא"ש</w:t>
      </w:r>
      <w:r>
        <w:rPr>
          <w:lang w:bidi="he-IL"/>
        </w:rPr>
        <w:t xml:space="preserve"> who answers that the </w:t>
      </w:r>
      <w:r>
        <w:rPr>
          <w:rFonts w:hint="cs"/>
          <w:rtl/>
          <w:lang w:bidi="he-IL"/>
        </w:rPr>
        <w:t>פסול ליוחסין</w:t>
      </w:r>
      <w:r>
        <w:rPr>
          <w:lang w:bidi="he-IL"/>
        </w:rPr>
        <w:t xml:space="preserve"> by the castaway child is even if he had relations with a </w:t>
      </w:r>
      <w:r>
        <w:rPr>
          <w:rFonts w:hint="cs"/>
          <w:rtl/>
          <w:lang w:bidi="he-IL"/>
        </w:rPr>
        <w:t>בת ישראל</w:t>
      </w:r>
      <w:r>
        <w:rPr>
          <w:lang w:bidi="he-IL"/>
        </w:rPr>
        <w:t xml:space="preserve">; she nevertheless becomes </w:t>
      </w:r>
      <w:r>
        <w:rPr>
          <w:rFonts w:hint="cs"/>
          <w:rtl/>
          <w:lang w:bidi="he-IL"/>
        </w:rPr>
        <w:t>פסולה לכהונה</w:t>
      </w:r>
      <w:r>
        <w:rPr>
          <w:lang w:bidi="he-IL"/>
        </w:rPr>
        <w:t xml:space="preserve">, even though she has a </w:t>
      </w:r>
      <w:r>
        <w:rPr>
          <w:rFonts w:hint="cs"/>
          <w:rtl/>
          <w:lang w:bidi="he-IL"/>
        </w:rPr>
        <w:t>חזקת כשרות</w:t>
      </w:r>
      <w:r>
        <w:rPr>
          <w:lang w:bidi="he-IL"/>
        </w:rPr>
        <w:t xml:space="preserve">.  </w:t>
      </w:r>
    </w:p>
  </w:footnote>
  <w:footnote w:id="3">
    <w:p w:rsidR="00F05C85" w:rsidRDefault="00F05C85" w:rsidP="00D06A1F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See, </w:t>
      </w:r>
      <w:r>
        <w:rPr>
          <w:rFonts w:hint="cs"/>
          <w:rtl/>
          <w:lang w:bidi="he-IL"/>
        </w:rPr>
        <w:t>מהרש"א (הארוך) וכו'</w:t>
      </w:r>
      <w:r>
        <w:rPr>
          <w:lang w:bidi="he-IL"/>
        </w:rPr>
        <w:t xml:space="preserve">. This question is seemingly ‘stronger’ than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question, for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requires that </w:t>
      </w:r>
      <w:r>
        <w:rPr>
          <w:rFonts w:hint="cs"/>
          <w:rtl/>
          <w:lang w:bidi="he-IL"/>
        </w:rPr>
        <w:t>רב חנן</w:t>
      </w:r>
      <w:r>
        <w:rPr>
          <w:lang w:bidi="he-IL"/>
        </w:rPr>
        <w:t xml:space="preserve"> disagree with the ruling of </w:t>
      </w:r>
      <w:r>
        <w:rPr>
          <w:rFonts w:hint="cs"/>
          <w:rtl/>
          <w:lang w:bidi="he-IL"/>
        </w:rPr>
        <w:t>רב</w:t>
      </w:r>
      <w:r>
        <w:rPr>
          <w:lang w:bidi="he-IL"/>
        </w:rPr>
        <w:t xml:space="preserve"> concerning the </w:t>
      </w:r>
      <w:r>
        <w:rPr>
          <w:rFonts w:hint="cs"/>
          <w:rtl/>
          <w:lang w:bidi="he-IL"/>
        </w:rPr>
        <w:t>תינוק המושלך</w:t>
      </w:r>
      <w:r>
        <w:rPr>
          <w:lang w:bidi="he-IL"/>
        </w:rPr>
        <w:t xml:space="preserve"> (while according to this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this does not seem necessary).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5C85" w:rsidRPr="00183860" w:rsidRDefault="00F05C85" w:rsidP="00183860">
    <w:pPr>
      <w:pStyle w:val="Header"/>
      <w:bidi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טו,א תוס' ד"ה וליוחסין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83860"/>
    <w:rsid w:val="00156FDC"/>
    <w:rsid w:val="00183860"/>
    <w:rsid w:val="00184D2E"/>
    <w:rsid w:val="001D7059"/>
    <w:rsid w:val="0020216B"/>
    <w:rsid w:val="00210A1E"/>
    <w:rsid w:val="003F6705"/>
    <w:rsid w:val="004A2E7F"/>
    <w:rsid w:val="004C5BE6"/>
    <w:rsid w:val="004E669A"/>
    <w:rsid w:val="004F0B04"/>
    <w:rsid w:val="007552E7"/>
    <w:rsid w:val="0089054C"/>
    <w:rsid w:val="00892752"/>
    <w:rsid w:val="00904FB5"/>
    <w:rsid w:val="009343BF"/>
    <w:rsid w:val="009927DA"/>
    <w:rsid w:val="00A24731"/>
    <w:rsid w:val="00A7465D"/>
    <w:rsid w:val="00AA7363"/>
    <w:rsid w:val="00AD1401"/>
    <w:rsid w:val="00C74F86"/>
    <w:rsid w:val="00D06A1F"/>
    <w:rsid w:val="00D54370"/>
    <w:rsid w:val="00D80DE2"/>
    <w:rsid w:val="00DC6E3F"/>
    <w:rsid w:val="00F05C85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788AC54-5C6F-4633-B5BF-FC01B79C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18386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83860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DC6E3F"/>
    <w:rPr>
      <w:sz w:val="20"/>
      <w:szCs w:val="20"/>
    </w:rPr>
  </w:style>
  <w:style w:type="character" w:styleId="FootnoteReference">
    <w:name w:val="footnote reference"/>
    <w:semiHidden/>
    <w:rsid w:val="00DC6E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וליוחסין לא בעינן תרי רובי ורמינהו כולי –</vt:lpstr>
    </vt:vector>
  </TitlesOfParts>
  <Company> </Company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וליוחסין לא בעינן תרי רובי ורמינהו כולי –</dc:title>
  <dc:subject/>
  <dc:creator> </dc:creator>
  <cp:keywords/>
  <dc:description/>
  <cp:lastModifiedBy>Microsoft account</cp:lastModifiedBy>
  <cp:revision>2</cp:revision>
  <dcterms:created xsi:type="dcterms:W3CDTF">2022-04-05T10:47:00Z</dcterms:created>
  <dcterms:modified xsi:type="dcterms:W3CDTF">2022-04-05T10:47:00Z</dcterms:modified>
</cp:coreProperties>
</file>