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D41E48" w:rsidP="006C71C6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ולרב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חנן דאמר הוראת שעה היתה</w:t>
      </w:r>
      <w:r w:rsidR="006C71C6">
        <w:rPr>
          <w:rFonts w:hint="cs"/>
          <w:b/>
          <w:bCs/>
          <w:sz w:val="32"/>
          <w:szCs w:val="32"/>
          <w:rtl/>
          <w:lang w:bidi="he-IL"/>
        </w:rPr>
        <w:t xml:space="preserve"> -                  </w:t>
      </w:r>
      <w:r w:rsidR="002156F1">
        <w:rPr>
          <w:b/>
          <w:bCs/>
          <w:sz w:val="32"/>
          <w:szCs w:val="32"/>
          <w:lang w:bidi="he-IL"/>
        </w:rPr>
        <w:t xml:space="preserve">       </w:t>
      </w:r>
      <w:r w:rsidR="002156F1">
        <w:rPr>
          <w:b/>
          <w:bCs/>
          <w:sz w:val="16"/>
          <w:szCs w:val="16"/>
          <w:lang w:bidi="he-IL"/>
        </w:rPr>
        <w:t xml:space="preserve">     </w:t>
      </w:r>
      <w:r w:rsidR="006C71C6">
        <w:rPr>
          <w:rFonts w:hint="cs"/>
          <w:b/>
          <w:bCs/>
          <w:sz w:val="32"/>
          <w:szCs w:val="32"/>
          <w:rtl/>
          <w:lang w:bidi="he-IL"/>
        </w:rPr>
        <w:t xml:space="preserve">         </w:t>
      </w:r>
      <w:r w:rsidR="006C71C6" w:rsidRPr="006C71C6">
        <w:rPr>
          <w:b/>
          <w:bCs/>
          <w:sz w:val="32"/>
          <w:szCs w:val="32"/>
          <w:lang w:bidi="he-IL"/>
        </w:rPr>
        <w:t>And according to</w:t>
      </w:r>
    </w:p>
    <w:p w:rsidR="00D41E48" w:rsidRPr="006C71C6" w:rsidRDefault="00D41E48" w:rsidP="006C71C6">
      <w:pPr>
        <w:widowControl w:val="0"/>
        <w:spacing w:line="276" w:lineRule="auto"/>
        <w:jc w:val="both"/>
        <w:rPr>
          <w:b/>
          <w:bCs/>
          <w:spacing w:val="-4"/>
          <w:sz w:val="24"/>
          <w:szCs w:val="24"/>
          <w:lang w:bidi="he-IL"/>
        </w:rPr>
      </w:pPr>
      <w:r w:rsidRPr="006C71C6">
        <w:rPr>
          <w:rFonts w:hint="cs"/>
          <w:b/>
          <w:bCs/>
          <w:spacing w:val="-4"/>
          <w:sz w:val="32"/>
          <w:szCs w:val="32"/>
          <w:rtl/>
          <w:lang w:bidi="he-IL"/>
        </w:rPr>
        <w:t>ר"ח</w:t>
      </w:r>
      <w:r w:rsidRPr="006C71C6">
        <w:rPr>
          <w:b/>
          <w:bCs/>
          <w:spacing w:val="-4"/>
          <w:sz w:val="32"/>
          <w:szCs w:val="32"/>
          <w:lang w:bidi="he-IL"/>
        </w:rPr>
        <w:t xml:space="preserve"> who maintain</w:t>
      </w:r>
      <w:r w:rsidR="001A5BA4" w:rsidRPr="006C71C6">
        <w:rPr>
          <w:b/>
          <w:bCs/>
          <w:spacing w:val="-4"/>
          <w:sz w:val="32"/>
          <w:szCs w:val="32"/>
          <w:lang w:bidi="he-IL"/>
        </w:rPr>
        <w:t>ed</w:t>
      </w:r>
      <w:r w:rsidRPr="006C71C6">
        <w:rPr>
          <w:b/>
          <w:bCs/>
          <w:spacing w:val="-4"/>
          <w:sz w:val="32"/>
          <w:szCs w:val="32"/>
          <w:lang w:bidi="he-IL"/>
        </w:rPr>
        <w:t xml:space="preserve"> that it was a provisional ruling –</w:t>
      </w:r>
    </w:p>
    <w:p w:rsidR="00D41E48" w:rsidRPr="00BD4394" w:rsidRDefault="00D41E48" w:rsidP="006C71C6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</w:p>
    <w:p w:rsidR="00D41E48" w:rsidRPr="006C71C6" w:rsidRDefault="00BD5BB0" w:rsidP="006C71C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C71C6">
        <w:rPr>
          <w:rFonts w:ascii="Copperplate Gothic Bold" w:hAnsi="Copperplate Gothic Bold"/>
          <w:u w:val="double"/>
          <w:lang w:bidi="he-IL"/>
        </w:rPr>
        <w:t>Overview</w:t>
      </w:r>
    </w:p>
    <w:p w:rsidR="00BD5BB0" w:rsidRPr="00BD5BB0" w:rsidRDefault="00BD5BB0" w:rsidP="006C71C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concluded that the case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that there were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asks, that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, who maintains </w:t>
      </w:r>
      <w:r w:rsidR="004469B8">
        <w:rPr>
          <w:lang w:bidi="he-IL"/>
        </w:rPr>
        <w:t xml:space="preserve">(in the name of </w:t>
      </w:r>
      <w:r w:rsidR="004469B8">
        <w:rPr>
          <w:rFonts w:hint="cs"/>
          <w:rtl/>
          <w:lang w:bidi="he-IL"/>
        </w:rPr>
        <w:t>רב</w:t>
      </w:r>
      <w:r w:rsidR="004469B8">
        <w:rPr>
          <w:lang w:bidi="he-IL"/>
        </w:rPr>
        <w:t xml:space="preserve">) </w:t>
      </w:r>
      <w:r>
        <w:rPr>
          <w:lang w:bidi="he-IL"/>
        </w:rPr>
        <w:t xml:space="preserve">that the ruling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was a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, would contradict the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תינוק המושלך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 ליוחסין</w:t>
      </w:r>
      <w:r>
        <w:rPr>
          <w:lang w:bidi="he-IL"/>
        </w:rPr>
        <w:t xml:space="preserve"> with one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discuss what </w:t>
      </w:r>
      <w:r>
        <w:rPr>
          <w:rFonts w:hint="cs"/>
          <w:rtl/>
          <w:lang w:bidi="he-IL"/>
        </w:rPr>
        <w:t>רב חנן</w:t>
      </w:r>
      <w:r>
        <w:rPr>
          <w:lang w:bidi="he-IL"/>
        </w:rPr>
        <w:t xml:space="preserve"> meant that our ruling is a </w:t>
      </w:r>
      <w:r>
        <w:rPr>
          <w:rFonts w:hint="cs"/>
          <w:rtl/>
          <w:lang w:bidi="he-IL"/>
        </w:rPr>
        <w:t>הוראת שעה</w:t>
      </w:r>
      <w:r w:rsidR="004469B8">
        <w:rPr>
          <w:lang w:bidi="he-IL"/>
        </w:rPr>
        <w:t xml:space="preserve">, and whether it contradicts the ruling of </w:t>
      </w:r>
      <w:r w:rsidR="004469B8">
        <w:rPr>
          <w:rFonts w:hint="cs"/>
          <w:rtl/>
          <w:lang w:bidi="he-IL"/>
        </w:rPr>
        <w:t>רב</w:t>
      </w:r>
      <w:r w:rsidR="004469B8">
        <w:rPr>
          <w:lang w:bidi="he-IL"/>
        </w:rPr>
        <w:t>.</w:t>
      </w:r>
      <w:r>
        <w:rPr>
          <w:lang w:bidi="he-IL"/>
        </w:rPr>
        <w:t xml:space="preserve"> </w:t>
      </w:r>
    </w:p>
    <w:p w:rsidR="00D41E48" w:rsidRPr="004469B8" w:rsidRDefault="004469B8" w:rsidP="006C71C6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D41E48" w:rsidRDefault="00D41E48" w:rsidP="006C71C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that </w:t>
      </w:r>
      <w:r w:rsidR="001A5BA4">
        <w:rPr>
          <w:sz w:val="24"/>
          <w:szCs w:val="24"/>
          <w:lang w:bidi="he-IL"/>
        </w:rPr>
        <w:t xml:space="preserve">the ruling of the </w:t>
      </w:r>
      <w:r w:rsidR="001A5BA4"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was exceptional, in that it required </w:t>
      </w:r>
      <w:r>
        <w:rPr>
          <w:rFonts w:hint="cs"/>
          <w:sz w:val="24"/>
          <w:szCs w:val="24"/>
          <w:rtl/>
          <w:lang w:bidi="he-IL"/>
        </w:rPr>
        <w:t>תרי רובי</w:t>
      </w:r>
      <w:r>
        <w:rPr>
          <w:sz w:val="24"/>
          <w:szCs w:val="24"/>
          <w:lang w:bidi="he-IL"/>
        </w:rPr>
        <w:t xml:space="preserve"> –</w:t>
      </w:r>
    </w:p>
    <w:p w:rsidR="00D41E48" w:rsidRPr="006C71C6" w:rsidRDefault="00D41E48" w:rsidP="006C71C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C71C6">
        <w:rPr>
          <w:rFonts w:ascii="David" w:hAnsi="David" w:cs="David"/>
          <w:b/>
          <w:bCs/>
          <w:rtl/>
          <w:lang w:bidi="he-IL"/>
        </w:rPr>
        <w:t>אבל לדורות סגי בחד רובא קשיא הך –</w:t>
      </w:r>
    </w:p>
    <w:p w:rsidR="00F8780E" w:rsidRPr="00BE6666" w:rsidRDefault="00D41E48" w:rsidP="006C71C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for posterity one </w:t>
      </w:r>
      <w:r>
        <w:rPr>
          <w:rFonts w:hint="cs"/>
          <w:b/>
          <w:bCs/>
          <w:rtl/>
          <w:lang w:bidi="he-IL"/>
        </w:rPr>
        <w:t>רוב</w:t>
      </w:r>
      <w:r>
        <w:rPr>
          <w:b/>
          <w:bCs/>
          <w:lang w:bidi="he-IL"/>
        </w:rPr>
        <w:t xml:space="preserve"> is sufficient; </w:t>
      </w:r>
      <w:r w:rsidR="00F8780E">
        <w:rPr>
          <w:lang w:bidi="he-IL"/>
        </w:rPr>
        <w:t xml:space="preserve">therefore </w:t>
      </w:r>
      <w:r w:rsidR="00F8780E">
        <w:rPr>
          <w:b/>
          <w:bCs/>
          <w:lang w:bidi="he-IL"/>
        </w:rPr>
        <w:t xml:space="preserve">there is the difficulty </w:t>
      </w:r>
      <w:r w:rsidR="00F8780E">
        <w:rPr>
          <w:lang w:bidi="he-IL"/>
        </w:rPr>
        <w:t xml:space="preserve">with </w:t>
      </w:r>
      <w:r w:rsidR="00F8780E">
        <w:rPr>
          <w:b/>
          <w:bCs/>
          <w:lang w:bidi="he-IL"/>
        </w:rPr>
        <w:t xml:space="preserve">this </w:t>
      </w:r>
      <w:r w:rsidR="00F8780E" w:rsidRPr="00BE6666">
        <w:rPr>
          <w:sz w:val="24"/>
          <w:szCs w:val="24"/>
          <w:lang w:bidi="he-IL"/>
        </w:rPr>
        <w:t xml:space="preserve">ruling of </w:t>
      </w:r>
      <w:r w:rsidR="00F8780E" w:rsidRPr="00BE6666">
        <w:rPr>
          <w:rFonts w:hint="cs"/>
          <w:sz w:val="24"/>
          <w:szCs w:val="24"/>
          <w:rtl/>
          <w:lang w:bidi="he-IL"/>
        </w:rPr>
        <w:t>רב</w:t>
      </w:r>
      <w:r w:rsidR="00F8780E" w:rsidRPr="00BE6666">
        <w:rPr>
          <w:sz w:val="24"/>
          <w:szCs w:val="24"/>
          <w:lang w:bidi="he-IL"/>
        </w:rPr>
        <w:t xml:space="preserve"> by a </w:t>
      </w:r>
      <w:r w:rsidR="00F8780E" w:rsidRPr="00BE6666">
        <w:rPr>
          <w:rFonts w:hint="cs"/>
          <w:sz w:val="24"/>
          <w:szCs w:val="24"/>
          <w:rtl/>
          <w:lang w:bidi="he-IL"/>
        </w:rPr>
        <w:t>תינוק המושלך</w:t>
      </w:r>
      <w:r w:rsidR="00F8780E" w:rsidRPr="00BE6666">
        <w:rPr>
          <w:sz w:val="24"/>
          <w:szCs w:val="24"/>
          <w:lang w:bidi="he-IL"/>
        </w:rPr>
        <w:t xml:space="preserve">, </w:t>
      </w:r>
      <w:r w:rsidR="00BE6666" w:rsidRPr="00BE6666">
        <w:rPr>
          <w:sz w:val="24"/>
          <w:szCs w:val="24"/>
          <w:lang w:bidi="he-IL"/>
        </w:rPr>
        <w:t>where</w:t>
      </w:r>
      <w:r w:rsidR="00F8780E" w:rsidRPr="00BE6666">
        <w:rPr>
          <w:sz w:val="24"/>
          <w:szCs w:val="24"/>
          <w:lang w:bidi="he-IL"/>
        </w:rPr>
        <w:t xml:space="preserve"> </w:t>
      </w:r>
      <w:r w:rsidR="00F8780E" w:rsidRPr="00BE6666">
        <w:rPr>
          <w:rFonts w:hint="cs"/>
          <w:sz w:val="24"/>
          <w:szCs w:val="24"/>
          <w:rtl/>
          <w:lang w:bidi="he-IL"/>
        </w:rPr>
        <w:t>תרי רובי</w:t>
      </w:r>
      <w:r w:rsidR="00F8780E" w:rsidRPr="00BE6666">
        <w:rPr>
          <w:sz w:val="24"/>
          <w:szCs w:val="24"/>
          <w:lang w:bidi="he-IL"/>
        </w:rPr>
        <w:t xml:space="preserve"> are required.</w:t>
      </w:r>
    </w:p>
    <w:p w:rsidR="00F8780E" w:rsidRPr="00BD4394" w:rsidRDefault="00F8780E" w:rsidP="006C71C6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</w:p>
    <w:p w:rsidR="00F8780E" w:rsidRPr="00BE6666" w:rsidRDefault="00F8780E" w:rsidP="006C71C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E6666">
        <w:rPr>
          <w:rFonts w:hint="cs"/>
          <w:sz w:val="24"/>
          <w:szCs w:val="24"/>
          <w:rtl/>
          <w:lang w:bidi="he-IL"/>
        </w:rPr>
        <w:t>תוספות</w:t>
      </w:r>
      <w:r w:rsidRPr="00BE6666">
        <w:rPr>
          <w:sz w:val="24"/>
          <w:szCs w:val="24"/>
          <w:lang w:bidi="he-IL"/>
        </w:rPr>
        <w:t xml:space="preserve"> anticipates that there may be a different understanding of the meaning </w:t>
      </w:r>
      <w:r w:rsidRPr="00BE6666">
        <w:rPr>
          <w:rFonts w:hint="cs"/>
          <w:sz w:val="24"/>
          <w:szCs w:val="24"/>
          <w:rtl/>
          <w:lang w:bidi="he-IL"/>
        </w:rPr>
        <w:t>הוראת שעה היתה</w:t>
      </w:r>
      <w:r w:rsidRPr="00BE6666">
        <w:rPr>
          <w:sz w:val="24"/>
          <w:szCs w:val="24"/>
          <w:lang w:bidi="he-IL"/>
        </w:rPr>
        <w:t xml:space="preserve"> which would circumvent the difficulty; however </w:t>
      </w:r>
      <w:r w:rsidRPr="00BE6666">
        <w:rPr>
          <w:rFonts w:hint="cs"/>
          <w:sz w:val="24"/>
          <w:szCs w:val="24"/>
          <w:rtl/>
          <w:lang w:bidi="he-IL"/>
        </w:rPr>
        <w:t>תוספות</w:t>
      </w:r>
      <w:r w:rsidRPr="00BE6666">
        <w:rPr>
          <w:sz w:val="24"/>
          <w:szCs w:val="24"/>
          <w:lang w:bidi="he-IL"/>
        </w:rPr>
        <w:t xml:space="preserve"> rejects it:</w:t>
      </w:r>
    </w:p>
    <w:p w:rsidR="00F8780E" w:rsidRPr="006C71C6" w:rsidRDefault="00F8780E" w:rsidP="006C71C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C71C6">
        <w:rPr>
          <w:rFonts w:ascii="David" w:hAnsi="David" w:cs="David"/>
          <w:b/>
          <w:bCs/>
          <w:rtl/>
          <w:lang w:bidi="he-IL"/>
        </w:rPr>
        <w:t>ולא מיסתברא ליה למימר דהוראת שעה היתה שהתיר בתרי רובי –</w:t>
      </w:r>
    </w:p>
    <w:p w:rsidR="00D41E48" w:rsidRDefault="00F8780E" w:rsidP="006C71C6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did not consider </w:t>
      </w:r>
      <w:r>
        <w:rPr>
          <w:lang w:bidi="he-IL"/>
        </w:rPr>
        <w:t xml:space="preserve">the option </w:t>
      </w:r>
      <w:r>
        <w:rPr>
          <w:b/>
          <w:bCs/>
          <w:lang w:bidi="he-IL"/>
        </w:rPr>
        <w:t xml:space="preserve">to say that it was a </w:t>
      </w:r>
      <w:r>
        <w:rPr>
          <w:rFonts w:hint="cs"/>
          <w:b/>
          <w:bCs/>
          <w:rtl/>
          <w:lang w:bidi="he-IL"/>
        </w:rPr>
        <w:t>הוראת שעה</w:t>
      </w:r>
      <w:r>
        <w:rPr>
          <w:b/>
          <w:bCs/>
          <w:lang w:bidi="he-IL"/>
        </w:rPr>
        <w:t xml:space="preserve"> to permit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תינוקת לכהונה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with </w:t>
      </w:r>
      <w:r>
        <w:rPr>
          <w:lang w:bidi="he-IL"/>
        </w:rPr>
        <w:t xml:space="preserve">(just) </w:t>
      </w:r>
      <w:r>
        <w:rPr>
          <w:rFonts w:hint="cs"/>
          <w:b/>
          <w:bCs/>
          <w:rtl/>
          <w:lang w:bidi="he-IL"/>
        </w:rPr>
        <w:t>תרי רובי</w:t>
      </w:r>
      <w:r>
        <w:rPr>
          <w:b/>
          <w:bCs/>
          <w:lang w:bidi="he-IL"/>
        </w:rPr>
        <w:t xml:space="preserve"> – </w:t>
      </w:r>
    </w:p>
    <w:p w:rsidR="00F8780E" w:rsidRPr="006C71C6" w:rsidRDefault="00F8780E" w:rsidP="006C71C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6C71C6">
        <w:rPr>
          <w:rFonts w:ascii="David" w:hAnsi="David" w:cs="David"/>
          <w:b/>
          <w:bCs/>
          <w:rtl/>
          <w:lang w:bidi="he-IL"/>
        </w:rPr>
        <w:t>אבל לדורות לא סגי אפילו בתרי רובי</w:t>
      </w:r>
      <w:r w:rsidR="006C71C6">
        <w:rPr>
          <w:rFonts w:ascii="David" w:hAnsi="David" w:cs="David" w:hint="cs"/>
          <w:b/>
          <w:bCs/>
          <w:rtl/>
          <w:lang w:bidi="he-IL"/>
        </w:rPr>
        <w:t>:</w:t>
      </w:r>
      <w:r w:rsidR="00BD4394">
        <w:rPr>
          <w:rStyle w:val="FootnoteReference"/>
          <w:rFonts w:ascii="David" w:hAnsi="David" w:cs="David"/>
          <w:b/>
          <w:bCs/>
          <w:rtl/>
          <w:lang w:bidi="he-IL"/>
        </w:rPr>
        <w:footnoteReference w:id="1"/>
      </w:r>
    </w:p>
    <w:p w:rsidR="005959DF" w:rsidRDefault="00F8780E" w:rsidP="00BD439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for posterity even </w:t>
      </w:r>
      <w:r>
        <w:rPr>
          <w:rFonts w:hint="cs"/>
          <w:b/>
          <w:bCs/>
          <w:rtl/>
          <w:lang w:bidi="he-IL"/>
        </w:rPr>
        <w:t>תרי רובי</w:t>
      </w:r>
      <w:r>
        <w:rPr>
          <w:b/>
          <w:bCs/>
          <w:lang w:bidi="he-IL"/>
        </w:rPr>
        <w:t xml:space="preserve"> would not be sufficient </w:t>
      </w:r>
      <w:r w:rsidRPr="00BE6666">
        <w:rPr>
          <w:sz w:val="24"/>
          <w:szCs w:val="24"/>
          <w:lang w:bidi="he-IL"/>
        </w:rPr>
        <w:t xml:space="preserve">to be </w:t>
      </w:r>
      <w:r w:rsidRPr="00BE6666">
        <w:rPr>
          <w:rFonts w:hint="cs"/>
          <w:sz w:val="24"/>
          <w:szCs w:val="24"/>
          <w:rtl/>
          <w:lang w:bidi="he-IL"/>
        </w:rPr>
        <w:t>מתיר לכהונה</w:t>
      </w:r>
      <w:r w:rsidRPr="00BE6666">
        <w:rPr>
          <w:sz w:val="24"/>
          <w:szCs w:val="24"/>
          <w:lang w:bidi="he-IL"/>
        </w:rPr>
        <w:t xml:space="preserve">. </w:t>
      </w:r>
    </w:p>
    <w:p w:rsidR="00BD4394" w:rsidRPr="00BD4394" w:rsidRDefault="00BD4394" w:rsidP="00BD4394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</w:p>
    <w:p w:rsidR="004469B8" w:rsidRPr="006C71C6" w:rsidRDefault="004469B8" w:rsidP="006C71C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C71C6">
        <w:rPr>
          <w:rFonts w:ascii="Copperplate Gothic Bold" w:hAnsi="Copperplate Gothic Bold"/>
          <w:u w:val="double"/>
          <w:lang w:bidi="he-IL"/>
        </w:rPr>
        <w:t>Summary</w:t>
      </w:r>
    </w:p>
    <w:p w:rsidR="004469B8" w:rsidRPr="004469B8" w:rsidRDefault="004469B8" w:rsidP="006C71C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 was that we required </w:t>
      </w:r>
      <w:r>
        <w:rPr>
          <w:rFonts w:hint="cs"/>
          <w:rtl/>
          <w:lang w:bidi="he-IL"/>
        </w:rPr>
        <w:t>תרי רובי</w:t>
      </w:r>
      <w:r w:rsidR="001A5BA4">
        <w:rPr>
          <w:lang w:bidi="he-IL"/>
        </w:rPr>
        <w:t>,</w:t>
      </w:r>
      <w:r>
        <w:rPr>
          <w:lang w:bidi="he-IL"/>
        </w:rPr>
        <w:t xml:space="preserve"> however for posterity one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sufficient; but not that the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 was that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are sufficient</w:t>
      </w:r>
      <w:r w:rsidR="001A5BA4">
        <w:rPr>
          <w:lang w:bidi="he-IL"/>
        </w:rPr>
        <w:t>,</w:t>
      </w:r>
      <w:r>
        <w:rPr>
          <w:lang w:bidi="he-IL"/>
        </w:rPr>
        <w:t xml:space="preserve"> and for posterity even </w:t>
      </w:r>
      <w:r>
        <w:rPr>
          <w:rFonts w:hint="cs"/>
          <w:rtl/>
          <w:lang w:bidi="he-IL"/>
        </w:rPr>
        <w:t>תרי רובי</w:t>
      </w:r>
      <w:r w:rsidR="001A5BA4">
        <w:rPr>
          <w:lang w:bidi="he-IL"/>
        </w:rPr>
        <w:t xml:space="preserve"> ar</w:t>
      </w:r>
      <w:r>
        <w:rPr>
          <w:lang w:bidi="he-IL"/>
        </w:rPr>
        <w:t>e insufficient.</w:t>
      </w:r>
    </w:p>
    <w:p w:rsidR="005959DF" w:rsidRPr="00BD4394" w:rsidRDefault="005959DF" w:rsidP="006C71C6">
      <w:pPr>
        <w:widowControl w:val="0"/>
        <w:spacing w:line="276" w:lineRule="auto"/>
        <w:jc w:val="both"/>
        <w:rPr>
          <w:sz w:val="20"/>
          <w:szCs w:val="20"/>
          <w:lang w:bidi="he-IL"/>
        </w:rPr>
      </w:pPr>
    </w:p>
    <w:p w:rsidR="005959DF" w:rsidRPr="006C71C6" w:rsidRDefault="005959DF" w:rsidP="006C71C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C71C6">
        <w:rPr>
          <w:rFonts w:ascii="Copperplate Gothic Bold" w:hAnsi="Copperplate Gothic Bold"/>
          <w:u w:val="double"/>
          <w:lang w:bidi="he-IL"/>
        </w:rPr>
        <w:t>Thinking it over</w:t>
      </w:r>
    </w:p>
    <w:p w:rsidR="005959DF" w:rsidRPr="005959DF" w:rsidRDefault="00BD5BB0" w:rsidP="006C71C6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</w:t>
      </w:r>
      <w:r w:rsidR="001A5BA4">
        <w:rPr>
          <w:lang w:bidi="he-IL"/>
        </w:rPr>
        <w:t>s</w:t>
      </w:r>
      <w:r>
        <w:rPr>
          <w:lang w:bidi="he-IL"/>
        </w:rPr>
        <w:t xml:space="preserve"> that it is not </w:t>
      </w:r>
      <w:r>
        <w:rPr>
          <w:rFonts w:hint="cs"/>
          <w:rtl/>
          <w:lang w:bidi="he-IL"/>
        </w:rPr>
        <w:t>מיסתבר</w:t>
      </w:r>
      <w:r>
        <w:rPr>
          <w:lang w:bidi="he-IL"/>
        </w:rPr>
        <w:t xml:space="preserve"> to say that the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 was to permit with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, however </w:t>
      </w:r>
      <w:r>
        <w:rPr>
          <w:rFonts w:hint="cs"/>
          <w:rtl/>
          <w:lang w:bidi="he-IL"/>
        </w:rPr>
        <w:t>לדורות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are not sufficient. Is it </w:t>
      </w:r>
      <w:r>
        <w:rPr>
          <w:rFonts w:hint="cs"/>
          <w:rtl/>
          <w:lang w:bidi="he-IL"/>
        </w:rPr>
        <w:t>אינו מיסתבר</w:t>
      </w:r>
      <w:r>
        <w:rPr>
          <w:lang w:bidi="he-IL"/>
        </w:rPr>
        <w:t xml:space="preserve"> because a </w:t>
      </w:r>
      <w:r>
        <w:rPr>
          <w:rFonts w:hint="cs"/>
          <w:rtl/>
          <w:lang w:bidi="he-IL"/>
        </w:rPr>
        <w:t>הוראת שעה</w:t>
      </w:r>
      <w:r>
        <w:rPr>
          <w:lang w:bidi="he-IL"/>
        </w:rPr>
        <w:t xml:space="preserve"> usually denotes a prohibition, not a leniency; or that it is </w:t>
      </w:r>
      <w:r>
        <w:rPr>
          <w:rFonts w:hint="cs"/>
          <w:rtl/>
          <w:lang w:bidi="he-IL"/>
        </w:rPr>
        <w:t>אינו מיסתבר</w:t>
      </w:r>
      <w:r>
        <w:rPr>
          <w:lang w:bidi="he-IL"/>
        </w:rPr>
        <w:t xml:space="preserve"> for other reasons (perhaps that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 is not effective is </w:t>
      </w:r>
      <w:r>
        <w:rPr>
          <w:rFonts w:hint="cs"/>
          <w:rtl/>
          <w:lang w:bidi="he-IL"/>
        </w:rPr>
        <w:t>אינו מיסתבר</w:t>
      </w:r>
      <w:r>
        <w:rPr>
          <w:lang w:bidi="he-IL"/>
        </w:rPr>
        <w:t>)?</w:t>
      </w:r>
      <w:r>
        <w:rPr>
          <w:rStyle w:val="FootnoteReference"/>
          <w:lang w:bidi="he-IL"/>
        </w:rPr>
        <w:footnoteReference w:id="2"/>
      </w:r>
    </w:p>
    <w:sectPr w:rsidR="005959DF" w:rsidRPr="005959DF" w:rsidSect="00BD4394">
      <w:headerReference w:type="default" r:id="rId6"/>
      <w:footerReference w:type="even" r:id="rId7"/>
      <w:footerReference w:type="default" r:id="rId8"/>
      <w:pgSz w:w="12240" w:h="15840"/>
      <w:pgMar w:top="1296" w:right="1440" w:bottom="1296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45" w:rsidRDefault="00312D45">
      <w:r>
        <w:separator/>
      </w:r>
    </w:p>
  </w:endnote>
  <w:endnote w:type="continuationSeparator" w:id="0">
    <w:p w:rsidR="00312D45" w:rsidRDefault="0031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A4" w:rsidRDefault="001A5BA4" w:rsidP="00EA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5BA4" w:rsidRDefault="001A5B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394" w:rsidRPr="00BD4394" w:rsidRDefault="00BD4394" w:rsidP="00BD4394">
    <w:pPr>
      <w:pStyle w:val="Footer"/>
      <w:jc w:val="center"/>
      <w:rPr>
        <w:sz w:val="16"/>
        <w:szCs w:val="16"/>
      </w:rPr>
    </w:pPr>
    <w:r w:rsidRPr="00BD4394">
      <w:rPr>
        <w:sz w:val="16"/>
        <w:szCs w:val="16"/>
      </w:rPr>
      <w:t>TosfosInEnglish.com</w:t>
    </w:r>
  </w:p>
  <w:p w:rsidR="001A5BA4" w:rsidRPr="00D41E48" w:rsidRDefault="001A5BA4" w:rsidP="00D41E4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45" w:rsidRDefault="00312D45">
      <w:r>
        <w:separator/>
      </w:r>
    </w:p>
  </w:footnote>
  <w:footnote w:type="continuationSeparator" w:id="0">
    <w:p w:rsidR="00312D45" w:rsidRDefault="00312D45">
      <w:r>
        <w:continuationSeparator/>
      </w:r>
    </w:p>
  </w:footnote>
  <w:footnote w:id="1">
    <w:p w:rsidR="00BD4394" w:rsidRPr="00BD4394" w:rsidRDefault="00BD4394" w:rsidP="00BD4394">
      <w:pPr>
        <w:widowControl w:val="0"/>
        <w:spacing w:line="264" w:lineRule="auto"/>
        <w:jc w:val="both"/>
        <w:rPr>
          <w:spacing w:val="-4"/>
          <w:sz w:val="20"/>
          <w:szCs w:val="20"/>
          <w:lang w:bidi="he-IL"/>
        </w:rPr>
      </w:pPr>
      <w:r w:rsidRPr="00BD4394">
        <w:rPr>
          <w:rStyle w:val="FootnoteReference"/>
          <w:spacing w:val="-4"/>
          <w:sz w:val="20"/>
          <w:szCs w:val="20"/>
        </w:rPr>
        <w:footnoteRef/>
      </w:r>
      <w:r w:rsidRPr="00BD4394">
        <w:rPr>
          <w:spacing w:val="-4"/>
          <w:sz w:val="20"/>
          <w:szCs w:val="20"/>
        </w:rPr>
        <w:t xml:space="preserve"> </w:t>
      </w:r>
      <w:r w:rsidRPr="00BD4394">
        <w:rPr>
          <w:spacing w:val="-4"/>
          <w:sz w:val="20"/>
          <w:szCs w:val="20"/>
          <w:lang w:bidi="he-IL"/>
        </w:rPr>
        <w:t xml:space="preserve">Had we interpreted the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הוראת שעה</w:t>
      </w:r>
      <w:r w:rsidRPr="00BD4394">
        <w:rPr>
          <w:spacing w:val="-4"/>
          <w:sz w:val="20"/>
          <w:szCs w:val="20"/>
          <w:lang w:bidi="he-IL"/>
        </w:rPr>
        <w:t xml:space="preserve"> of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רב חנן</w:t>
      </w:r>
      <w:r w:rsidRPr="00BD4394">
        <w:rPr>
          <w:spacing w:val="-4"/>
          <w:sz w:val="20"/>
          <w:szCs w:val="20"/>
          <w:lang w:bidi="he-IL"/>
        </w:rPr>
        <w:t xml:space="preserve"> in this matter there would be no contradiction from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תינוק המושלך</w:t>
      </w:r>
      <w:r w:rsidRPr="00BD4394">
        <w:rPr>
          <w:spacing w:val="-4"/>
          <w:sz w:val="20"/>
          <w:szCs w:val="20"/>
          <w:lang w:bidi="he-IL"/>
        </w:rPr>
        <w:t xml:space="preserve">; for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רב</w:t>
      </w:r>
      <w:r w:rsidRPr="00BD4394">
        <w:rPr>
          <w:spacing w:val="-4"/>
          <w:sz w:val="20"/>
          <w:szCs w:val="20"/>
          <w:lang w:bidi="he-IL"/>
        </w:rPr>
        <w:t xml:space="preserve"> merely says that (even) if there are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רוב ישראלים</w:t>
      </w:r>
      <w:r w:rsidRPr="00BD4394">
        <w:rPr>
          <w:spacing w:val="-4"/>
          <w:sz w:val="20"/>
          <w:szCs w:val="20"/>
          <w:lang w:bidi="he-IL"/>
        </w:rPr>
        <w:t xml:space="preserve"> we do not consider him a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ישראל</w:t>
      </w:r>
      <w:r w:rsidRPr="00BD4394">
        <w:rPr>
          <w:spacing w:val="-4"/>
          <w:sz w:val="20"/>
          <w:szCs w:val="20"/>
          <w:lang w:bidi="he-IL"/>
        </w:rPr>
        <w:t xml:space="preserve"> in regards to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יוחסין</w:t>
      </w:r>
      <w:r w:rsidRPr="00BD4394">
        <w:rPr>
          <w:spacing w:val="-4"/>
          <w:sz w:val="20"/>
          <w:szCs w:val="20"/>
          <w:lang w:bidi="he-IL"/>
        </w:rPr>
        <w:t xml:space="preserve">. We may understand this statement to mean that he is not considered a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ישראל ליוחסין</w:t>
      </w:r>
      <w:r w:rsidRPr="00BD4394">
        <w:rPr>
          <w:spacing w:val="-4"/>
          <w:sz w:val="20"/>
          <w:szCs w:val="20"/>
          <w:lang w:bidi="he-IL"/>
        </w:rPr>
        <w:t xml:space="preserve"> even if there are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תרי רובי</w:t>
      </w:r>
      <w:r w:rsidRPr="00BD4394">
        <w:rPr>
          <w:spacing w:val="-4"/>
          <w:sz w:val="20"/>
          <w:szCs w:val="20"/>
          <w:lang w:bidi="he-IL"/>
        </w:rPr>
        <w:t xml:space="preserve">, which would be in agreement with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רב חנן</w:t>
      </w:r>
      <w:r w:rsidRPr="00BD4394">
        <w:rPr>
          <w:spacing w:val="-4"/>
          <w:sz w:val="20"/>
          <w:szCs w:val="20"/>
          <w:lang w:bidi="he-IL"/>
        </w:rPr>
        <w:t xml:space="preserve">. However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תוספות</w:t>
      </w:r>
      <w:r w:rsidRPr="00BD4394">
        <w:rPr>
          <w:spacing w:val="-4"/>
          <w:sz w:val="20"/>
          <w:szCs w:val="20"/>
          <w:lang w:bidi="he-IL"/>
        </w:rPr>
        <w:t xml:space="preserve"> is of the opinion that it is not likely that this is what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רב חנן</w:t>
      </w:r>
      <w:r w:rsidRPr="00BD4394">
        <w:rPr>
          <w:spacing w:val="-4"/>
          <w:sz w:val="20"/>
          <w:szCs w:val="20"/>
          <w:lang w:bidi="he-IL"/>
        </w:rPr>
        <w:t xml:space="preserve"> meant when he said </w:t>
      </w:r>
      <w:r w:rsidRPr="00BD4394">
        <w:rPr>
          <w:rFonts w:hint="cs"/>
          <w:spacing w:val="-4"/>
          <w:sz w:val="20"/>
          <w:szCs w:val="20"/>
          <w:rtl/>
          <w:lang w:bidi="he-IL"/>
        </w:rPr>
        <w:t>הוראת שעה היתה</w:t>
      </w:r>
      <w:r w:rsidRPr="00BD4394">
        <w:rPr>
          <w:spacing w:val="-4"/>
          <w:sz w:val="20"/>
          <w:szCs w:val="20"/>
          <w:lang w:bidi="he-IL"/>
        </w:rPr>
        <w:t>.</w:t>
      </w:r>
    </w:p>
  </w:footnote>
  <w:footnote w:id="2">
    <w:p w:rsidR="001A5BA4" w:rsidRDefault="001A5BA4" w:rsidP="00BD4394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טו,א ד,ה הוראת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A4" w:rsidRPr="00D41E48" w:rsidRDefault="001A5BA4" w:rsidP="00D41E48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תוס' ד"ה ולרב חנן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E48"/>
    <w:rsid w:val="000134D0"/>
    <w:rsid w:val="00184D2E"/>
    <w:rsid w:val="001A5BA4"/>
    <w:rsid w:val="0020216B"/>
    <w:rsid w:val="00210A1E"/>
    <w:rsid w:val="002156F1"/>
    <w:rsid w:val="002A2DB6"/>
    <w:rsid w:val="00312D45"/>
    <w:rsid w:val="0034597B"/>
    <w:rsid w:val="003F6705"/>
    <w:rsid w:val="004469B8"/>
    <w:rsid w:val="005959DF"/>
    <w:rsid w:val="005F7643"/>
    <w:rsid w:val="006C71C6"/>
    <w:rsid w:val="006D3FFA"/>
    <w:rsid w:val="007552E7"/>
    <w:rsid w:val="0089054C"/>
    <w:rsid w:val="00BD4394"/>
    <w:rsid w:val="00BD5BB0"/>
    <w:rsid w:val="00BE6666"/>
    <w:rsid w:val="00C51DCD"/>
    <w:rsid w:val="00D41E48"/>
    <w:rsid w:val="00D54370"/>
    <w:rsid w:val="00D80DE2"/>
    <w:rsid w:val="00E174CC"/>
    <w:rsid w:val="00EA2BBA"/>
    <w:rsid w:val="00F8780E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C4240F-8319-419F-A7DB-CBF9C78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41E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41E4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D5BB0"/>
    <w:rPr>
      <w:sz w:val="20"/>
      <w:szCs w:val="20"/>
    </w:rPr>
  </w:style>
  <w:style w:type="character" w:styleId="FootnoteReference">
    <w:name w:val="footnote reference"/>
    <w:semiHidden/>
    <w:rsid w:val="00BD5BB0"/>
    <w:rPr>
      <w:vertAlign w:val="superscript"/>
    </w:rPr>
  </w:style>
  <w:style w:type="character" w:styleId="PageNumber">
    <w:name w:val="page number"/>
    <w:basedOn w:val="DefaultParagraphFont"/>
    <w:rsid w:val="001A5BA4"/>
  </w:style>
  <w:style w:type="character" w:customStyle="1" w:styleId="FooterChar">
    <w:name w:val="Footer Char"/>
    <w:link w:val="Footer"/>
    <w:uiPriority w:val="99"/>
    <w:rsid w:val="005F7643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BD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439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ולרב חנן דאמר הוראת שעה היתה –</vt:lpstr>
    </vt:vector>
  </TitlesOfParts>
  <Company> 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ולרב חנן דאמר הוראת שעה היתה –</dc:title>
  <dc:subject/>
  <dc:creator> </dc:creator>
  <cp:keywords/>
  <dc:description/>
  <cp:lastModifiedBy>Microsoft account</cp:lastModifiedBy>
  <cp:revision>2</cp:revision>
  <cp:lastPrinted>2016-04-19T14:20:00Z</cp:lastPrinted>
  <dcterms:created xsi:type="dcterms:W3CDTF">2022-04-05T10:47:00Z</dcterms:created>
  <dcterms:modified xsi:type="dcterms:W3CDTF">2022-04-05T10:47:00Z</dcterms:modified>
</cp:coreProperties>
</file>