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235974" w:rsidP="00CA0032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אם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רוב עבדי כוכבים עובד כוכבים למאי הלכתא</w:t>
      </w:r>
      <w:r w:rsidR="006E76F5">
        <w:rPr>
          <w:rFonts w:hint="cs"/>
          <w:b/>
          <w:bCs/>
          <w:sz w:val="32"/>
          <w:szCs w:val="32"/>
          <w:rtl/>
          <w:lang w:bidi="he-IL"/>
        </w:rPr>
        <w:t xml:space="preserve"> - </w:t>
      </w:r>
      <w:r w:rsidR="006E76F5" w:rsidRPr="006E76F5">
        <w:rPr>
          <w:b/>
          <w:bCs/>
          <w:sz w:val="32"/>
          <w:szCs w:val="32"/>
          <w:lang w:bidi="he-IL"/>
        </w:rPr>
        <w:t>‘If the majority is</w:t>
      </w:r>
      <w:r w:rsidR="006E76F5">
        <w:rPr>
          <w:b/>
          <w:bCs/>
          <w:sz w:val="32"/>
          <w:szCs w:val="32"/>
          <w:lang w:bidi="he-IL"/>
        </w:rPr>
        <w:t xml:space="preserve"> </w:t>
      </w:r>
      <w:r w:rsidR="00071758">
        <w:rPr>
          <w:b/>
          <w:bCs/>
          <w:sz w:val="32"/>
          <w:szCs w:val="32"/>
          <w:lang w:bidi="he-IL"/>
        </w:rPr>
        <w:t xml:space="preserve">          </w:t>
      </w:r>
      <w:r w:rsidR="00CA0032">
        <w:rPr>
          <w:b/>
          <w:bCs/>
          <w:sz w:val="16"/>
          <w:szCs w:val="16"/>
          <w:lang w:bidi="he-IL"/>
        </w:rPr>
        <w:t xml:space="preserve">      </w:t>
      </w:r>
      <w:r w:rsidR="006E76F5">
        <w:rPr>
          <w:b/>
          <w:bCs/>
          <w:sz w:val="32"/>
          <w:szCs w:val="32"/>
          <w:lang w:bidi="he-IL"/>
        </w:rPr>
        <w:t xml:space="preserve">  </w:t>
      </w:r>
    </w:p>
    <w:p w:rsidR="0063136F" w:rsidRDefault="00235974" w:rsidP="006E76F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gentiles,</w:t>
      </w:r>
      <w:r>
        <w:rPr>
          <w:sz w:val="32"/>
          <w:szCs w:val="32"/>
          <w:lang w:bidi="he-IL"/>
        </w:rPr>
        <w:t xml:space="preserve"> the child </w:t>
      </w:r>
      <w:r>
        <w:rPr>
          <w:b/>
          <w:bCs/>
          <w:sz w:val="32"/>
          <w:szCs w:val="32"/>
          <w:lang w:bidi="he-IL"/>
        </w:rPr>
        <w:t>is a gentile’; what</w:t>
      </w:r>
      <w:r w:rsidR="004911FA">
        <w:rPr>
          <w:b/>
          <w:bCs/>
          <w:sz w:val="32"/>
          <w:szCs w:val="32"/>
          <w:lang w:bidi="he-IL"/>
        </w:rPr>
        <w:t xml:space="preserve"> </w:t>
      </w:r>
      <w:r w:rsidR="004911FA">
        <w:rPr>
          <w:sz w:val="32"/>
          <w:szCs w:val="32"/>
          <w:lang w:bidi="he-IL"/>
        </w:rPr>
        <w:t>is the relevance of this</w:t>
      </w:r>
      <w:r w:rsidR="006E76F5">
        <w:rPr>
          <w:sz w:val="32"/>
          <w:szCs w:val="32"/>
          <w:lang w:bidi="he-IL"/>
        </w:rPr>
        <w:t xml:space="preserve"> </w:t>
      </w:r>
      <w:r w:rsidR="006E76F5">
        <w:rPr>
          <w:b/>
          <w:bCs/>
          <w:sz w:val="32"/>
          <w:szCs w:val="32"/>
          <w:lang w:bidi="he-IL"/>
        </w:rPr>
        <w:t>law</w:t>
      </w:r>
      <w:r>
        <w:rPr>
          <w:b/>
          <w:bCs/>
          <w:sz w:val="32"/>
          <w:szCs w:val="32"/>
          <w:lang w:bidi="he-IL"/>
        </w:rPr>
        <w:t xml:space="preserve"> </w:t>
      </w:r>
    </w:p>
    <w:p w:rsidR="0063136F" w:rsidRDefault="0063136F" w:rsidP="006E76F5">
      <w:pPr>
        <w:spacing w:line="276" w:lineRule="auto"/>
        <w:jc w:val="both"/>
        <w:rPr>
          <w:sz w:val="24"/>
          <w:szCs w:val="24"/>
          <w:lang w:bidi="he-IL"/>
        </w:rPr>
      </w:pPr>
    </w:p>
    <w:p w:rsidR="0063136F" w:rsidRPr="006E76F5" w:rsidRDefault="00996F36" w:rsidP="006E76F5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E76F5">
        <w:rPr>
          <w:rFonts w:ascii="Copperplate Gothic Bold" w:hAnsi="Copperplate Gothic Bold"/>
          <w:u w:val="double"/>
          <w:lang w:bidi="he-IL"/>
        </w:rPr>
        <w:t>Overview</w:t>
      </w:r>
    </w:p>
    <w:p w:rsidR="00996F36" w:rsidRPr="00996F36" w:rsidRDefault="00996F36" w:rsidP="006E76F5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is presently discussing one of the rulings of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concerning the castaway child. </w:t>
      </w:r>
      <w:r w:rsidR="00CA4266">
        <w:rPr>
          <w:lang w:bidi="he-IL"/>
        </w:rPr>
        <w:t xml:space="preserve">The </w:t>
      </w:r>
      <w:r w:rsidR="00CA4266">
        <w:rPr>
          <w:rFonts w:hint="cs"/>
          <w:rtl/>
          <w:lang w:bidi="he-IL"/>
        </w:rPr>
        <w:t>גמרא</w:t>
      </w:r>
      <w:r w:rsidR="00CA4266">
        <w:rPr>
          <w:lang w:bidi="he-IL"/>
        </w:rPr>
        <w:t xml:space="preserve"> asks; i</w:t>
      </w:r>
      <w:r>
        <w:rPr>
          <w:lang w:bidi="he-IL"/>
        </w:rPr>
        <w:t>n regards to what</w:t>
      </w:r>
      <w:r w:rsidR="00281AD0">
        <w:rPr>
          <w:lang w:bidi="he-IL"/>
        </w:rPr>
        <w:t>,</w:t>
      </w:r>
      <w:r>
        <w:rPr>
          <w:lang w:bidi="he-IL"/>
        </w:rPr>
        <w:t xml:space="preserve"> did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 w:rsidR="00E524F9">
        <w:rPr>
          <w:lang w:bidi="he-IL"/>
        </w:rPr>
        <w:t>rule</w:t>
      </w:r>
      <w:r>
        <w:rPr>
          <w:lang w:bidi="he-IL"/>
        </w:rPr>
        <w:t xml:space="preserve"> that if the city had a majority of </w:t>
      </w:r>
      <w:r>
        <w:rPr>
          <w:rFonts w:hint="cs"/>
          <w:rtl/>
          <w:lang w:bidi="he-IL"/>
        </w:rPr>
        <w:t>עכו"ם</w:t>
      </w:r>
      <w:r w:rsidR="00281AD0">
        <w:rPr>
          <w:lang w:bidi="he-IL"/>
        </w:rPr>
        <w:t>,</w:t>
      </w:r>
      <w:r>
        <w:rPr>
          <w:lang w:bidi="he-IL"/>
        </w:rPr>
        <w:t xml:space="preserve"> the child is considered an </w:t>
      </w:r>
      <w:r>
        <w:rPr>
          <w:rFonts w:hint="cs"/>
          <w:rtl/>
          <w:lang w:bidi="he-IL"/>
        </w:rPr>
        <w:t>עכו"ם</w:t>
      </w:r>
      <w:r>
        <w:rPr>
          <w:lang w:bidi="he-IL"/>
        </w:rPr>
        <w:t>.</w:t>
      </w:r>
      <w:r w:rsidR="00CA4266">
        <w:rPr>
          <w:lang w:bidi="he-IL"/>
        </w:rPr>
        <w:t xml:space="preserve"> Seemingly </w:t>
      </w:r>
      <w:r w:rsidR="00E524F9">
        <w:rPr>
          <w:lang w:bidi="he-IL"/>
        </w:rPr>
        <w:t xml:space="preserve">the </w:t>
      </w:r>
      <w:r w:rsidR="00E524F9">
        <w:rPr>
          <w:rFonts w:hint="cs"/>
          <w:rtl/>
          <w:lang w:bidi="he-IL"/>
        </w:rPr>
        <w:t>גמרא</w:t>
      </w:r>
      <w:r w:rsidR="00CA4266">
        <w:rPr>
          <w:lang w:bidi="he-IL"/>
        </w:rPr>
        <w:t xml:space="preserve"> could have answered that he is considered an </w:t>
      </w:r>
      <w:r w:rsidR="00CA4266">
        <w:rPr>
          <w:rFonts w:hint="cs"/>
          <w:rtl/>
          <w:lang w:bidi="he-IL"/>
        </w:rPr>
        <w:t>עכו"ם</w:t>
      </w:r>
      <w:r w:rsidR="00CA4266">
        <w:rPr>
          <w:lang w:bidi="he-IL"/>
        </w:rPr>
        <w:t>;</w:t>
      </w:r>
      <w:r w:rsidR="00E524F9">
        <w:rPr>
          <w:lang w:bidi="he-IL"/>
        </w:rPr>
        <w:t xml:space="preserve"> in</w:t>
      </w:r>
      <w:r w:rsidR="00CA4266">
        <w:rPr>
          <w:lang w:bidi="he-IL"/>
        </w:rPr>
        <w:t xml:space="preserve"> that we are not required to support him. </w:t>
      </w:r>
      <w:r w:rsidR="00CA4266">
        <w:rPr>
          <w:rFonts w:hint="cs"/>
          <w:rtl/>
          <w:lang w:bidi="he-IL"/>
        </w:rPr>
        <w:t>תוספות</w:t>
      </w:r>
      <w:r w:rsidR="00CA4266">
        <w:rPr>
          <w:lang w:bidi="he-IL"/>
        </w:rPr>
        <w:t xml:space="preserve"> will explain why the </w:t>
      </w:r>
      <w:r w:rsidR="00CA4266">
        <w:rPr>
          <w:rFonts w:hint="cs"/>
          <w:rtl/>
          <w:lang w:bidi="he-IL"/>
        </w:rPr>
        <w:t>גמרא</w:t>
      </w:r>
      <w:r w:rsidR="00CA4266">
        <w:rPr>
          <w:lang w:bidi="he-IL"/>
        </w:rPr>
        <w:t xml:space="preserve"> did not  answer in this manner.</w:t>
      </w:r>
      <w:r>
        <w:rPr>
          <w:lang w:bidi="he-IL"/>
        </w:rPr>
        <w:t xml:space="preserve">  </w:t>
      </w:r>
    </w:p>
    <w:p w:rsidR="0063136F" w:rsidRDefault="00CA4266" w:rsidP="006E76F5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63136F" w:rsidRPr="006E76F5" w:rsidRDefault="0063136F" w:rsidP="006E76F5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6E76F5">
        <w:rPr>
          <w:rFonts w:ascii="David" w:hAnsi="David" w:cs="David"/>
          <w:b/>
          <w:bCs/>
          <w:rtl/>
          <w:lang w:bidi="he-IL"/>
        </w:rPr>
        <w:t>לא מצי למימר לענין שלא להחיותו</w:t>
      </w:r>
      <w:r w:rsidR="006E76F5" w:rsidRPr="006E76F5">
        <w:rPr>
          <w:rFonts w:ascii="David" w:hAnsi="David" w:cs="David"/>
          <w:b/>
          <w:bCs/>
          <w:rtl/>
          <w:lang w:bidi="he-IL"/>
        </w:rPr>
        <w:t xml:space="preserve"> דמאי איריא רוב עובדי כוכבים אפילו מחצה נמי</w:t>
      </w:r>
      <w:r w:rsidRPr="006E76F5">
        <w:rPr>
          <w:rFonts w:ascii="David" w:hAnsi="David" w:cs="David"/>
          <w:b/>
          <w:bCs/>
          <w:rtl/>
          <w:lang w:bidi="he-IL"/>
        </w:rPr>
        <w:t xml:space="preserve"> </w:t>
      </w:r>
      <w:r w:rsidR="006E76F5">
        <w:rPr>
          <w:rFonts w:ascii="David" w:hAnsi="David" w:cs="David"/>
          <w:b/>
          <w:bCs/>
          <w:lang w:bidi="he-IL"/>
        </w:rPr>
        <w:t>-</w:t>
      </w:r>
    </w:p>
    <w:p w:rsidR="00DA7B96" w:rsidRPr="00CA4266" w:rsidRDefault="00DA7B96" w:rsidP="006E76F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 w:rsidRPr="00DA7B96">
        <w:rPr>
          <w:b/>
          <w:bCs/>
          <w:lang w:bidi="he-IL"/>
        </w:rPr>
        <w:t xml:space="preserve">could not have </w:t>
      </w:r>
      <w:r w:rsidR="00E524F9">
        <w:rPr>
          <w:b/>
          <w:bCs/>
          <w:lang w:bidi="he-IL"/>
        </w:rPr>
        <w:t>answered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that the child is considered an </w:t>
      </w:r>
      <w:r>
        <w:rPr>
          <w:rFonts w:hint="cs"/>
          <w:rtl/>
          <w:lang w:bidi="he-IL"/>
        </w:rPr>
        <w:t>עכו"ם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in regards that </w:t>
      </w:r>
      <w:r w:rsidR="004911FA">
        <w:rPr>
          <w:b/>
          <w:bCs/>
          <w:lang w:bidi="he-IL"/>
        </w:rPr>
        <w:t>there is no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>require</w:t>
      </w:r>
      <w:r w:rsidR="004911FA">
        <w:rPr>
          <w:lang w:bidi="he-IL"/>
        </w:rPr>
        <w:t>ment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to sustain him</w:t>
      </w:r>
      <w:r w:rsidR="006E76F5">
        <w:rPr>
          <w:b/>
          <w:bCs/>
          <w:lang w:bidi="he-IL"/>
        </w:rPr>
        <w:t>;</w:t>
      </w:r>
      <w:r>
        <w:rPr>
          <w:b/>
          <w:bCs/>
          <w:lang w:bidi="he-IL"/>
        </w:rPr>
        <w:t xml:space="preserve"> </w:t>
      </w:r>
      <w:r w:rsidR="006E76F5">
        <w:rPr>
          <w:b/>
          <w:bCs/>
          <w:lang w:bidi="he-IL"/>
        </w:rPr>
        <w:t>f</w:t>
      </w:r>
      <w:r>
        <w:rPr>
          <w:b/>
          <w:bCs/>
          <w:lang w:bidi="he-IL"/>
        </w:rPr>
        <w:t xml:space="preserve">or </w:t>
      </w:r>
      <w:r>
        <w:rPr>
          <w:lang w:bidi="he-IL"/>
        </w:rPr>
        <w:t xml:space="preserve">if it is in reference to </w:t>
      </w:r>
      <w:r>
        <w:rPr>
          <w:rFonts w:hint="cs"/>
          <w:rtl/>
          <w:lang w:bidi="he-IL"/>
        </w:rPr>
        <w:t>שלא להחיותו</w:t>
      </w:r>
      <w:r>
        <w:rPr>
          <w:lang w:bidi="he-IL"/>
        </w:rPr>
        <w:t xml:space="preserve"> then </w:t>
      </w:r>
      <w:r>
        <w:rPr>
          <w:b/>
          <w:bCs/>
          <w:lang w:bidi="he-IL"/>
        </w:rPr>
        <w:t xml:space="preserve">why teach </w:t>
      </w:r>
      <w:r>
        <w:rPr>
          <w:lang w:bidi="he-IL"/>
        </w:rPr>
        <w:t xml:space="preserve">this rule in a case where a </w:t>
      </w:r>
      <w:r>
        <w:rPr>
          <w:b/>
          <w:bCs/>
          <w:lang w:bidi="he-IL"/>
        </w:rPr>
        <w:t>majority are gentiles</w:t>
      </w:r>
      <w:r w:rsidR="006E76F5">
        <w:rPr>
          <w:b/>
          <w:bCs/>
          <w:lang w:bidi="he-IL"/>
        </w:rPr>
        <w:t>;</w:t>
      </w:r>
      <w:r>
        <w:rPr>
          <w:b/>
          <w:bCs/>
          <w:lang w:bidi="he-IL"/>
        </w:rPr>
        <w:t xml:space="preserve"> even if </w:t>
      </w:r>
      <w:r>
        <w:rPr>
          <w:lang w:bidi="he-IL"/>
        </w:rPr>
        <w:t xml:space="preserve">(only) </w:t>
      </w:r>
      <w:r>
        <w:rPr>
          <w:b/>
          <w:bCs/>
          <w:lang w:bidi="he-IL"/>
        </w:rPr>
        <w:t xml:space="preserve">half </w:t>
      </w:r>
      <w:r>
        <w:rPr>
          <w:lang w:bidi="he-IL"/>
        </w:rPr>
        <w:t xml:space="preserve">are gentiles, we are </w:t>
      </w:r>
      <w:r>
        <w:rPr>
          <w:b/>
          <w:bCs/>
          <w:lang w:bidi="he-IL"/>
        </w:rPr>
        <w:t xml:space="preserve">also </w:t>
      </w:r>
      <w:r w:rsidRPr="00CA4266">
        <w:rPr>
          <w:sz w:val="24"/>
          <w:szCs w:val="24"/>
          <w:lang w:bidi="he-IL"/>
        </w:rPr>
        <w:t xml:space="preserve">not required </w:t>
      </w:r>
      <w:r w:rsidRPr="00CA4266">
        <w:rPr>
          <w:rFonts w:hint="cs"/>
          <w:sz w:val="24"/>
          <w:szCs w:val="24"/>
          <w:rtl/>
          <w:lang w:bidi="he-IL"/>
        </w:rPr>
        <w:t>להחיותו</w:t>
      </w:r>
      <w:r w:rsidRPr="00CA4266">
        <w:rPr>
          <w:sz w:val="24"/>
          <w:szCs w:val="24"/>
          <w:lang w:bidi="he-IL"/>
        </w:rPr>
        <w:t xml:space="preserve"> –</w:t>
      </w:r>
    </w:p>
    <w:p w:rsidR="00DA7B96" w:rsidRPr="005E357D" w:rsidRDefault="00DA7B96" w:rsidP="005E357D">
      <w:pPr>
        <w:bidi/>
        <w:spacing w:line="276" w:lineRule="auto"/>
        <w:jc w:val="both"/>
        <w:rPr>
          <w:rFonts w:ascii="David" w:hAnsi="David" w:cs="David" w:hint="cs"/>
          <w:b/>
          <w:bCs/>
          <w:rtl/>
          <w:lang w:bidi="he-IL"/>
        </w:rPr>
      </w:pPr>
      <w:r w:rsidRPr="005E357D">
        <w:rPr>
          <w:rFonts w:ascii="David" w:hAnsi="David" w:cs="David"/>
          <w:b/>
          <w:bCs/>
          <w:rtl/>
          <w:lang w:bidi="he-IL"/>
        </w:rPr>
        <w:t>דדוקא ברוב ישראל קאמר רב דהוי ישראל להחיותו</w:t>
      </w:r>
      <w:r w:rsidR="005E357D" w:rsidRPr="005E357D">
        <w:rPr>
          <w:rStyle w:val="FootnoteReference"/>
          <w:rFonts w:ascii="David" w:hAnsi="David" w:cs="David"/>
          <w:b/>
          <w:bCs/>
          <w:lang w:bidi="he-IL"/>
        </w:rPr>
        <w:footnoteReference w:id="1"/>
      </w:r>
      <w:r w:rsidR="005E357D">
        <w:rPr>
          <w:rFonts w:ascii="David" w:hAnsi="David" w:cs="David" w:hint="cs"/>
          <w:b/>
          <w:bCs/>
          <w:rtl/>
          <w:lang w:bidi="he-IL"/>
        </w:rPr>
        <w:t>:</w:t>
      </w:r>
    </w:p>
    <w:p w:rsidR="00DA7B96" w:rsidRDefault="00DA7B96" w:rsidP="006E76F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only </w:t>
      </w:r>
      <w:r>
        <w:rPr>
          <w:lang w:bidi="he-IL"/>
        </w:rPr>
        <w:t xml:space="preserve">in a case where </w:t>
      </w:r>
      <w:r>
        <w:rPr>
          <w:b/>
          <w:bCs/>
          <w:lang w:bidi="he-IL"/>
        </w:rPr>
        <w:t xml:space="preserve">the </w:t>
      </w:r>
      <w:r w:rsidR="004911FA">
        <w:rPr>
          <w:b/>
          <w:bCs/>
          <w:lang w:bidi="he-IL"/>
        </w:rPr>
        <w:t>majority is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ישראל</w:t>
      </w:r>
      <w:r>
        <w:rPr>
          <w:b/>
          <w:bCs/>
          <w:lang w:bidi="he-IL"/>
        </w:rPr>
        <w:t xml:space="preserve"> did </w:t>
      </w:r>
      <w:r>
        <w:rPr>
          <w:rFonts w:hint="cs"/>
          <w:b/>
          <w:bCs/>
          <w:rtl/>
          <w:lang w:bidi="he-IL"/>
        </w:rPr>
        <w:t>רב</w:t>
      </w:r>
      <w:r>
        <w:rPr>
          <w:b/>
          <w:bCs/>
          <w:lang w:bidi="he-IL"/>
        </w:rPr>
        <w:t xml:space="preserve"> rule </w:t>
      </w:r>
      <w:r w:rsidRPr="00DA7B96">
        <w:rPr>
          <w:b/>
          <w:bCs/>
          <w:lang w:bidi="he-IL"/>
        </w:rPr>
        <w:t xml:space="preserve">that he is considered a </w:t>
      </w:r>
      <w:r w:rsidRPr="00DA7B96">
        <w:rPr>
          <w:rFonts w:hint="cs"/>
          <w:b/>
          <w:bCs/>
          <w:rtl/>
          <w:lang w:bidi="he-IL"/>
        </w:rPr>
        <w:t>ישרא</w:t>
      </w:r>
      <w:r>
        <w:rPr>
          <w:rFonts w:hint="cs"/>
          <w:b/>
          <w:bCs/>
          <w:rtl/>
          <w:lang w:bidi="he-IL"/>
        </w:rPr>
        <w:t>ל</w:t>
      </w:r>
      <w:r w:rsidRPr="00DA7B96">
        <w:rPr>
          <w:b/>
          <w:bCs/>
          <w:lang w:bidi="he-IL"/>
        </w:rPr>
        <w:t xml:space="preserve"> </w:t>
      </w:r>
      <w:r>
        <w:rPr>
          <w:lang w:bidi="he-IL"/>
        </w:rPr>
        <w:t xml:space="preserve">in reference </w:t>
      </w:r>
      <w:r w:rsidRPr="00DA7B96">
        <w:rPr>
          <w:rFonts w:hint="cs"/>
          <w:b/>
          <w:bCs/>
          <w:rtl/>
          <w:lang w:bidi="he-IL"/>
        </w:rPr>
        <w:t>להחיות</w:t>
      </w:r>
      <w:r>
        <w:rPr>
          <w:rFonts w:hint="cs"/>
          <w:b/>
          <w:bCs/>
          <w:rtl/>
          <w:lang w:bidi="he-IL"/>
        </w:rPr>
        <w:t>ו</w:t>
      </w:r>
      <w:r>
        <w:rPr>
          <w:lang w:bidi="he-IL"/>
        </w:rPr>
        <w:t xml:space="preserve">; </w:t>
      </w:r>
      <w:r w:rsidRPr="00CA4266">
        <w:rPr>
          <w:sz w:val="24"/>
          <w:szCs w:val="24"/>
          <w:lang w:bidi="he-IL"/>
        </w:rPr>
        <w:t xml:space="preserve">but not by </w:t>
      </w:r>
      <w:r w:rsidRPr="00CA4266">
        <w:rPr>
          <w:rFonts w:hint="cs"/>
          <w:sz w:val="24"/>
          <w:szCs w:val="24"/>
          <w:rtl/>
          <w:lang w:bidi="he-IL"/>
        </w:rPr>
        <w:t>מחצה על מחצה</w:t>
      </w:r>
      <w:r w:rsidRPr="00CA4266">
        <w:rPr>
          <w:sz w:val="24"/>
          <w:szCs w:val="24"/>
          <w:lang w:bidi="he-IL"/>
        </w:rPr>
        <w:t>.</w:t>
      </w:r>
      <w:r w:rsidR="006E76F5" w:rsidRPr="006E76F5">
        <w:rPr>
          <w:rStyle w:val="FootnoteReference"/>
          <w:sz w:val="24"/>
          <w:szCs w:val="24"/>
          <w:rtl/>
          <w:lang w:bidi="he-IL"/>
        </w:rPr>
        <w:t xml:space="preserve"> </w:t>
      </w:r>
      <w:r w:rsidR="006E76F5" w:rsidRPr="00CA4266">
        <w:rPr>
          <w:rStyle w:val="FootnoteReference"/>
          <w:sz w:val="24"/>
          <w:szCs w:val="24"/>
          <w:rtl/>
          <w:lang w:bidi="he-IL"/>
        </w:rPr>
        <w:footnoteReference w:id="2"/>
      </w:r>
      <w:r w:rsidRPr="00CA4266">
        <w:rPr>
          <w:sz w:val="24"/>
          <w:szCs w:val="24"/>
          <w:lang w:bidi="he-IL"/>
        </w:rPr>
        <w:t xml:space="preserve"> </w:t>
      </w:r>
    </w:p>
    <w:p w:rsidR="00CA4266" w:rsidRDefault="00CA4266" w:rsidP="006E76F5">
      <w:pPr>
        <w:spacing w:line="276" w:lineRule="auto"/>
        <w:jc w:val="both"/>
        <w:rPr>
          <w:sz w:val="24"/>
          <w:szCs w:val="24"/>
          <w:lang w:bidi="he-IL"/>
        </w:rPr>
      </w:pPr>
    </w:p>
    <w:p w:rsidR="00CA4266" w:rsidRPr="006E76F5" w:rsidRDefault="00CA4266" w:rsidP="006E76F5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E76F5">
        <w:rPr>
          <w:rFonts w:ascii="Copperplate Gothic Bold" w:hAnsi="Copperplate Gothic Bold"/>
          <w:u w:val="double"/>
          <w:lang w:bidi="he-IL"/>
        </w:rPr>
        <w:t>Summary</w:t>
      </w:r>
    </w:p>
    <w:p w:rsidR="00235974" w:rsidRDefault="00CA4266" w:rsidP="006E76F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could not have said that he is considered an </w:t>
      </w:r>
      <w:r>
        <w:rPr>
          <w:rFonts w:hint="cs"/>
          <w:rtl/>
          <w:lang w:bidi="he-IL"/>
        </w:rPr>
        <w:t>עכו"ם</w:t>
      </w:r>
      <w:r>
        <w:rPr>
          <w:lang w:bidi="he-IL"/>
        </w:rPr>
        <w:t xml:space="preserve"> (if </w:t>
      </w:r>
      <w:r>
        <w:rPr>
          <w:rFonts w:hint="cs"/>
          <w:rtl/>
          <w:lang w:bidi="he-IL"/>
        </w:rPr>
        <w:t>רוב עכו"ם</w:t>
      </w:r>
      <w:r>
        <w:rPr>
          <w:lang w:bidi="he-IL"/>
        </w:rPr>
        <w:t xml:space="preserve">) concerning </w:t>
      </w:r>
      <w:r>
        <w:rPr>
          <w:rFonts w:hint="cs"/>
          <w:rtl/>
          <w:lang w:bidi="he-IL"/>
        </w:rPr>
        <w:t>שלא להחיותו</w:t>
      </w:r>
      <w:r>
        <w:rPr>
          <w:lang w:bidi="he-IL"/>
        </w:rPr>
        <w:t xml:space="preserve">; for even </w:t>
      </w:r>
      <w:r>
        <w:rPr>
          <w:rFonts w:hint="cs"/>
          <w:rtl/>
          <w:lang w:bidi="he-IL"/>
        </w:rPr>
        <w:t>במחצה על מחצה</w:t>
      </w:r>
      <w:r>
        <w:rPr>
          <w:lang w:bidi="he-IL"/>
        </w:rPr>
        <w:t xml:space="preserve"> there is no </w:t>
      </w:r>
      <w:r>
        <w:rPr>
          <w:rFonts w:hint="cs"/>
          <w:rtl/>
          <w:lang w:bidi="he-IL"/>
        </w:rPr>
        <w:t>חיוב להחיותו</w:t>
      </w:r>
      <w:r>
        <w:rPr>
          <w:lang w:bidi="he-IL"/>
        </w:rPr>
        <w:t>.</w:t>
      </w:r>
    </w:p>
    <w:p w:rsidR="00CA4266" w:rsidRDefault="00CA4266" w:rsidP="006E76F5">
      <w:pPr>
        <w:spacing w:line="276" w:lineRule="auto"/>
        <w:jc w:val="both"/>
        <w:rPr>
          <w:sz w:val="24"/>
          <w:szCs w:val="24"/>
          <w:lang w:bidi="he-IL"/>
        </w:rPr>
      </w:pPr>
    </w:p>
    <w:p w:rsidR="00CA4266" w:rsidRPr="006E76F5" w:rsidRDefault="00CA4266" w:rsidP="006E76F5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E76F5">
        <w:rPr>
          <w:rFonts w:ascii="Copperplate Gothic Bold" w:hAnsi="Copperplate Gothic Bold"/>
          <w:u w:val="double"/>
          <w:lang w:bidi="he-IL"/>
        </w:rPr>
        <w:t>Thinking it over</w:t>
      </w:r>
    </w:p>
    <w:p w:rsidR="00CA4266" w:rsidRDefault="00E524F9" w:rsidP="006E76F5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CA4266">
        <w:rPr>
          <w:rFonts w:hint="cs"/>
          <w:rtl/>
          <w:lang w:bidi="he-IL"/>
        </w:rPr>
        <w:t>תוספות</w:t>
      </w:r>
      <w:r w:rsidR="00CA4266">
        <w:rPr>
          <w:lang w:bidi="he-IL"/>
        </w:rPr>
        <w:t xml:space="preserve"> states that when </w:t>
      </w:r>
      <w:r w:rsidR="00CA4266">
        <w:rPr>
          <w:rFonts w:hint="cs"/>
          <w:rtl/>
          <w:lang w:bidi="he-IL"/>
        </w:rPr>
        <w:t>רב</w:t>
      </w:r>
      <w:r w:rsidR="00CA4266">
        <w:rPr>
          <w:lang w:bidi="he-IL"/>
        </w:rPr>
        <w:t xml:space="preserve"> ruled that there is a </w:t>
      </w:r>
      <w:r w:rsidR="00CA4266">
        <w:rPr>
          <w:rFonts w:hint="cs"/>
          <w:rtl/>
          <w:lang w:bidi="he-IL"/>
        </w:rPr>
        <w:t>חיוב להחיותו</w:t>
      </w:r>
      <w:r w:rsidR="00CA4266">
        <w:rPr>
          <w:lang w:bidi="he-IL"/>
        </w:rPr>
        <w:t xml:space="preserve"> that is only </w:t>
      </w:r>
      <w:r w:rsidR="00CA4266">
        <w:rPr>
          <w:rFonts w:hint="cs"/>
          <w:rtl/>
          <w:lang w:bidi="he-IL"/>
        </w:rPr>
        <w:t>ברוב ישראל</w:t>
      </w:r>
      <w:r w:rsidR="00CA4266">
        <w:rPr>
          <w:lang w:bidi="he-IL"/>
        </w:rPr>
        <w:t xml:space="preserve">; but not </w:t>
      </w:r>
      <w:r w:rsidR="00CA4266">
        <w:rPr>
          <w:rFonts w:hint="cs"/>
          <w:rtl/>
          <w:lang w:bidi="he-IL"/>
        </w:rPr>
        <w:t>במע"מ</w:t>
      </w:r>
      <w:r w:rsidR="00CA4266">
        <w:rPr>
          <w:lang w:bidi="he-IL"/>
        </w:rPr>
        <w:t xml:space="preserve">. Can </w:t>
      </w:r>
      <w:r w:rsidR="00CA4266">
        <w:rPr>
          <w:rFonts w:hint="cs"/>
          <w:rtl/>
          <w:lang w:bidi="he-IL"/>
        </w:rPr>
        <w:t>תוספות</w:t>
      </w:r>
      <w:r w:rsidR="00CA4266">
        <w:rPr>
          <w:lang w:bidi="he-IL"/>
        </w:rPr>
        <w:t xml:space="preserve"> offer proof (from our </w:t>
      </w:r>
      <w:r w:rsidR="00CA4266">
        <w:rPr>
          <w:rFonts w:hint="cs"/>
          <w:rtl/>
          <w:lang w:bidi="he-IL"/>
        </w:rPr>
        <w:t>גמרא</w:t>
      </w:r>
      <w:r w:rsidR="00CA4266">
        <w:rPr>
          <w:lang w:bidi="he-IL"/>
        </w:rPr>
        <w:t xml:space="preserve">) for this assumption; or is it (merely) a </w:t>
      </w:r>
      <w:r w:rsidR="00CA4266">
        <w:rPr>
          <w:rFonts w:hint="cs"/>
          <w:rtl/>
          <w:lang w:bidi="he-IL"/>
        </w:rPr>
        <w:t>סברא</w:t>
      </w:r>
      <w:r w:rsidR="00CA4266">
        <w:rPr>
          <w:lang w:bidi="he-IL"/>
        </w:rPr>
        <w:t>?</w:t>
      </w:r>
    </w:p>
    <w:p w:rsidR="00E524F9" w:rsidRDefault="00E524F9" w:rsidP="006E76F5">
      <w:pPr>
        <w:spacing w:line="276" w:lineRule="auto"/>
        <w:jc w:val="both"/>
        <w:rPr>
          <w:lang w:bidi="he-IL"/>
        </w:rPr>
      </w:pPr>
    </w:p>
    <w:p w:rsidR="00E524F9" w:rsidRPr="00CA4266" w:rsidRDefault="00E524F9" w:rsidP="006E76F5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If we assume that </w:t>
      </w:r>
      <w:r>
        <w:rPr>
          <w:rFonts w:hint="cs"/>
          <w:rtl/>
          <w:lang w:bidi="he-IL"/>
        </w:rPr>
        <w:t>להחיותו</w:t>
      </w:r>
      <w:r>
        <w:rPr>
          <w:lang w:bidi="he-IL"/>
        </w:rPr>
        <w:t xml:space="preserve"> is (merely) a </w:t>
      </w:r>
      <w:r>
        <w:rPr>
          <w:rFonts w:hint="cs"/>
          <w:rtl/>
          <w:lang w:bidi="he-IL"/>
        </w:rPr>
        <w:t>דין ממון</w:t>
      </w:r>
      <w:r>
        <w:rPr>
          <w:rStyle w:val="FootnoteReference"/>
          <w:rtl/>
          <w:lang w:bidi="he-IL"/>
        </w:rPr>
        <w:footnoteReference w:id="3"/>
      </w:r>
      <w:r>
        <w:rPr>
          <w:lang w:bidi="he-IL"/>
        </w:rPr>
        <w:t xml:space="preserve"> then even by </w:t>
      </w:r>
      <w:r>
        <w:rPr>
          <w:rFonts w:hint="cs"/>
          <w:rtl/>
          <w:lang w:bidi="he-IL"/>
        </w:rPr>
        <w:t>רוב ישראל</w:t>
      </w:r>
      <w:r>
        <w:rPr>
          <w:lang w:bidi="he-IL"/>
        </w:rPr>
        <w:t xml:space="preserve"> there should be no </w:t>
      </w:r>
      <w:r>
        <w:rPr>
          <w:rFonts w:hint="cs"/>
          <w:rtl/>
          <w:lang w:bidi="he-IL"/>
        </w:rPr>
        <w:t>חיוב להחיותו</w:t>
      </w:r>
      <w:r>
        <w:rPr>
          <w:lang w:bidi="he-IL"/>
        </w:rPr>
        <w:t xml:space="preserve">; for </w:t>
      </w:r>
      <w:r>
        <w:rPr>
          <w:rFonts w:hint="cs"/>
          <w:rtl/>
          <w:lang w:bidi="he-IL"/>
        </w:rPr>
        <w:t>אין הולכין בממון אחר הרוב</w:t>
      </w:r>
      <w:r>
        <w:rPr>
          <w:lang w:bidi="he-IL"/>
        </w:rPr>
        <w:t>!</w:t>
      </w:r>
      <w:r w:rsidR="00CA0032">
        <w:rPr>
          <w:rStyle w:val="FootnoteReference"/>
          <w:lang w:bidi="he-IL"/>
        </w:rPr>
        <w:footnoteReference w:id="4"/>
      </w:r>
    </w:p>
    <w:sectPr w:rsidR="00E524F9" w:rsidRPr="00CA4266" w:rsidSect="000717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77D" w:rsidRDefault="000C277D">
      <w:r>
        <w:separator/>
      </w:r>
    </w:p>
  </w:endnote>
  <w:endnote w:type="continuationSeparator" w:id="0">
    <w:p w:rsidR="000C277D" w:rsidRDefault="000C2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266" w:rsidRDefault="00CA4266">
    <w:pPr>
      <w:pStyle w:val="Footer"/>
      <w:rPr>
        <w:rFonts w:hint="cs"/>
        <w:rtl/>
        <w:lang w:bidi="he-IL"/>
      </w:rPr>
    </w:pPr>
  </w:p>
  <w:p w:rsidR="00CA4266" w:rsidRPr="00235974" w:rsidRDefault="00CA4266" w:rsidP="00235974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77D" w:rsidRDefault="000C277D">
      <w:r>
        <w:separator/>
      </w:r>
    </w:p>
  </w:footnote>
  <w:footnote w:type="continuationSeparator" w:id="0">
    <w:p w:rsidR="000C277D" w:rsidRDefault="000C277D">
      <w:r>
        <w:continuationSeparator/>
      </w:r>
    </w:p>
  </w:footnote>
  <w:footnote w:id="1">
    <w:p w:rsidR="005E357D" w:rsidRDefault="005E357D" w:rsidP="005E357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also </w:t>
      </w:r>
      <w:r>
        <w:rPr>
          <w:rFonts w:hint="cs"/>
          <w:rtl/>
          <w:lang w:bidi="he-IL"/>
        </w:rPr>
        <w:t>רש"י ד"ה לא שנו</w:t>
      </w:r>
      <w:r>
        <w:rPr>
          <w:lang w:bidi="he-IL"/>
        </w:rPr>
        <w:t>.</w:t>
      </w:r>
    </w:p>
  </w:footnote>
  <w:footnote w:id="2">
    <w:p w:rsidR="006E76F5" w:rsidRDefault="006E76F5" w:rsidP="00CA003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reason seems to be that </w:t>
      </w:r>
      <w:r>
        <w:rPr>
          <w:rFonts w:hint="cs"/>
          <w:rtl/>
          <w:lang w:bidi="he-IL"/>
        </w:rPr>
        <w:t>להחיותו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דין ממון</w:t>
      </w:r>
      <w:r>
        <w:rPr>
          <w:lang w:bidi="he-IL"/>
        </w:rPr>
        <w:t xml:space="preserve">. We are not required to be </w:t>
      </w:r>
      <w:r>
        <w:rPr>
          <w:rFonts w:hint="cs"/>
          <w:rtl/>
          <w:lang w:bidi="he-IL"/>
        </w:rPr>
        <w:t>מוציא ממון</w:t>
      </w:r>
      <w:r>
        <w:rPr>
          <w:lang w:bidi="he-IL"/>
        </w:rPr>
        <w:t xml:space="preserve"> unless he proves that he is a </w:t>
      </w:r>
      <w:r>
        <w:rPr>
          <w:rFonts w:hint="cs"/>
          <w:rtl/>
          <w:lang w:bidi="he-IL"/>
        </w:rPr>
        <w:t>ישראל</w:t>
      </w:r>
      <w:r>
        <w:rPr>
          <w:lang w:bidi="he-IL"/>
        </w:rPr>
        <w:t xml:space="preserve"> (as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shortly states concerning </w:t>
      </w:r>
      <w:r>
        <w:rPr>
          <w:rFonts w:hint="cs"/>
          <w:rtl/>
          <w:lang w:bidi="he-IL"/>
        </w:rPr>
        <w:t>מחצה על מחצה</w:t>
      </w:r>
      <w:r>
        <w:rPr>
          <w:lang w:bidi="he-IL"/>
        </w:rPr>
        <w:t xml:space="preserve">). See </w:t>
      </w:r>
      <w:r>
        <w:rPr>
          <w:rFonts w:hint="cs"/>
          <w:rtl/>
          <w:lang w:bidi="he-IL"/>
        </w:rPr>
        <w:t>אילת השחר (בגמ' ד"ה ל"ש)</w:t>
      </w:r>
      <w:r>
        <w:rPr>
          <w:lang w:bidi="he-IL"/>
        </w:rPr>
        <w:t>. See ‘Thinking it over’ # 2.</w:t>
      </w:r>
    </w:p>
  </w:footnote>
  <w:footnote w:id="3">
    <w:p w:rsidR="00E524F9" w:rsidRDefault="00E524F9" w:rsidP="00CA003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 w:rsidR="00CA0032">
        <w:t xml:space="preserve"> See footnote # 2.</w:t>
      </w:r>
    </w:p>
  </w:footnote>
  <w:footnote w:id="4">
    <w:p w:rsidR="00CA0032" w:rsidRDefault="00CA0032" w:rsidP="00A33014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 w:rsidRPr="00CA0032">
        <w:t xml:space="preserve">See </w:t>
      </w:r>
      <w:r w:rsidRPr="00CA0032">
        <w:rPr>
          <w:rtl/>
          <w:lang w:bidi="he-IL"/>
        </w:rPr>
        <w:t>ח"ב אות קפב (ואילך</w:t>
      </w:r>
      <w:r w:rsidR="00A33014">
        <w:rPr>
          <w:rFonts w:hint="cs"/>
          <w:rtl/>
          <w:lang w:bidi="he-IL"/>
        </w:rPr>
        <w:t>)</w:t>
      </w:r>
      <w:r w:rsidRPr="00CA0032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266" w:rsidRPr="00235974" w:rsidRDefault="00CA4266" w:rsidP="00235974">
    <w:pPr>
      <w:pStyle w:val="Header"/>
      <w:bidi/>
      <w:jc w:val="both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טו,ב ד"ה אם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5974"/>
    <w:rsid w:val="000705E7"/>
    <w:rsid w:val="00071758"/>
    <w:rsid w:val="000C277D"/>
    <w:rsid w:val="000F5F8C"/>
    <w:rsid w:val="00184D2E"/>
    <w:rsid w:val="0020216B"/>
    <w:rsid w:val="00210A1E"/>
    <w:rsid w:val="00220514"/>
    <w:rsid w:val="00235974"/>
    <w:rsid w:val="00281AD0"/>
    <w:rsid w:val="002C6716"/>
    <w:rsid w:val="00324263"/>
    <w:rsid w:val="003F6705"/>
    <w:rsid w:val="004911FA"/>
    <w:rsid w:val="00507AF2"/>
    <w:rsid w:val="005E357D"/>
    <w:rsid w:val="0063136F"/>
    <w:rsid w:val="00685C71"/>
    <w:rsid w:val="006E76F5"/>
    <w:rsid w:val="006F2689"/>
    <w:rsid w:val="00745299"/>
    <w:rsid w:val="007552E7"/>
    <w:rsid w:val="0089054C"/>
    <w:rsid w:val="008B675A"/>
    <w:rsid w:val="0092788D"/>
    <w:rsid w:val="009438F1"/>
    <w:rsid w:val="00996F36"/>
    <w:rsid w:val="00A33014"/>
    <w:rsid w:val="00CA0032"/>
    <w:rsid w:val="00CA4266"/>
    <w:rsid w:val="00D54370"/>
    <w:rsid w:val="00D80DE2"/>
    <w:rsid w:val="00DA7B96"/>
    <w:rsid w:val="00E524F9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FA72DA4-26D9-424A-A219-6BB69ED1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359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597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07AF2"/>
    <w:rPr>
      <w:sz w:val="20"/>
      <w:szCs w:val="20"/>
    </w:rPr>
  </w:style>
  <w:style w:type="character" w:styleId="FootnoteReference">
    <w:name w:val="footnote reference"/>
    <w:semiHidden/>
    <w:rsid w:val="00507A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אם רוב עבדי כוכבים עובד כוכבים למאי הלכתא –</vt:lpstr>
    </vt:vector>
  </TitlesOfParts>
  <Company> 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אם רוב עבדי כוכבים עובד כוכבים למאי הלכתא –</dc:title>
  <dc:subject/>
  <dc:creator> </dc:creator>
  <cp:keywords/>
  <dc:description/>
  <cp:lastModifiedBy>Microsoft account</cp:lastModifiedBy>
  <cp:revision>2</cp:revision>
  <dcterms:created xsi:type="dcterms:W3CDTF">2022-04-05T10:48:00Z</dcterms:created>
  <dcterms:modified xsi:type="dcterms:W3CDTF">2022-04-05T10:48:00Z</dcterms:modified>
</cp:coreProperties>
</file>