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E26" w:rsidRDefault="001E5E26" w:rsidP="00833E75">
      <w:pPr>
        <w:bidi/>
        <w:spacing w:line="276" w:lineRule="auto"/>
        <w:jc w:val="both"/>
        <w:rPr>
          <w:b/>
          <w:bCs/>
          <w:sz w:val="24"/>
          <w:szCs w:val="24"/>
          <w:lang w:bidi="he-IL"/>
        </w:rPr>
      </w:pPr>
      <w:bookmarkStart w:id="0" w:name="_GoBack"/>
      <w:bookmarkEnd w:id="0"/>
      <w:r>
        <w:rPr>
          <w:rFonts w:hint="cs"/>
          <w:b/>
          <w:bCs/>
          <w:sz w:val="36"/>
          <w:szCs w:val="36"/>
          <w:rtl/>
          <w:lang w:bidi="he-IL"/>
        </w:rPr>
        <w:t>להחזיר</w:t>
      </w:r>
      <w:r>
        <w:rPr>
          <w:rFonts w:hint="cs"/>
          <w:b/>
          <w:bCs/>
          <w:sz w:val="32"/>
          <w:szCs w:val="32"/>
          <w:rtl/>
          <w:lang w:bidi="he-IL"/>
        </w:rPr>
        <w:t xml:space="preserve"> לו אבידה -</w:t>
      </w:r>
      <w:r>
        <w:rPr>
          <w:b/>
          <w:bCs/>
          <w:sz w:val="32"/>
          <w:szCs w:val="32"/>
          <w:lang w:bidi="he-IL"/>
        </w:rPr>
        <w:t xml:space="preserve"> </w:t>
      </w:r>
      <w:r>
        <w:rPr>
          <w:rFonts w:hint="cs"/>
          <w:b/>
          <w:bCs/>
          <w:sz w:val="32"/>
          <w:szCs w:val="32"/>
          <w:rtl/>
          <w:lang w:bidi="he-IL"/>
        </w:rPr>
        <w:t xml:space="preserve"> </w:t>
      </w:r>
      <w:r>
        <w:rPr>
          <w:b/>
          <w:bCs/>
          <w:sz w:val="32"/>
          <w:szCs w:val="32"/>
          <w:lang w:bidi="he-IL"/>
        </w:rPr>
        <w:t>To return to him a lost object</w:t>
      </w:r>
      <w:r w:rsidR="00D165F7">
        <w:rPr>
          <w:b/>
          <w:bCs/>
          <w:sz w:val="32"/>
          <w:szCs w:val="32"/>
          <w:lang w:bidi="he-IL"/>
        </w:rPr>
        <w:t xml:space="preserve"> </w:t>
      </w:r>
      <w:r>
        <w:rPr>
          <w:b/>
          <w:bCs/>
          <w:sz w:val="32"/>
          <w:szCs w:val="32"/>
          <w:lang w:bidi="he-IL"/>
        </w:rPr>
        <w:t xml:space="preserve">       </w:t>
      </w:r>
      <w:r w:rsidR="00E24ECE">
        <w:rPr>
          <w:b/>
          <w:bCs/>
          <w:sz w:val="16"/>
          <w:szCs w:val="16"/>
          <w:lang w:bidi="he-IL"/>
        </w:rPr>
        <w:t xml:space="preserve">    </w:t>
      </w:r>
      <w:r w:rsidR="00192CF7">
        <w:rPr>
          <w:b/>
          <w:bCs/>
          <w:sz w:val="32"/>
          <w:szCs w:val="32"/>
          <w:lang w:bidi="he-IL"/>
        </w:rPr>
        <w:t xml:space="preserve">          </w:t>
      </w:r>
      <w:r w:rsidR="00833E75">
        <w:rPr>
          <w:b/>
          <w:bCs/>
          <w:sz w:val="16"/>
          <w:szCs w:val="16"/>
          <w:lang w:bidi="he-IL"/>
        </w:rPr>
        <w:t xml:space="preserve">    </w:t>
      </w:r>
      <w:r w:rsidR="00192CF7">
        <w:rPr>
          <w:b/>
          <w:bCs/>
          <w:sz w:val="16"/>
          <w:szCs w:val="16"/>
          <w:lang w:bidi="he-IL"/>
        </w:rPr>
        <w:t xml:space="preserve"> </w:t>
      </w:r>
      <w:r>
        <w:rPr>
          <w:b/>
          <w:bCs/>
          <w:sz w:val="32"/>
          <w:szCs w:val="32"/>
          <w:lang w:bidi="he-IL"/>
        </w:rPr>
        <w:t xml:space="preserve">              </w:t>
      </w:r>
    </w:p>
    <w:p w:rsidR="005D2B26" w:rsidRPr="005D2B26" w:rsidRDefault="005D2B26" w:rsidP="00D165F7">
      <w:pPr>
        <w:spacing w:line="276" w:lineRule="auto"/>
        <w:jc w:val="both"/>
        <w:rPr>
          <w:sz w:val="24"/>
          <w:szCs w:val="24"/>
          <w:u w:val="single"/>
          <w:lang w:bidi="he-IL"/>
        </w:rPr>
      </w:pPr>
    </w:p>
    <w:p w:rsidR="001E5E26" w:rsidRPr="00D165F7" w:rsidRDefault="00BE22C0" w:rsidP="00D165F7">
      <w:pPr>
        <w:spacing w:line="276" w:lineRule="auto"/>
        <w:jc w:val="both"/>
        <w:rPr>
          <w:rFonts w:ascii="Copperplate Gothic Bold" w:hAnsi="Copperplate Gothic Bold"/>
          <w:u w:val="double"/>
          <w:lang w:bidi="he-IL"/>
        </w:rPr>
      </w:pPr>
      <w:r w:rsidRPr="00D165F7">
        <w:rPr>
          <w:rFonts w:ascii="Copperplate Gothic Bold" w:hAnsi="Copperplate Gothic Bold"/>
          <w:u w:val="double"/>
          <w:lang w:bidi="he-IL"/>
        </w:rPr>
        <w:t>Overview</w:t>
      </w:r>
    </w:p>
    <w:p w:rsidR="00BE22C0" w:rsidRPr="00BE22C0" w:rsidRDefault="00BE22C0" w:rsidP="00231CBB">
      <w:pPr>
        <w:spacing w:line="276" w:lineRule="auto"/>
        <w:jc w:val="both"/>
        <w:rPr>
          <w:lang w:bidi="he-IL"/>
        </w:rPr>
      </w:pPr>
      <w:r>
        <w:rPr>
          <w:lang w:bidi="he-IL"/>
        </w:rPr>
        <w:t xml:space="preserve">The </w:t>
      </w:r>
      <w:r>
        <w:rPr>
          <w:rFonts w:hint="cs"/>
          <w:rtl/>
          <w:lang w:bidi="he-IL"/>
        </w:rPr>
        <w:t>גמרא</w:t>
      </w:r>
      <w:r>
        <w:rPr>
          <w:lang w:bidi="he-IL"/>
        </w:rPr>
        <w:t xml:space="preserve"> stated that the rule of </w:t>
      </w:r>
      <w:r>
        <w:rPr>
          <w:rFonts w:hint="cs"/>
          <w:rtl/>
          <w:lang w:bidi="he-IL"/>
        </w:rPr>
        <w:t>אם רוב ישראל ישראל</w:t>
      </w:r>
      <w:r>
        <w:rPr>
          <w:lang w:bidi="he-IL"/>
        </w:rPr>
        <w:t xml:space="preserve"> requires us to return an obje</w:t>
      </w:r>
      <w:r w:rsidR="005D2B26">
        <w:rPr>
          <w:lang w:bidi="he-IL"/>
        </w:rPr>
        <w:t>ct which was lost by th</w:t>
      </w:r>
      <w:r w:rsidR="00231CBB">
        <w:rPr>
          <w:lang w:bidi="he-IL"/>
        </w:rPr>
        <w:t>is person who was</w:t>
      </w:r>
      <w:r w:rsidR="005D2B26">
        <w:rPr>
          <w:lang w:bidi="he-IL"/>
        </w:rPr>
        <w:t xml:space="preserve"> abandoned</w:t>
      </w:r>
      <w:r w:rsidR="00231CBB">
        <w:rPr>
          <w:lang w:bidi="he-IL"/>
        </w:rPr>
        <w:t xml:space="preserve"> as a</w:t>
      </w:r>
      <w:r>
        <w:rPr>
          <w:lang w:bidi="he-IL"/>
        </w:rPr>
        <w:t xml:space="preserve"> child.</w:t>
      </w:r>
      <w:r w:rsidR="005D2B26">
        <w:rPr>
          <w:lang w:bidi="he-IL"/>
        </w:rPr>
        <w:t xml:space="preserve"> </w:t>
      </w:r>
      <w:r w:rsidR="005D2B26">
        <w:rPr>
          <w:rFonts w:hint="cs"/>
          <w:rtl/>
          <w:lang w:bidi="he-IL"/>
        </w:rPr>
        <w:t>תוספות</w:t>
      </w:r>
      <w:r w:rsidR="005D2B26">
        <w:rPr>
          <w:lang w:bidi="he-IL"/>
        </w:rPr>
        <w:t xml:space="preserve"> will (first) discuss why the </w:t>
      </w:r>
      <w:r w:rsidR="005D2B26">
        <w:rPr>
          <w:rFonts w:hint="cs"/>
          <w:rtl/>
          <w:lang w:bidi="he-IL"/>
        </w:rPr>
        <w:t>גמרא</w:t>
      </w:r>
      <w:r w:rsidR="005D2B26">
        <w:rPr>
          <w:lang w:bidi="he-IL"/>
        </w:rPr>
        <w:t xml:space="preserve"> did not mention a more relevant issue; that since </w:t>
      </w:r>
      <w:r w:rsidR="005D2B26">
        <w:rPr>
          <w:rFonts w:hint="cs"/>
          <w:rtl/>
          <w:lang w:bidi="he-IL"/>
        </w:rPr>
        <w:t>רוב ישראל ישראל</w:t>
      </w:r>
      <w:r w:rsidR="005D2B26">
        <w:rPr>
          <w:lang w:bidi="he-IL"/>
        </w:rPr>
        <w:t xml:space="preserve">, we are obligated to sustain this </w:t>
      </w:r>
      <w:r w:rsidR="00231CBB">
        <w:rPr>
          <w:lang w:bidi="he-IL"/>
        </w:rPr>
        <w:t>person</w:t>
      </w:r>
      <w:r w:rsidR="005D2B26">
        <w:rPr>
          <w:lang w:bidi="he-IL"/>
        </w:rPr>
        <w:t>.</w:t>
      </w:r>
    </w:p>
    <w:p w:rsidR="00D80DE2" w:rsidRPr="00E46012" w:rsidRDefault="00E46012" w:rsidP="00D165F7">
      <w:pPr>
        <w:bidi/>
        <w:spacing w:line="276" w:lineRule="auto"/>
        <w:jc w:val="center"/>
        <w:rPr>
          <w:sz w:val="24"/>
          <w:szCs w:val="24"/>
          <w:rtl/>
          <w:lang w:bidi="he-IL"/>
        </w:rPr>
      </w:pPr>
      <w:r>
        <w:rPr>
          <w:sz w:val="24"/>
          <w:szCs w:val="24"/>
          <w:lang w:bidi="he-IL"/>
        </w:rPr>
        <w:t>------------------</w:t>
      </w:r>
    </w:p>
    <w:p w:rsidR="001E5E26" w:rsidRPr="00D165F7" w:rsidRDefault="001E5E26" w:rsidP="00D165F7">
      <w:pPr>
        <w:bidi/>
        <w:spacing w:line="276" w:lineRule="auto"/>
        <w:jc w:val="both"/>
        <w:rPr>
          <w:rFonts w:ascii="David" w:hAnsi="David" w:cs="David"/>
          <w:b/>
          <w:bCs/>
          <w:rtl/>
          <w:lang w:bidi="he-IL"/>
        </w:rPr>
      </w:pPr>
      <w:r w:rsidRPr="00D165F7">
        <w:rPr>
          <w:rFonts w:ascii="David" w:hAnsi="David" w:cs="David"/>
          <w:b/>
          <w:bCs/>
          <w:rtl/>
          <w:lang w:bidi="he-IL"/>
        </w:rPr>
        <w:t xml:space="preserve">הוה מצי למימר להחיותו כדאמר רב </w:t>
      </w:r>
      <w:r w:rsidR="00D165F7">
        <w:rPr>
          <w:rFonts w:ascii="David" w:hAnsi="David" w:cs="David"/>
          <w:b/>
          <w:bCs/>
          <w:lang w:bidi="he-IL"/>
        </w:rPr>
        <w:t>-</w:t>
      </w:r>
    </w:p>
    <w:p w:rsidR="001E5E26" w:rsidRPr="005D2B26" w:rsidRDefault="001E5E26" w:rsidP="00D165F7">
      <w:pPr>
        <w:spacing w:line="276" w:lineRule="auto"/>
        <w:jc w:val="both"/>
        <w:rPr>
          <w:sz w:val="24"/>
          <w:szCs w:val="24"/>
          <w:lang w:bidi="he-IL"/>
        </w:rPr>
      </w:pPr>
      <w:r>
        <w:rPr>
          <w:lang w:bidi="he-IL"/>
        </w:rPr>
        <w:t xml:space="preserve">The </w:t>
      </w:r>
      <w:r>
        <w:rPr>
          <w:rFonts w:hint="cs"/>
          <w:rtl/>
          <w:lang w:bidi="he-IL"/>
        </w:rPr>
        <w:t>גמרא</w:t>
      </w:r>
      <w:r>
        <w:rPr>
          <w:lang w:bidi="he-IL"/>
        </w:rPr>
        <w:t xml:space="preserve"> </w:t>
      </w:r>
      <w:r>
        <w:rPr>
          <w:b/>
          <w:bCs/>
          <w:lang w:bidi="he-IL"/>
        </w:rPr>
        <w:t xml:space="preserve">could have answered </w:t>
      </w:r>
      <w:r>
        <w:rPr>
          <w:lang w:bidi="he-IL"/>
        </w:rPr>
        <w:t xml:space="preserve">that the ruling of </w:t>
      </w:r>
      <w:r>
        <w:rPr>
          <w:rFonts w:hint="cs"/>
          <w:rtl/>
          <w:lang w:bidi="he-IL"/>
        </w:rPr>
        <w:t>רוב ישראל ישראל</w:t>
      </w:r>
      <w:r>
        <w:rPr>
          <w:lang w:bidi="he-IL"/>
        </w:rPr>
        <w:t xml:space="preserve"> teaches us that we are obligated </w:t>
      </w:r>
      <w:r>
        <w:rPr>
          <w:b/>
          <w:bCs/>
          <w:lang w:bidi="he-IL"/>
        </w:rPr>
        <w:t xml:space="preserve">to support him; as </w:t>
      </w:r>
      <w:r>
        <w:rPr>
          <w:rFonts w:hint="cs"/>
          <w:b/>
          <w:bCs/>
          <w:rtl/>
          <w:lang w:bidi="he-IL"/>
        </w:rPr>
        <w:t>רב</w:t>
      </w:r>
      <w:r>
        <w:rPr>
          <w:b/>
          <w:bCs/>
          <w:lang w:bidi="he-IL"/>
        </w:rPr>
        <w:t xml:space="preserve"> stated </w:t>
      </w:r>
      <w:r w:rsidRPr="005D2B26">
        <w:rPr>
          <w:sz w:val="24"/>
          <w:szCs w:val="24"/>
          <w:lang w:bidi="he-IL"/>
        </w:rPr>
        <w:t>previously –</w:t>
      </w:r>
    </w:p>
    <w:p w:rsidR="001E5E26" w:rsidRPr="00D165F7" w:rsidRDefault="001E5E26" w:rsidP="00D165F7">
      <w:pPr>
        <w:bidi/>
        <w:spacing w:line="276" w:lineRule="auto"/>
        <w:jc w:val="both"/>
        <w:rPr>
          <w:rFonts w:ascii="David" w:hAnsi="David" w:cs="David"/>
          <w:b/>
          <w:bCs/>
          <w:lang w:bidi="he-IL"/>
        </w:rPr>
      </w:pPr>
      <w:r w:rsidRPr="00D165F7">
        <w:rPr>
          <w:rFonts w:ascii="David" w:hAnsi="David" w:cs="David"/>
          <w:b/>
          <w:bCs/>
          <w:rtl/>
          <w:lang w:bidi="he-IL"/>
        </w:rPr>
        <w:t xml:space="preserve">אלא נקט להחזיר לו אבדה דהוי רבותא טפי </w:t>
      </w:r>
      <w:r w:rsidR="00D165F7">
        <w:rPr>
          <w:rFonts w:ascii="David" w:hAnsi="David" w:cs="David"/>
          <w:b/>
          <w:bCs/>
          <w:lang w:bidi="he-IL"/>
        </w:rPr>
        <w:t>-</w:t>
      </w:r>
    </w:p>
    <w:p w:rsidR="001E5E26" w:rsidRPr="005D2B26" w:rsidRDefault="001E5E26" w:rsidP="00D165F7">
      <w:pPr>
        <w:spacing w:line="276" w:lineRule="auto"/>
        <w:jc w:val="both"/>
        <w:rPr>
          <w:b/>
          <w:bCs/>
          <w:sz w:val="24"/>
          <w:szCs w:val="24"/>
          <w:lang w:bidi="he-IL"/>
        </w:rPr>
      </w:pPr>
      <w:r>
        <w:rPr>
          <w:b/>
          <w:bCs/>
          <w:lang w:bidi="he-IL"/>
        </w:rPr>
        <w:t xml:space="preserve">However </w:t>
      </w:r>
      <w:r>
        <w:rPr>
          <w:lang w:bidi="he-IL"/>
        </w:rPr>
        <w:t xml:space="preserve">the </w:t>
      </w:r>
      <w:r>
        <w:rPr>
          <w:rFonts w:hint="cs"/>
          <w:rtl/>
          <w:lang w:bidi="he-IL"/>
        </w:rPr>
        <w:t>גמרא</w:t>
      </w:r>
      <w:r>
        <w:rPr>
          <w:lang w:bidi="he-IL"/>
        </w:rPr>
        <w:t xml:space="preserve"> chose to </w:t>
      </w:r>
      <w:r>
        <w:rPr>
          <w:b/>
          <w:bCs/>
          <w:lang w:bidi="he-IL"/>
        </w:rPr>
        <w:t xml:space="preserve">mention </w:t>
      </w:r>
      <w:r>
        <w:rPr>
          <w:lang w:bidi="he-IL"/>
        </w:rPr>
        <w:t xml:space="preserve">that the ruling pertains to the obligation </w:t>
      </w:r>
      <w:r>
        <w:rPr>
          <w:b/>
          <w:bCs/>
          <w:lang w:bidi="he-IL"/>
        </w:rPr>
        <w:t>to return a lost object to him; for that is a greater novelty</w:t>
      </w:r>
      <w:r>
        <w:rPr>
          <w:lang w:bidi="he-IL"/>
        </w:rPr>
        <w:t xml:space="preserve"> </w:t>
      </w:r>
      <w:r w:rsidRPr="005D2B26">
        <w:rPr>
          <w:sz w:val="24"/>
          <w:szCs w:val="24"/>
          <w:lang w:bidi="he-IL"/>
        </w:rPr>
        <w:t xml:space="preserve">than </w:t>
      </w:r>
      <w:r w:rsidRPr="005D2B26">
        <w:rPr>
          <w:rFonts w:hint="cs"/>
          <w:sz w:val="24"/>
          <w:szCs w:val="24"/>
          <w:rtl/>
          <w:lang w:bidi="he-IL"/>
        </w:rPr>
        <w:t>להחיותו</w:t>
      </w:r>
      <w:r w:rsidRPr="005D2B26">
        <w:rPr>
          <w:b/>
          <w:bCs/>
          <w:sz w:val="24"/>
          <w:szCs w:val="24"/>
          <w:lang w:bidi="he-IL"/>
        </w:rPr>
        <w:t xml:space="preserve"> –</w:t>
      </w:r>
    </w:p>
    <w:p w:rsidR="001E5E26" w:rsidRPr="00D165F7" w:rsidRDefault="0074350E" w:rsidP="00D165F7">
      <w:pPr>
        <w:bidi/>
        <w:spacing w:line="276" w:lineRule="auto"/>
        <w:jc w:val="both"/>
        <w:rPr>
          <w:rFonts w:ascii="David" w:hAnsi="David" w:cs="David"/>
          <w:b/>
          <w:bCs/>
          <w:rtl/>
          <w:lang w:bidi="he-IL"/>
        </w:rPr>
      </w:pPr>
      <w:r w:rsidRPr="00D165F7">
        <w:rPr>
          <w:rFonts w:ascii="David" w:hAnsi="David" w:cs="David"/>
          <w:b/>
          <w:bCs/>
          <w:rtl/>
          <w:lang w:bidi="he-IL"/>
        </w:rPr>
        <w:t>דאיסור גדול הוא משום</w:t>
      </w:r>
      <w:r w:rsidRPr="00D165F7">
        <w:rPr>
          <w:rStyle w:val="FootnoteReference"/>
          <w:rFonts w:ascii="David" w:hAnsi="David" w:cs="David"/>
          <w:b/>
          <w:bCs/>
          <w:rtl/>
          <w:lang w:bidi="he-IL"/>
        </w:rPr>
        <w:footnoteReference w:id="1"/>
      </w:r>
      <w:r w:rsidRPr="00D165F7">
        <w:rPr>
          <w:rFonts w:ascii="David" w:hAnsi="David" w:cs="David"/>
          <w:b/>
          <w:bCs/>
          <w:rtl/>
          <w:lang w:bidi="he-IL"/>
        </w:rPr>
        <w:t xml:space="preserve"> למען</w:t>
      </w:r>
      <w:r w:rsidR="00D165F7" w:rsidRPr="00D165F7">
        <w:rPr>
          <w:rStyle w:val="FootnoteReference"/>
          <w:rFonts w:ascii="David" w:hAnsi="David" w:cs="David"/>
          <w:b/>
          <w:bCs/>
          <w:rtl/>
          <w:lang w:bidi="he-IL"/>
        </w:rPr>
        <w:footnoteReference w:id="2"/>
      </w:r>
      <w:r w:rsidRPr="00D165F7">
        <w:rPr>
          <w:rFonts w:ascii="David" w:hAnsi="David" w:cs="David"/>
          <w:b/>
          <w:bCs/>
          <w:rtl/>
          <w:lang w:bidi="he-IL"/>
        </w:rPr>
        <w:t xml:space="preserve"> ספות הרוה וגומר</w:t>
      </w:r>
      <w:r w:rsidR="00D165F7" w:rsidRPr="00D165F7">
        <w:rPr>
          <w:rStyle w:val="FootnoteReference"/>
          <w:rFonts w:ascii="David" w:hAnsi="David" w:cs="David"/>
          <w:b/>
          <w:bCs/>
          <w:lang w:bidi="he-IL"/>
        </w:rPr>
        <w:footnoteReference w:id="3"/>
      </w:r>
      <w:r w:rsidRPr="00D165F7">
        <w:rPr>
          <w:rFonts w:ascii="David" w:hAnsi="David" w:cs="David"/>
          <w:b/>
          <w:bCs/>
          <w:rtl/>
          <w:lang w:bidi="he-IL"/>
        </w:rPr>
        <w:t xml:space="preserve"> </w:t>
      </w:r>
      <w:r w:rsidR="00D165F7" w:rsidRPr="00D165F7">
        <w:rPr>
          <w:rFonts w:ascii="David" w:hAnsi="David" w:cs="David"/>
          <w:b/>
          <w:bCs/>
          <w:lang w:bidi="he-IL"/>
        </w:rPr>
        <w:t>-</w:t>
      </w:r>
    </w:p>
    <w:p w:rsidR="0074350E" w:rsidRDefault="0074350E" w:rsidP="00D165F7">
      <w:pPr>
        <w:spacing w:line="276" w:lineRule="auto"/>
        <w:jc w:val="both"/>
        <w:rPr>
          <w:lang w:bidi="he-IL"/>
        </w:rPr>
      </w:pPr>
      <w:r>
        <w:rPr>
          <w:b/>
          <w:bCs/>
          <w:lang w:bidi="he-IL"/>
        </w:rPr>
        <w:t>For there is a s</w:t>
      </w:r>
      <w:r w:rsidR="00BE22C0">
        <w:rPr>
          <w:b/>
          <w:bCs/>
          <w:lang w:bidi="he-IL"/>
        </w:rPr>
        <w:t>evere</w:t>
      </w:r>
      <w:r>
        <w:rPr>
          <w:b/>
          <w:bCs/>
          <w:lang w:bidi="he-IL"/>
        </w:rPr>
        <w:t xml:space="preserve"> prohibition </w:t>
      </w:r>
      <w:r>
        <w:rPr>
          <w:lang w:bidi="he-IL"/>
        </w:rPr>
        <w:t xml:space="preserve">to return an </w:t>
      </w:r>
      <w:r>
        <w:rPr>
          <w:rFonts w:hint="cs"/>
          <w:rtl/>
          <w:lang w:bidi="he-IL"/>
        </w:rPr>
        <w:t>אבידה</w:t>
      </w:r>
      <w:r>
        <w:rPr>
          <w:lang w:bidi="he-IL"/>
        </w:rPr>
        <w:t xml:space="preserve"> to an </w:t>
      </w:r>
      <w:r>
        <w:rPr>
          <w:rFonts w:hint="cs"/>
          <w:rtl/>
          <w:lang w:bidi="he-IL"/>
        </w:rPr>
        <w:t>עכו"ם</w:t>
      </w:r>
      <w:r>
        <w:rPr>
          <w:lang w:bidi="he-IL"/>
        </w:rPr>
        <w:t xml:space="preserve">; </w:t>
      </w:r>
      <w:r>
        <w:rPr>
          <w:b/>
          <w:bCs/>
          <w:lang w:bidi="he-IL"/>
        </w:rPr>
        <w:t xml:space="preserve">for </w:t>
      </w:r>
      <w:r>
        <w:rPr>
          <w:lang w:bidi="he-IL"/>
        </w:rPr>
        <w:t xml:space="preserve">one transgresses the </w:t>
      </w:r>
      <w:r>
        <w:rPr>
          <w:rFonts w:hint="cs"/>
          <w:rtl/>
          <w:lang w:bidi="he-IL"/>
        </w:rPr>
        <w:t>פסוק</w:t>
      </w:r>
      <w:r>
        <w:rPr>
          <w:lang w:bidi="he-IL"/>
        </w:rPr>
        <w:t xml:space="preserve"> which declares ‘</w:t>
      </w:r>
      <w:r>
        <w:rPr>
          <w:b/>
          <w:bCs/>
          <w:lang w:bidi="he-IL"/>
        </w:rPr>
        <w:t>in order to increase the satiated, etc.’</w:t>
      </w:r>
      <w:r>
        <w:rPr>
          <w:lang w:bidi="he-IL"/>
        </w:rPr>
        <w:t xml:space="preserve"> </w:t>
      </w:r>
    </w:p>
    <w:p w:rsidR="0001493B" w:rsidRPr="00D165F7" w:rsidRDefault="0001493B" w:rsidP="00D165F7">
      <w:pPr>
        <w:bidi/>
        <w:spacing w:line="276" w:lineRule="auto"/>
        <w:jc w:val="both"/>
        <w:rPr>
          <w:rFonts w:ascii="David" w:hAnsi="David" w:cs="David"/>
          <w:b/>
          <w:bCs/>
          <w:rtl/>
          <w:lang w:bidi="he-IL"/>
        </w:rPr>
      </w:pPr>
      <w:r w:rsidRPr="00D165F7">
        <w:rPr>
          <w:rFonts w:ascii="David" w:hAnsi="David" w:cs="David"/>
          <w:b/>
          <w:bCs/>
          <w:rtl/>
          <w:lang w:bidi="he-IL"/>
        </w:rPr>
        <w:t>אבל להחיותו לא הוי רבותא כל כך דהא מפרנסין עניי עובדי כוכבים עם עניי ישראל</w:t>
      </w:r>
      <w:r w:rsidR="005A5AC4" w:rsidRPr="00D165F7">
        <w:rPr>
          <w:rStyle w:val="FootnoteReference"/>
          <w:rFonts w:ascii="David" w:hAnsi="David" w:cs="David"/>
          <w:b/>
          <w:bCs/>
          <w:rtl/>
          <w:lang w:bidi="he-IL"/>
        </w:rPr>
        <w:footnoteReference w:id="4"/>
      </w:r>
      <w:r w:rsidRPr="00D165F7">
        <w:rPr>
          <w:rFonts w:ascii="David" w:hAnsi="David" w:cs="David"/>
          <w:b/>
          <w:bCs/>
          <w:rtl/>
          <w:lang w:bidi="he-IL"/>
        </w:rPr>
        <w:t xml:space="preserve"> </w:t>
      </w:r>
      <w:r w:rsidR="00D165F7">
        <w:rPr>
          <w:rFonts w:ascii="David" w:hAnsi="David" w:cs="David" w:hint="cs"/>
          <w:b/>
          <w:bCs/>
          <w:rtl/>
          <w:lang w:bidi="he-IL"/>
        </w:rPr>
        <w:t>-</w:t>
      </w:r>
    </w:p>
    <w:p w:rsidR="0001493B" w:rsidRPr="00E46012" w:rsidRDefault="0001493B" w:rsidP="00231CBB">
      <w:pPr>
        <w:spacing w:line="276" w:lineRule="auto"/>
        <w:jc w:val="both"/>
        <w:rPr>
          <w:sz w:val="24"/>
          <w:szCs w:val="24"/>
          <w:lang w:bidi="he-IL"/>
        </w:rPr>
      </w:pPr>
      <w:r>
        <w:rPr>
          <w:b/>
          <w:bCs/>
          <w:lang w:bidi="he-IL"/>
        </w:rPr>
        <w:t xml:space="preserve">However </w:t>
      </w:r>
      <w:r>
        <w:rPr>
          <w:lang w:bidi="he-IL"/>
        </w:rPr>
        <w:t xml:space="preserve">the obligation </w:t>
      </w:r>
      <w:r>
        <w:rPr>
          <w:rFonts w:hint="cs"/>
          <w:b/>
          <w:bCs/>
          <w:rtl/>
          <w:lang w:bidi="he-IL"/>
        </w:rPr>
        <w:t>להחיותו</w:t>
      </w:r>
      <w:r>
        <w:rPr>
          <w:b/>
          <w:bCs/>
          <w:lang w:bidi="he-IL"/>
        </w:rPr>
        <w:t xml:space="preserve"> is no so much of a novelty; for we sustain the gentile poor together with the Jewish poor.</w:t>
      </w:r>
      <w:r w:rsidR="005D2B26">
        <w:rPr>
          <w:lang w:bidi="he-IL"/>
        </w:rPr>
        <w:t xml:space="preserve"> </w:t>
      </w:r>
      <w:r w:rsidR="005D2B26" w:rsidRPr="00E46012">
        <w:rPr>
          <w:sz w:val="24"/>
          <w:szCs w:val="24"/>
          <w:lang w:bidi="he-IL"/>
        </w:rPr>
        <w:t xml:space="preserve">The </w:t>
      </w:r>
      <w:r w:rsidR="005D2B26" w:rsidRPr="00E46012">
        <w:rPr>
          <w:rFonts w:hint="cs"/>
          <w:sz w:val="24"/>
          <w:szCs w:val="24"/>
          <w:rtl/>
          <w:lang w:bidi="he-IL"/>
        </w:rPr>
        <w:t>גמרא</w:t>
      </w:r>
      <w:r w:rsidR="005D2B26" w:rsidRPr="00E46012">
        <w:rPr>
          <w:sz w:val="24"/>
          <w:szCs w:val="24"/>
          <w:lang w:bidi="he-IL"/>
        </w:rPr>
        <w:t xml:space="preserve"> teaches us that we are permitted to return an </w:t>
      </w:r>
      <w:r w:rsidR="005D2B26" w:rsidRPr="00E46012">
        <w:rPr>
          <w:rFonts w:hint="cs"/>
          <w:sz w:val="24"/>
          <w:szCs w:val="24"/>
          <w:rtl/>
          <w:lang w:bidi="he-IL"/>
        </w:rPr>
        <w:t>אבידה</w:t>
      </w:r>
      <w:r w:rsidR="005D2B26" w:rsidRPr="00E46012">
        <w:rPr>
          <w:sz w:val="24"/>
          <w:szCs w:val="24"/>
          <w:lang w:bidi="he-IL"/>
        </w:rPr>
        <w:t xml:space="preserve"> to this </w:t>
      </w:r>
      <w:r w:rsidR="00231CBB">
        <w:rPr>
          <w:sz w:val="24"/>
          <w:szCs w:val="24"/>
          <w:lang w:bidi="he-IL"/>
        </w:rPr>
        <w:t>person</w:t>
      </w:r>
      <w:r w:rsidR="005D2B26" w:rsidRPr="00E46012">
        <w:rPr>
          <w:sz w:val="24"/>
          <w:szCs w:val="24"/>
          <w:lang w:bidi="he-IL"/>
        </w:rPr>
        <w:t xml:space="preserve">, even though there is a possibility that he is a gentile; in which case it would be a grave transgression to return the </w:t>
      </w:r>
      <w:r w:rsidR="005D2B26" w:rsidRPr="00E46012">
        <w:rPr>
          <w:rFonts w:hint="cs"/>
          <w:sz w:val="24"/>
          <w:szCs w:val="24"/>
          <w:rtl/>
          <w:lang w:bidi="he-IL"/>
        </w:rPr>
        <w:t>אבידה</w:t>
      </w:r>
      <w:r w:rsidR="005D2B26" w:rsidRPr="00E46012">
        <w:rPr>
          <w:sz w:val="24"/>
          <w:szCs w:val="24"/>
          <w:lang w:bidi="he-IL"/>
        </w:rPr>
        <w:t xml:space="preserve"> to him; nevertheless we follow the </w:t>
      </w:r>
      <w:r w:rsidR="005D2B26" w:rsidRPr="00E46012">
        <w:rPr>
          <w:rFonts w:hint="cs"/>
          <w:sz w:val="24"/>
          <w:szCs w:val="24"/>
          <w:rtl/>
          <w:lang w:bidi="he-IL"/>
        </w:rPr>
        <w:t>רוב</w:t>
      </w:r>
      <w:r w:rsidR="005D2B26" w:rsidRPr="00E46012">
        <w:rPr>
          <w:sz w:val="24"/>
          <w:szCs w:val="24"/>
          <w:lang w:bidi="he-IL"/>
        </w:rPr>
        <w:t xml:space="preserve"> and return the </w:t>
      </w:r>
      <w:r w:rsidR="005D2B26" w:rsidRPr="00E46012">
        <w:rPr>
          <w:rFonts w:hint="cs"/>
          <w:sz w:val="24"/>
          <w:szCs w:val="24"/>
          <w:rtl/>
          <w:lang w:bidi="he-IL"/>
        </w:rPr>
        <w:t>אבידה</w:t>
      </w:r>
      <w:r w:rsidR="005D2B26" w:rsidRPr="00E46012">
        <w:rPr>
          <w:sz w:val="24"/>
          <w:szCs w:val="24"/>
          <w:lang w:bidi="he-IL"/>
        </w:rPr>
        <w:t>. It follows that we are certainly required to sustain him; for even if he is a gentile, nothing untoward occurred; for it is permissible to support the gentile poor together with the Jewish poor.</w:t>
      </w:r>
    </w:p>
    <w:p w:rsidR="00253477" w:rsidRPr="00E46012" w:rsidRDefault="00253477" w:rsidP="00D165F7">
      <w:pPr>
        <w:spacing w:line="276" w:lineRule="auto"/>
        <w:jc w:val="both"/>
        <w:rPr>
          <w:b/>
          <w:bCs/>
          <w:sz w:val="24"/>
          <w:szCs w:val="24"/>
          <w:lang w:bidi="he-IL"/>
        </w:rPr>
      </w:pPr>
    </w:p>
    <w:p w:rsidR="00253477" w:rsidRPr="00E46012" w:rsidRDefault="00253477" w:rsidP="00D165F7">
      <w:pPr>
        <w:spacing w:line="276" w:lineRule="auto"/>
        <w:jc w:val="both"/>
        <w:rPr>
          <w:sz w:val="24"/>
          <w:szCs w:val="24"/>
          <w:lang w:bidi="he-IL"/>
        </w:rPr>
      </w:pPr>
      <w:r w:rsidRPr="00E46012">
        <w:rPr>
          <w:rFonts w:hint="cs"/>
          <w:sz w:val="24"/>
          <w:szCs w:val="24"/>
          <w:rtl/>
          <w:lang w:bidi="he-IL"/>
        </w:rPr>
        <w:t>תוספות</w:t>
      </w:r>
      <w:r w:rsidRPr="00E46012">
        <w:rPr>
          <w:sz w:val="24"/>
          <w:szCs w:val="24"/>
          <w:lang w:bidi="he-IL"/>
        </w:rPr>
        <w:t xml:space="preserve"> anticipates a difficulty with the ruling that if there is a </w:t>
      </w:r>
      <w:r w:rsidRPr="00E46012">
        <w:rPr>
          <w:rFonts w:hint="cs"/>
          <w:sz w:val="24"/>
          <w:szCs w:val="24"/>
          <w:rtl/>
          <w:lang w:bidi="he-IL"/>
        </w:rPr>
        <w:t>רוב ישראל</w:t>
      </w:r>
      <w:r w:rsidRPr="00E46012">
        <w:rPr>
          <w:sz w:val="24"/>
          <w:szCs w:val="24"/>
          <w:lang w:bidi="he-IL"/>
        </w:rPr>
        <w:t xml:space="preserve"> then we return an </w:t>
      </w:r>
      <w:r w:rsidRPr="00E46012">
        <w:rPr>
          <w:rFonts w:hint="cs"/>
          <w:sz w:val="24"/>
          <w:szCs w:val="24"/>
          <w:rtl/>
          <w:lang w:bidi="he-IL"/>
        </w:rPr>
        <w:t>אבידה</w:t>
      </w:r>
      <w:r w:rsidRPr="00E46012">
        <w:rPr>
          <w:sz w:val="24"/>
          <w:szCs w:val="24"/>
          <w:lang w:bidi="he-IL"/>
        </w:rPr>
        <w:t xml:space="preserve"> to this child on account of the </w:t>
      </w:r>
      <w:r w:rsidRPr="00E46012">
        <w:rPr>
          <w:rFonts w:hint="cs"/>
          <w:sz w:val="24"/>
          <w:szCs w:val="24"/>
          <w:rtl/>
          <w:lang w:bidi="he-IL"/>
        </w:rPr>
        <w:t>רוב</w:t>
      </w:r>
      <w:r w:rsidRPr="00E46012">
        <w:rPr>
          <w:sz w:val="24"/>
          <w:szCs w:val="24"/>
          <w:lang w:bidi="he-IL"/>
        </w:rPr>
        <w:t>:</w:t>
      </w:r>
    </w:p>
    <w:p w:rsidR="00253477" w:rsidRPr="000B55ED" w:rsidRDefault="00253477" w:rsidP="000B55ED">
      <w:pPr>
        <w:widowControl w:val="0"/>
        <w:bidi/>
        <w:spacing w:line="276" w:lineRule="auto"/>
        <w:jc w:val="both"/>
        <w:rPr>
          <w:rFonts w:ascii="David" w:hAnsi="David" w:cs="David"/>
          <w:b/>
          <w:bCs/>
          <w:rtl/>
          <w:lang w:bidi="he-IL"/>
        </w:rPr>
      </w:pPr>
      <w:r w:rsidRPr="000B55ED">
        <w:rPr>
          <w:rFonts w:ascii="David" w:hAnsi="David" w:cs="David"/>
          <w:b/>
          <w:bCs/>
          <w:rtl/>
          <w:lang w:bidi="he-IL"/>
        </w:rPr>
        <w:t xml:space="preserve">ואפילו לשמואל דאמר אין הולכין בממון אחר הרוב </w:t>
      </w:r>
      <w:r w:rsidR="000B55ED">
        <w:rPr>
          <w:rFonts w:ascii="David" w:hAnsi="David" w:cs="David" w:hint="cs"/>
          <w:b/>
          <w:bCs/>
          <w:rtl/>
          <w:lang w:bidi="he-IL"/>
        </w:rPr>
        <w:t>-</w:t>
      </w:r>
    </w:p>
    <w:p w:rsidR="00253477" w:rsidRPr="00E46012" w:rsidRDefault="00253477" w:rsidP="00231CBB">
      <w:pPr>
        <w:widowControl w:val="0"/>
        <w:spacing w:line="276" w:lineRule="auto"/>
        <w:jc w:val="both"/>
        <w:rPr>
          <w:sz w:val="24"/>
          <w:szCs w:val="24"/>
          <w:lang w:bidi="he-IL"/>
        </w:rPr>
      </w:pPr>
      <w:r>
        <w:rPr>
          <w:b/>
          <w:bCs/>
          <w:lang w:bidi="he-IL"/>
        </w:rPr>
        <w:t xml:space="preserve">And even according to </w:t>
      </w:r>
      <w:r>
        <w:rPr>
          <w:rFonts w:hint="cs"/>
          <w:b/>
          <w:bCs/>
          <w:rtl/>
          <w:lang w:bidi="he-IL"/>
        </w:rPr>
        <w:t>שמואל</w:t>
      </w:r>
      <w:r>
        <w:rPr>
          <w:b/>
          <w:bCs/>
          <w:lang w:bidi="he-IL"/>
        </w:rPr>
        <w:t xml:space="preserve">, who maintains that in monetary </w:t>
      </w:r>
      <w:r>
        <w:rPr>
          <w:lang w:bidi="he-IL"/>
        </w:rPr>
        <w:t xml:space="preserve">matters, we </w:t>
      </w:r>
      <w:r>
        <w:rPr>
          <w:b/>
          <w:bCs/>
          <w:lang w:bidi="he-IL"/>
        </w:rPr>
        <w:t>do not follow the majority</w:t>
      </w:r>
      <w:r>
        <w:rPr>
          <w:lang w:bidi="he-IL"/>
        </w:rPr>
        <w:t xml:space="preserve">; </w:t>
      </w:r>
      <w:r w:rsidRPr="00E46012">
        <w:rPr>
          <w:sz w:val="24"/>
          <w:szCs w:val="24"/>
          <w:lang w:bidi="he-IL"/>
        </w:rPr>
        <w:t xml:space="preserve">therefore even if there is a </w:t>
      </w:r>
      <w:r w:rsidRPr="00E46012">
        <w:rPr>
          <w:rFonts w:hint="cs"/>
          <w:sz w:val="24"/>
          <w:szCs w:val="24"/>
          <w:rtl/>
          <w:lang w:bidi="he-IL"/>
        </w:rPr>
        <w:t>רוב ישראל</w:t>
      </w:r>
      <w:r w:rsidRPr="00E46012">
        <w:rPr>
          <w:sz w:val="24"/>
          <w:szCs w:val="24"/>
          <w:lang w:bidi="he-IL"/>
        </w:rPr>
        <w:t xml:space="preserve">, we should seemingly not </w:t>
      </w:r>
      <w:r w:rsidRPr="00E46012">
        <w:rPr>
          <w:sz w:val="24"/>
          <w:szCs w:val="24"/>
          <w:lang w:bidi="he-IL"/>
        </w:rPr>
        <w:lastRenderedPageBreak/>
        <w:t xml:space="preserve">return this </w:t>
      </w:r>
      <w:r w:rsidR="00231CBB">
        <w:rPr>
          <w:sz w:val="24"/>
          <w:szCs w:val="24"/>
          <w:lang w:bidi="he-IL"/>
        </w:rPr>
        <w:t>person</w:t>
      </w:r>
      <w:r w:rsidRPr="00E46012">
        <w:rPr>
          <w:sz w:val="24"/>
          <w:szCs w:val="24"/>
          <w:lang w:bidi="he-IL"/>
        </w:rPr>
        <w:t xml:space="preserve">’s </w:t>
      </w:r>
      <w:r w:rsidRPr="00E46012">
        <w:rPr>
          <w:rFonts w:hint="cs"/>
          <w:sz w:val="24"/>
          <w:szCs w:val="24"/>
          <w:rtl/>
          <w:lang w:bidi="he-IL"/>
        </w:rPr>
        <w:t>אבידה</w:t>
      </w:r>
      <w:r w:rsidRPr="00E46012">
        <w:rPr>
          <w:sz w:val="24"/>
          <w:szCs w:val="24"/>
          <w:lang w:bidi="he-IL"/>
        </w:rPr>
        <w:t xml:space="preserve">, nevertheless </w:t>
      </w:r>
      <w:r w:rsidRPr="00E46012">
        <w:rPr>
          <w:rFonts w:hint="cs"/>
          <w:sz w:val="24"/>
          <w:szCs w:val="24"/>
          <w:rtl/>
          <w:lang w:bidi="he-IL"/>
        </w:rPr>
        <w:t>שמואל</w:t>
      </w:r>
      <w:r w:rsidRPr="00E46012">
        <w:rPr>
          <w:sz w:val="24"/>
          <w:szCs w:val="24"/>
          <w:lang w:bidi="he-IL"/>
        </w:rPr>
        <w:t xml:space="preserve"> will agree to this ruling.</w:t>
      </w:r>
      <w:r w:rsidRPr="00E46012">
        <w:rPr>
          <w:b/>
          <w:bCs/>
          <w:sz w:val="24"/>
          <w:szCs w:val="24"/>
          <w:lang w:bidi="he-IL"/>
        </w:rPr>
        <w:t xml:space="preserve"> </w:t>
      </w:r>
      <w:r w:rsidRPr="00E46012">
        <w:rPr>
          <w:rFonts w:hint="cs"/>
          <w:sz w:val="24"/>
          <w:szCs w:val="24"/>
          <w:rtl/>
          <w:lang w:bidi="he-IL"/>
        </w:rPr>
        <w:t>תוספות</w:t>
      </w:r>
      <w:r w:rsidRPr="00E46012">
        <w:rPr>
          <w:sz w:val="24"/>
          <w:szCs w:val="24"/>
          <w:lang w:bidi="he-IL"/>
        </w:rPr>
        <w:t xml:space="preserve"> will differentiate </w:t>
      </w:r>
      <w:r w:rsidRPr="00E24ECE">
        <w:rPr>
          <w:spacing w:val="-2"/>
          <w:sz w:val="24"/>
          <w:szCs w:val="24"/>
          <w:lang w:bidi="he-IL"/>
        </w:rPr>
        <w:t xml:space="preserve">between the ruling here and the ruling of </w:t>
      </w:r>
      <w:r w:rsidRPr="00E24ECE">
        <w:rPr>
          <w:rFonts w:hint="cs"/>
          <w:spacing w:val="-2"/>
          <w:sz w:val="24"/>
          <w:szCs w:val="24"/>
          <w:rtl/>
          <w:lang w:bidi="he-IL"/>
        </w:rPr>
        <w:t>שמואל</w:t>
      </w:r>
      <w:r w:rsidRPr="00E24ECE">
        <w:rPr>
          <w:spacing w:val="-2"/>
          <w:sz w:val="24"/>
          <w:szCs w:val="24"/>
          <w:lang w:bidi="he-IL"/>
        </w:rPr>
        <w:t xml:space="preserve">. The ruling of </w:t>
      </w:r>
      <w:r w:rsidRPr="00E24ECE">
        <w:rPr>
          <w:rFonts w:hint="cs"/>
          <w:spacing w:val="-2"/>
          <w:sz w:val="24"/>
          <w:szCs w:val="24"/>
          <w:rtl/>
          <w:lang w:bidi="he-IL"/>
        </w:rPr>
        <w:t>שמואל</w:t>
      </w:r>
      <w:r w:rsidRPr="00E24ECE">
        <w:rPr>
          <w:spacing w:val="-2"/>
          <w:sz w:val="24"/>
          <w:szCs w:val="24"/>
          <w:lang w:bidi="he-IL"/>
        </w:rPr>
        <w:t xml:space="preserve"> that </w:t>
      </w:r>
      <w:r w:rsidRPr="00E24ECE">
        <w:rPr>
          <w:rFonts w:hint="cs"/>
          <w:spacing w:val="-2"/>
          <w:sz w:val="24"/>
          <w:szCs w:val="24"/>
          <w:rtl/>
          <w:lang w:bidi="he-IL"/>
        </w:rPr>
        <w:t>אין הולכין בממון אחר הרוב</w:t>
      </w:r>
      <w:r w:rsidRPr="00E24ECE">
        <w:rPr>
          <w:spacing w:val="-2"/>
          <w:sz w:val="24"/>
          <w:szCs w:val="24"/>
          <w:lang w:bidi="he-IL"/>
        </w:rPr>
        <w:t xml:space="preserve"> –</w:t>
      </w:r>
    </w:p>
    <w:p w:rsidR="00844D0C" w:rsidRPr="000B55ED" w:rsidRDefault="00253477" w:rsidP="00D165F7">
      <w:pPr>
        <w:bidi/>
        <w:spacing w:line="276" w:lineRule="auto"/>
        <w:jc w:val="both"/>
        <w:rPr>
          <w:rFonts w:ascii="David" w:hAnsi="David" w:cs="David"/>
          <w:b/>
          <w:bCs/>
          <w:rtl/>
          <w:lang w:bidi="he-IL"/>
        </w:rPr>
      </w:pPr>
      <w:r w:rsidRPr="000B55ED">
        <w:rPr>
          <w:rFonts w:ascii="David" w:hAnsi="David" w:cs="David"/>
          <w:b/>
          <w:bCs/>
          <w:rtl/>
          <w:lang w:bidi="he-IL"/>
        </w:rPr>
        <w:t xml:space="preserve">היינו במוכר שור לחבירו ונמצא נגחן </w:t>
      </w:r>
      <w:r w:rsidR="000B55ED">
        <w:rPr>
          <w:rFonts w:ascii="David" w:hAnsi="David" w:cs="David" w:hint="cs"/>
          <w:b/>
          <w:bCs/>
          <w:rtl/>
          <w:lang w:bidi="he-IL"/>
        </w:rPr>
        <w:t>-</w:t>
      </w:r>
    </w:p>
    <w:p w:rsidR="00844D0C" w:rsidRPr="00E46012" w:rsidRDefault="00844D0C" w:rsidP="00D165F7">
      <w:pPr>
        <w:spacing w:line="276" w:lineRule="auto"/>
        <w:jc w:val="both"/>
        <w:rPr>
          <w:sz w:val="24"/>
          <w:szCs w:val="24"/>
          <w:lang w:bidi="he-IL"/>
        </w:rPr>
      </w:pPr>
      <w:r>
        <w:rPr>
          <w:b/>
          <w:bCs/>
          <w:lang w:bidi="he-IL"/>
        </w:rPr>
        <w:t xml:space="preserve">That is in the case where one sold an ox to his friend and it turned out to be a goring </w:t>
      </w:r>
      <w:r w:rsidRPr="00E46012">
        <w:rPr>
          <w:sz w:val="24"/>
          <w:szCs w:val="24"/>
          <w:lang w:bidi="he-IL"/>
        </w:rPr>
        <w:t xml:space="preserve">ox. </w:t>
      </w:r>
      <w:r w:rsidRPr="00E46012">
        <w:rPr>
          <w:rFonts w:hint="cs"/>
          <w:sz w:val="24"/>
          <w:szCs w:val="24"/>
          <w:rtl/>
          <w:lang w:bidi="he-IL"/>
        </w:rPr>
        <w:t>שמואל</w:t>
      </w:r>
      <w:r w:rsidRPr="00E46012">
        <w:rPr>
          <w:sz w:val="24"/>
          <w:szCs w:val="24"/>
          <w:lang w:bidi="he-IL"/>
        </w:rPr>
        <w:t xml:space="preserve"> rules that even if the majority purchase oxen for plowing (for which this goring ox is unfit) nevertheless the seller can claim ‘I sold it to you for slaughtering’ (since the buyer did not specify that he is purchasing it for plowing) and it is a valid sale. We do not say that since the majority purchase for plowing it is a </w:t>
      </w:r>
      <w:r w:rsidRPr="00E46012">
        <w:rPr>
          <w:rFonts w:hint="cs"/>
          <w:sz w:val="24"/>
          <w:szCs w:val="24"/>
          <w:rtl/>
          <w:lang w:bidi="he-IL"/>
        </w:rPr>
        <w:t>מקח טעות</w:t>
      </w:r>
      <w:r w:rsidRPr="00E46012">
        <w:rPr>
          <w:sz w:val="24"/>
          <w:szCs w:val="24"/>
          <w:lang w:bidi="he-IL"/>
        </w:rPr>
        <w:t>. The reason why there we do not follow the majority is -</w:t>
      </w:r>
    </w:p>
    <w:p w:rsidR="00253477" w:rsidRPr="000B55ED" w:rsidRDefault="00253477" w:rsidP="000B55ED">
      <w:pPr>
        <w:bidi/>
        <w:spacing w:line="276" w:lineRule="auto"/>
        <w:jc w:val="both"/>
        <w:rPr>
          <w:rFonts w:ascii="David" w:hAnsi="David" w:cs="David"/>
          <w:b/>
          <w:bCs/>
          <w:rtl/>
          <w:lang w:bidi="he-IL"/>
        </w:rPr>
      </w:pPr>
      <w:r w:rsidRPr="000B55ED">
        <w:rPr>
          <w:rFonts w:ascii="David" w:hAnsi="David" w:cs="David"/>
          <w:b/>
          <w:bCs/>
          <w:rtl/>
          <w:lang w:bidi="he-IL"/>
        </w:rPr>
        <w:t xml:space="preserve">שבהיתר באו המעות לידו ומדעתו נתנם לו הלוקח </w:t>
      </w:r>
      <w:r w:rsidR="000B55ED">
        <w:rPr>
          <w:rFonts w:ascii="David" w:hAnsi="David" w:cs="David" w:hint="cs"/>
          <w:b/>
          <w:bCs/>
          <w:rtl/>
          <w:lang w:bidi="he-IL"/>
        </w:rPr>
        <w:t>-</w:t>
      </w:r>
    </w:p>
    <w:p w:rsidR="00253477" w:rsidRDefault="00844D0C" w:rsidP="00D165F7">
      <w:pPr>
        <w:spacing w:line="276" w:lineRule="auto"/>
        <w:jc w:val="both"/>
        <w:rPr>
          <w:lang w:bidi="he-IL"/>
        </w:rPr>
      </w:pPr>
      <w:r>
        <w:rPr>
          <w:b/>
          <w:bCs/>
          <w:lang w:bidi="he-IL"/>
        </w:rPr>
        <w:t xml:space="preserve">For the money came into the hands of the seller legally; and the buyer gave him </w:t>
      </w:r>
      <w:r>
        <w:rPr>
          <w:lang w:bidi="he-IL"/>
        </w:rPr>
        <w:t xml:space="preserve">the money </w:t>
      </w:r>
      <w:r>
        <w:rPr>
          <w:b/>
          <w:bCs/>
          <w:lang w:bidi="he-IL"/>
        </w:rPr>
        <w:t>willingly.</w:t>
      </w:r>
      <w:r>
        <w:rPr>
          <w:lang w:bidi="he-IL"/>
        </w:rPr>
        <w:t xml:space="preserve"> </w:t>
      </w:r>
      <w:r w:rsidRPr="00E46012">
        <w:rPr>
          <w:sz w:val="24"/>
          <w:szCs w:val="24"/>
          <w:lang w:bidi="he-IL"/>
        </w:rPr>
        <w:t xml:space="preserve">Now if the buyer has regrets and wants to extract the money from the seller (who acquired it legally) he must bring evidence that he purchased it for plowing (and </w:t>
      </w:r>
      <w:r w:rsidRPr="00E24ECE">
        <w:rPr>
          <w:spacing w:val="-2"/>
          <w:sz w:val="24"/>
          <w:szCs w:val="24"/>
          <w:lang w:bidi="he-IL"/>
        </w:rPr>
        <w:t xml:space="preserve">made it known to the seller); otherwise we do not follow the </w:t>
      </w:r>
      <w:r w:rsidRPr="00E24ECE">
        <w:rPr>
          <w:rFonts w:hint="cs"/>
          <w:spacing w:val="-2"/>
          <w:sz w:val="24"/>
          <w:szCs w:val="24"/>
          <w:rtl/>
          <w:lang w:bidi="he-IL"/>
        </w:rPr>
        <w:t>רוב</w:t>
      </w:r>
      <w:r w:rsidR="00E46012" w:rsidRPr="00E24ECE">
        <w:rPr>
          <w:spacing w:val="-2"/>
          <w:sz w:val="24"/>
          <w:szCs w:val="24"/>
          <w:lang w:bidi="he-IL"/>
        </w:rPr>
        <w:t>,</w:t>
      </w:r>
      <w:r w:rsidRPr="00E24ECE">
        <w:rPr>
          <w:spacing w:val="-2"/>
          <w:sz w:val="24"/>
          <w:szCs w:val="24"/>
          <w:lang w:bidi="he-IL"/>
        </w:rPr>
        <w:t xml:space="preserve"> and the seller retains the money –</w:t>
      </w:r>
    </w:p>
    <w:p w:rsidR="00844D0C" w:rsidRPr="000B55ED" w:rsidRDefault="00844D0C" w:rsidP="00D165F7">
      <w:pPr>
        <w:bidi/>
        <w:spacing w:line="276" w:lineRule="auto"/>
        <w:jc w:val="both"/>
        <w:rPr>
          <w:rFonts w:ascii="David" w:hAnsi="David" w:cs="David"/>
          <w:b/>
          <w:bCs/>
          <w:rtl/>
          <w:lang w:bidi="he-IL"/>
        </w:rPr>
      </w:pPr>
      <w:r w:rsidRPr="000B55ED">
        <w:rPr>
          <w:rFonts w:ascii="David" w:hAnsi="David" w:cs="David"/>
          <w:b/>
          <w:bCs/>
          <w:rtl/>
          <w:lang w:bidi="he-IL"/>
        </w:rPr>
        <w:t>אבל הכא מודי דאזלינן בתר רובא</w:t>
      </w:r>
      <w:r w:rsidR="00D165F7" w:rsidRPr="000B55ED">
        <w:rPr>
          <w:rFonts w:ascii="David" w:hAnsi="David" w:cs="David"/>
          <w:b/>
          <w:bCs/>
          <w:rtl/>
          <w:lang w:bidi="he-IL"/>
        </w:rPr>
        <w:t>:</w:t>
      </w:r>
    </w:p>
    <w:p w:rsidR="00844D0C" w:rsidRDefault="00844D0C" w:rsidP="00D165F7">
      <w:pPr>
        <w:spacing w:line="276" w:lineRule="auto"/>
        <w:jc w:val="both"/>
        <w:rPr>
          <w:sz w:val="24"/>
          <w:szCs w:val="24"/>
          <w:lang w:bidi="he-IL"/>
        </w:rPr>
      </w:pPr>
      <w:r>
        <w:rPr>
          <w:b/>
          <w:bCs/>
          <w:lang w:bidi="he-IL"/>
        </w:rPr>
        <w:t xml:space="preserve">However here </w:t>
      </w:r>
      <w:r>
        <w:rPr>
          <w:lang w:bidi="he-IL"/>
        </w:rPr>
        <w:t xml:space="preserve">in our case of </w:t>
      </w:r>
      <w:r>
        <w:rPr>
          <w:rFonts w:hint="cs"/>
          <w:rtl/>
          <w:lang w:bidi="he-IL"/>
        </w:rPr>
        <w:t>השבת אבידה</w:t>
      </w:r>
      <w:r w:rsidR="00132AA1">
        <w:rPr>
          <w:lang w:bidi="he-IL"/>
        </w:rPr>
        <w:t>,</w:t>
      </w:r>
      <w:r>
        <w:rPr>
          <w:lang w:bidi="he-IL"/>
        </w:rPr>
        <w:t xml:space="preserve"> (even) </w:t>
      </w:r>
      <w:r>
        <w:rPr>
          <w:rFonts w:hint="cs"/>
          <w:rtl/>
          <w:lang w:bidi="he-IL"/>
        </w:rPr>
        <w:t>שמואל</w:t>
      </w:r>
      <w:r>
        <w:rPr>
          <w:lang w:bidi="he-IL"/>
        </w:rPr>
        <w:t xml:space="preserve"> </w:t>
      </w:r>
      <w:r>
        <w:rPr>
          <w:b/>
          <w:bCs/>
          <w:lang w:bidi="he-IL"/>
        </w:rPr>
        <w:t xml:space="preserve">admits </w:t>
      </w:r>
      <w:r w:rsidR="00132AA1">
        <w:rPr>
          <w:b/>
          <w:bCs/>
          <w:lang w:bidi="he-IL"/>
        </w:rPr>
        <w:t xml:space="preserve">that we follow the </w:t>
      </w:r>
      <w:r w:rsidR="00132AA1">
        <w:rPr>
          <w:rFonts w:hint="cs"/>
          <w:b/>
          <w:bCs/>
          <w:rtl/>
          <w:lang w:bidi="he-IL"/>
        </w:rPr>
        <w:t>רוב</w:t>
      </w:r>
      <w:r w:rsidR="00132AA1">
        <w:rPr>
          <w:b/>
          <w:bCs/>
          <w:lang w:bidi="he-IL"/>
        </w:rPr>
        <w:t xml:space="preserve">. </w:t>
      </w:r>
      <w:r w:rsidR="00132AA1" w:rsidRPr="00E46012">
        <w:rPr>
          <w:sz w:val="24"/>
          <w:szCs w:val="24"/>
          <w:lang w:bidi="he-IL"/>
        </w:rPr>
        <w:t xml:space="preserve">In our case we cannot say that the </w:t>
      </w:r>
      <w:r w:rsidR="00132AA1" w:rsidRPr="00E46012">
        <w:rPr>
          <w:rFonts w:hint="cs"/>
          <w:sz w:val="24"/>
          <w:szCs w:val="24"/>
          <w:rtl/>
          <w:lang w:bidi="he-IL"/>
        </w:rPr>
        <w:t>אבידה</w:t>
      </w:r>
      <w:r w:rsidR="00132AA1" w:rsidRPr="00E46012">
        <w:rPr>
          <w:sz w:val="24"/>
          <w:szCs w:val="24"/>
          <w:lang w:bidi="he-IL"/>
        </w:rPr>
        <w:t xml:space="preserve"> came to him </w:t>
      </w:r>
      <w:r w:rsidR="00132AA1" w:rsidRPr="00E46012">
        <w:rPr>
          <w:rFonts w:hint="cs"/>
          <w:sz w:val="24"/>
          <w:szCs w:val="24"/>
          <w:rtl/>
          <w:lang w:bidi="he-IL"/>
        </w:rPr>
        <w:t>בהיתר</w:t>
      </w:r>
      <w:r w:rsidR="00BE22C0" w:rsidRPr="00E46012">
        <w:rPr>
          <w:sz w:val="24"/>
          <w:szCs w:val="24"/>
          <w:lang w:bidi="he-IL"/>
        </w:rPr>
        <w:t>.</w:t>
      </w:r>
      <w:r w:rsidR="00BE22C0" w:rsidRPr="00E46012">
        <w:rPr>
          <w:rStyle w:val="FootnoteReference"/>
          <w:sz w:val="24"/>
          <w:szCs w:val="24"/>
          <w:rtl/>
          <w:lang w:bidi="he-IL"/>
        </w:rPr>
        <w:t xml:space="preserve"> </w:t>
      </w:r>
      <w:r w:rsidR="00BE22C0" w:rsidRPr="00E46012">
        <w:rPr>
          <w:rStyle w:val="FootnoteReference"/>
          <w:sz w:val="24"/>
          <w:szCs w:val="24"/>
          <w:rtl/>
          <w:lang w:bidi="he-IL"/>
        </w:rPr>
        <w:footnoteReference w:id="5"/>
      </w:r>
      <w:r w:rsidR="00132AA1" w:rsidRPr="00E46012">
        <w:rPr>
          <w:sz w:val="24"/>
          <w:szCs w:val="24"/>
          <w:lang w:bidi="he-IL"/>
        </w:rPr>
        <w:t xml:space="preserve"> </w:t>
      </w:r>
      <w:r w:rsidR="00BE22C0" w:rsidRPr="00E46012">
        <w:rPr>
          <w:sz w:val="24"/>
          <w:szCs w:val="24"/>
          <w:lang w:bidi="he-IL"/>
        </w:rPr>
        <w:t>W</w:t>
      </w:r>
      <w:r w:rsidR="00132AA1" w:rsidRPr="00E46012">
        <w:rPr>
          <w:sz w:val="24"/>
          <w:szCs w:val="24"/>
          <w:lang w:bidi="he-IL"/>
        </w:rPr>
        <w:t>e certainly cannot say that it was given to him willingly</w:t>
      </w:r>
      <w:r w:rsidR="00BE22C0" w:rsidRPr="00E46012">
        <w:rPr>
          <w:sz w:val="24"/>
          <w:szCs w:val="24"/>
          <w:lang w:bidi="he-IL"/>
        </w:rPr>
        <w:t>.</w:t>
      </w:r>
      <w:r w:rsidR="005A5AC4" w:rsidRPr="00E46012">
        <w:rPr>
          <w:sz w:val="24"/>
          <w:szCs w:val="24"/>
          <w:lang w:bidi="he-IL"/>
        </w:rPr>
        <w:t xml:space="preserve"> The finder is not that much of a </w:t>
      </w:r>
      <w:r w:rsidR="005A5AC4" w:rsidRPr="00E46012">
        <w:rPr>
          <w:rFonts w:hint="cs"/>
          <w:sz w:val="24"/>
          <w:szCs w:val="24"/>
          <w:rtl/>
          <w:lang w:bidi="he-IL"/>
        </w:rPr>
        <w:t>מוחזק</w:t>
      </w:r>
      <w:r w:rsidR="005A5AC4" w:rsidRPr="00E46012">
        <w:rPr>
          <w:sz w:val="24"/>
          <w:szCs w:val="24"/>
          <w:lang w:bidi="he-IL"/>
        </w:rPr>
        <w:t xml:space="preserve"> in the </w:t>
      </w:r>
      <w:r w:rsidR="005A5AC4" w:rsidRPr="00E46012">
        <w:rPr>
          <w:rFonts w:hint="cs"/>
          <w:sz w:val="24"/>
          <w:szCs w:val="24"/>
          <w:rtl/>
          <w:lang w:bidi="he-IL"/>
        </w:rPr>
        <w:t>אבידה</w:t>
      </w:r>
      <w:r w:rsidR="005A5AC4" w:rsidRPr="00E46012">
        <w:rPr>
          <w:sz w:val="24"/>
          <w:szCs w:val="24"/>
          <w:lang w:bidi="he-IL"/>
        </w:rPr>
        <w:t>,</w:t>
      </w:r>
      <w:r w:rsidR="00D165F7" w:rsidRPr="00D165F7">
        <w:rPr>
          <w:rStyle w:val="FootnoteReference"/>
          <w:sz w:val="24"/>
          <w:szCs w:val="24"/>
          <w:rtl/>
          <w:lang w:bidi="he-IL"/>
        </w:rPr>
        <w:t xml:space="preserve"> </w:t>
      </w:r>
      <w:r w:rsidR="00D165F7" w:rsidRPr="00E46012">
        <w:rPr>
          <w:rStyle w:val="FootnoteReference"/>
          <w:sz w:val="24"/>
          <w:szCs w:val="24"/>
          <w:rtl/>
          <w:lang w:bidi="he-IL"/>
        </w:rPr>
        <w:footnoteReference w:id="6"/>
      </w:r>
      <w:r w:rsidR="005A5AC4" w:rsidRPr="00E46012">
        <w:rPr>
          <w:sz w:val="24"/>
          <w:szCs w:val="24"/>
          <w:lang w:bidi="he-IL"/>
        </w:rPr>
        <w:t xml:space="preserve"> therefore we follow the </w:t>
      </w:r>
      <w:r w:rsidR="005A5AC4" w:rsidRPr="00E46012">
        <w:rPr>
          <w:rFonts w:hint="cs"/>
          <w:sz w:val="24"/>
          <w:szCs w:val="24"/>
          <w:rtl/>
          <w:lang w:bidi="he-IL"/>
        </w:rPr>
        <w:t>רוב</w:t>
      </w:r>
      <w:r w:rsidR="00BE22C0" w:rsidRPr="00E46012">
        <w:rPr>
          <w:sz w:val="24"/>
          <w:szCs w:val="24"/>
          <w:lang w:bidi="he-IL"/>
        </w:rPr>
        <w:t>.</w:t>
      </w:r>
      <w:r w:rsidR="005A5AC4" w:rsidRPr="00E46012">
        <w:rPr>
          <w:sz w:val="24"/>
          <w:szCs w:val="24"/>
          <w:lang w:bidi="he-IL"/>
        </w:rPr>
        <w:t xml:space="preserve"> </w:t>
      </w:r>
      <w:r w:rsidR="00132AA1" w:rsidRPr="00E46012">
        <w:rPr>
          <w:sz w:val="24"/>
          <w:szCs w:val="24"/>
          <w:lang w:bidi="he-IL"/>
        </w:rPr>
        <w:t xml:space="preserve"> </w:t>
      </w:r>
    </w:p>
    <w:p w:rsidR="00E46012" w:rsidRDefault="00E46012" w:rsidP="00D165F7">
      <w:pPr>
        <w:spacing w:line="276" w:lineRule="auto"/>
        <w:jc w:val="both"/>
        <w:rPr>
          <w:sz w:val="24"/>
          <w:szCs w:val="24"/>
          <w:lang w:bidi="he-IL"/>
        </w:rPr>
      </w:pPr>
    </w:p>
    <w:p w:rsidR="00E46012" w:rsidRPr="00D165F7" w:rsidRDefault="00E46012" w:rsidP="00D165F7">
      <w:pPr>
        <w:spacing w:line="276" w:lineRule="auto"/>
        <w:jc w:val="both"/>
        <w:rPr>
          <w:rFonts w:ascii="Copperplate Gothic Bold" w:hAnsi="Copperplate Gothic Bold"/>
          <w:u w:val="double"/>
          <w:lang w:bidi="he-IL"/>
        </w:rPr>
      </w:pPr>
      <w:r w:rsidRPr="00D165F7">
        <w:rPr>
          <w:rFonts w:ascii="Copperplate Gothic Bold" w:hAnsi="Copperplate Gothic Bold"/>
          <w:u w:val="double"/>
          <w:lang w:bidi="he-IL"/>
        </w:rPr>
        <w:t>Summary</w:t>
      </w:r>
    </w:p>
    <w:p w:rsidR="00E46012" w:rsidRDefault="00E46012" w:rsidP="00D165F7">
      <w:pPr>
        <w:spacing w:line="276" w:lineRule="auto"/>
        <w:jc w:val="both"/>
        <w:rPr>
          <w:lang w:bidi="he-IL"/>
        </w:rPr>
      </w:pPr>
      <w:r>
        <w:rPr>
          <w:rFonts w:hint="cs"/>
          <w:lang w:bidi="he-IL"/>
        </w:rPr>
        <w:t>T</w:t>
      </w:r>
      <w:r>
        <w:rPr>
          <w:lang w:bidi="he-IL"/>
        </w:rPr>
        <w:t xml:space="preserve">he </w:t>
      </w:r>
      <w:r>
        <w:rPr>
          <w:rFonts w:hint="cs"/>
          <w:rtl/>
          <w:lang w:bidi="he-IL"/>
        </w:rPr>
        <w:t>גמרא</w:t>
      </w:r>
      <w:r>
        <w:rPr>
          <w:lang w:bidi="he-IL"/>
        </w:rPr>
        <w:t xml:space="preserve"> prefers to interpret that the rule of </w:t>
      </w:r>
      <w:r>
        <w:rPr>
          <w:rFonts w:hint="cs"/>
          <w:rtl/>
          <w:lang w:bidi="he-IL"/>
        </w:rPr>
        <w:t>רוב ישראל ישראל</w:t>
      </w:r>
      <w:r>
        <w:rPr>
          <w:lang w:bidi="he-IL"/>
        </w:rPr>
        <w:t xml:space="preserve"> teaches that we are obligated </w:t>
      </w:r>
      <w:r>
        <w:rPr>
          <w:rFonts w:hint="cs"/>
          <w:rtl/>
          <w:lang w:bidi="he-IL"/>
        </w:rPr>
        <w:t>להחזיר לו אבידה</w:t>
      </w:r>
      <w:r>
        <w:rPr>
          <w:lang w:bidi="he-IL"/>
        </w:rPr>
        <w:t xml:space="preserve">, rather than </w:t>
      </w:r>
      <w:r>
        <w:rPr>
          <w:rFonts w:hint="cs"/>
          <w:rtl/>
          <w:lang w:bidi="he-IL"/>
        </w:rPr>
        <w:t>להחיותו</w:t>
      </w:r>
      <w:r>
        <w:rPr>
          <w:lang w:bidi="he-IL"/>
        </w:rPr>
        <w:t xml:space="preserve">. </w:t>
      </w:r>
      <w:r w:rsidR="008253EC">
        <w:rPr>
          <w:lang w:bidi="he-IL"/>
        </w:rPr>
        <w:t xml:space="preserve">On the chance that he is an </w:t>
      </w:r>
      <w:r w:rsidR="008253EC">
        <w:rPr>
          <w:rFonts w:hint="cs"/>
          <w:rtl/>
          <w:lang w:bidi="he-IL"/>
        </w:rPr>
        <w:t>עכו"ם</w:t>
      </w:r>
      <w:r w:rsidR="008253EC">
        <w:rPr>
          <w:lang w:bidi="he-IL"/>
        </w:rPr>
        <w:t xml:space="preserve"> it would be more problematic </w:t>
      </w:r>
      <w:r w:rsidR="008253EC">
        <w:rPr>
          <w:rFonts w:hint="cs"/>
          <w:rtl/>
          <w:lang w:bidi="he-IL"/>
        </w:rPr>
        <w:t>להחזיר לו אבידה</w:t>
      </w:r>
      <w:r w:rsidR="008253EC">
        <w:rPr>
          <w:lang w:bidi="he-IL"/>
        </w:rPr>
        <w:t xml:space="preserve"> than </w:t>
      </w:r>
      <w:r w:rsidR="008253EC">
        <w:rPr>
          <w:rFonts w:hint="cs"/>
          <w:rtl/>
          <w:lang w:bidi="he-IL"/>
        </w:rPr>
        <w:t>להחיותו</w:t>
      </w:r>
      <w:r w:rsidR="008253EC">
        <w:rPr>
          <w:lang w:bidi="he-IL"/>
        </w:rPr>
        <w:t>.</w:t>
      </w:r>
    </w:p>
    <w:p w:rsidR="008253EC" w:rsidRDefault="008253EC" w:rsidP="00D165F7">
      <w:pPr>
        <w:spacing w:line="276" w:lineRule="auto"/>
        <w:jc w:val="both"/>
        <w:rPr>
          <w:lang w:bidi="he-IL"/>
        </w:rPr>
      </w:pPr>
      <w:r>
        <w:rPr>
          <w:rFonts w:hint="cs"/>
          <w:rtl/>
          <w:lang w:bidi="he-IL"/>
        </w:rPr>
        <w:t>שמואל</w:t>
      </w:r>
      <w:r>
        <w:rPr>
          <w:lang w:bidi="he-IL"/>
        </w:rPr>
        <w:t xml:space="preserve"> agrees that the rule of </w:t>
      </w:r>
      <w:r>
        <w:rPr>
          <w:rFonts w:hint="cs"/>
          <w:rtl/>
          <w:lang w:bidi="he-IL"/>
        </w:rPr>
        <w:t>אין הולכין בממון אחר הרוב</w:t>
      </w:r>
      <w:r>
        <w:rPr>
          <w:lang w:bidi="he-IL"/>
        </w:rPr>
        <w:t xml:space="preserve"> applies only where the money came to him </w:t>
      </w:r>
      <w:r>
        <w:rPr>
          <w:rFonts w:hint="cs"/>
          <w:rtl/>
          <w:lang w:bidi="he-IL"/>
        </w:rPr>
        <w:t>בהיתר ובדעת הנותן</w:t>
      </w:r>
      <w:r>
        <w:rPr>
          <w:lang w:bidi="he-IL"/>
        </w:rPr>
        <w:t xml:space="preserve">; but not by </w:t>
      </w:r>
      <w:r>
        <w:rPr>
          <w:rFonts w:hint="cs"/>
          <w:rtl/>
          <w:lang w:bidi="he-IL"/>
        </w:rPr>
        <w:t>אבידה</w:t>
      </w:r>
      <w:r>
        <w:rPr>
          <w:lang w:bidi="he-IL"/>
        </w:rPr>
        <w:t>.</w:t>
      </w:r>
    </w:p>
    <w:p w:rsidR="008253EC" w:rsidRDefault="008253EC" w:rsidP="00D165F7">
      <w:pPr>
        <w:spacing w:line="276" w:lineRule="auto"/>
        <w:jc w:val="both"/>
        <w:rPr>
          <w:sz w:val="24"/>
          <w:szCs w:val="24"/>
          <w:lang w:bidi="he-IL"/>
        </w:rPr>
      </w:pPr>
    </w:p>
    <w:p w:rsidR="008253EC" w:rsidRPr="00D165F7" w:rsidRDefault="008253EC" w:rsidP="00D165F7">
      <w:pPr>
        <w:spacing w:line="276" w:lineRule="auto"/>
        <w:jc w:val="both"/>
        <w:rPr>
          <w:rFonts w:ascii="Copperplate Gothic Bold" w:hAnsi="Copperplate Gothic Bold"/>
          <w:u w:val="double"/>
          <w:lang w:bidi="he-IL"/>
        </w:rPr>
      </w:pPr>
      <w:r w:rsidRPr="00D165F7">
        <w:rPr>
          <w:rFonts w:ascii="Copperplate Gothic Bold" w:hAnsi="Copperplate Gothic Bold"/>
          <w:u w:val="double"/>
          <w:lang w:bidi="he-IL"/>
        </w:rPr>
        <w:t>Thinking it over</w:t>
      </w:r>
    </w:p>
    <w:p w:rsidR="008253EC" w:rsidRPr="008253EC" w:rsidRDefault="008253EC" w:rsidP="00D165F7">
      <w:pPr>
        <w:spacing w:line="276" w:lineRule="auto"/>
        <w:jc w:val="both"/>
        <w:rPr>
          <w:lang w:bidi="he-IL"/>
        </w:rPr>
      </w:pPr>
      <w:r>
        <w:rPr>
          <w:lang w:bidi="he-IL"/>
        </w:rPr>
        <w:t xml:space="preserve">Why does not </w:t>
      </w:r>
      <w:r>
        <w:rPr>
          <w:rFonts w:hint="cs"/>
          <w:rtl/>
          <w:lang w:bidi="he-IL"/>
        </w:rPr>
        <w:t>תוספות</w:t>
      </w:r>
      <w:r>
        <w:rPr>
          <w:lang w:bidi="he-IL"/>
        </w:rPr>
        <w:t xml:space="preserve"> explain, that the </w:t>
      </w:r>
      <w:r>
        <w:rPr>
          <w:rFonts w:hint="cs"/>
          <w:rtl/>
          <w:lang w:bidi="he-IL"/>
        </w:rPr>
        <w:t>גמרא</w:t>
      </w:r>
      <w:r>
        <w:rPr>
          <w:lang w:bidi="he-IL"/>
        </w:rPr>
        <w:t xml:space="preserve"> prefers the </w:t>
      </w:r>
      <w:r>
        <w:rPr>
          <w:rFonts w:hint="cs"/>
          <w:rtl/>
          <w:lang w:bidi="he-IL"/>
        </w:rPr>
        <w:t>חידוש</w:t>
      </w:r>
      <w:r>
        <w:rPr>
          <w:lang w:bidi="he-IL"/>
        </w:rPr>
        <w:t xml:space="preserve"> of </w:t>
      </w:r>
      <w:r>
        <w:rPr>
          <w:rFonts w:hint="cs"/>
          <w:rtl/>
          <w:lang w:bidi="he-IL"/>
        </w:rPr>
        <w:t>להחזיר לו אבידה</w:t>
      </w:r>
      <w:r>
        <w:rPr>
          <w:lang w:bidi="he-IL"/>
        </w:rPr>
        <w:t xml:space="preserve"> (over </w:t>
      </w:r>
      <w:r>
        <w:rPr>
          <w:rFonts w:hint="cs"/>
          <w:rtl/>
          <w:lang w:bidi="he-IL"/>
        </w:rPr>
        <w:t>להחיותו</w:t>
      </w:r>
      <w:r>
        <w:rPr>
          <w:lang w:bidi="he-IL"/>
        </w:rPr>
        <w:t xml:space="preserve">), since it is valid even though </w:t>
      </w:r>
      <w:r>
        <w:rPr>
          <w:rFonts w:hint="cs"/>
          <w:rtl/>
          <w:lang w:bidi="he-IL"/>
        </w:rPr>
        <w:t>אין הולכין בממון אחר הרוב</w:t>
      </w:r>
      <w:r>
        <w:rPr>
          <w:lang w:bidi="he-IL"/>
        </w:rPr>
        <w:t>?!</w:t>
      </w:r>
      <w:r w:rsidR="003D1044">
        <w:rPr>
          <w:rStyle w:val="FootnoteReference"/>
          <w:lang w:bidi="he-IL"/>
        </w:rPr>
        <w:footnoteReference w:id="7"/>
      </w:r>
      <w:r>
        <w:rPr>
          <w:lang w:bidi="he-IL"/>
        </w:rPr>
        <w:t xml:space="preserve"> </w:t>
      </w:r>
    </w:p>
    <w:sectPr w:rsidR="008253EC" w:rsidRPr="008253EC" w:rsidSect="00192CF7">
      <w:headerReference w:type="default" r:id="rId6"/>
      <w:footerReference w:type="even" r:id="rId7"/>
      <w:footerReference w:type="default" r:id="rId8"/>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A1B" w:rsidRDefault="00F40A1B">
      <w:r>
        <w:separator/>
      </w:r>
    </w:p>
  </w:endnote>
  <w:endnote w:type="continuationSeparator" w:id="0">
    <w:p w:rsidR="00F40A1B" w:rsidRDefault="00F4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A1" w:rsidRDefault="00132AA1" w:rsidP="00B838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2AA1" w:rsidRDefault="00132A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5F7" w:rsidRDefault="00D165F7">
    <w:pPr>
      <w:pStyle w:val="Footer"/>
      <w:jc w:val="center"/>
      <w:rPr>
        <w:noProof/>
        <w:sz w:val="16"/>
        <w:szCs w:val="16"/>
      </w:rPr>
    </w:pPr>
    <w:r w:rsidRPr="00D165F7">
      <w:rPr>
        <w:sz w:val="20"/>
        <w:szCs w:val="20"/>
      </w:rPr>
      <w:fldChar w:fldCharType="begin"/>
    </w:r>
    <w:r w:rsidRPr="00D165F7">
      <w:rPr>
        <w:sz w:val="20"/>
        <w:szCs w:val="20"/>
      </w:rPr>
      <w:instrText xml:space="preserve"> PAGE   \* MERGEFORMAT </w:instrText>
    </w:r>
    <w:r w:rsidRPr="00D165F7">
      <w:rPr>
        <w:sz w:val="20"/>
        <w:szCs w:val="20"/>
      </w:rPr>
      <w:fldChar w:fldCharType="separate"/>
    </w:r>
    <w:r w:rsidR="0040644A">
      <w:rPr>
        <w:noProof/>
        <w:sz w:val="20"/>
        <w:szCs w:val="20"/>
      </w:rPr>
      <w:t>2</w:t>
    </w:r>
    <w:r w:rsidRPr="00D165F7">
      <w:rPr>
        <w:noProof/>
        <w:sz w:val="20"/>
        <w:szCs w:val="20"/>
      </w:rPr>
      <w:fldChar w:fldCharType="end"/>
    </w:r>
  </w:p>
  <w:p w:rsidR="00D165F7" w:rsidRPr="00D165F7" w:rsidRDefault="00D165F7">
    <w:pPr>
      <w:pStyle w:val="Footer"/>
      <w:jc w:val="center"/>
      <w:rPr>
        <w:sz w:val="16"/>
        <w:szCs w:val="16"/>
      </w:rPr>
    </w:pPr>
    <w:r>
      <w:rPr>
        <w:noProof/>
        <w:sz w:val="16"/>
        <w:szCs w:val="16"/>
      </w:rPr>
      <w:t>TosfosInEngliish.com</w:t>
    </w:r>
  </w:p>
  <w:p w:rsidR="00132AA1" w:rsidRPr="001E5E26" w:rsidRDefault="00132AA1" w:rsidP="001E5E26">
    <w:pPr>
      <w:pStyle w:val="Footer"/>
      <w:jc w:val="center"/>
      <w:rPr>
        <w:sz w:val="16"/>
        <w:szCs w:val="16"/>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A1B" w:rsidRDefault="00F40A1B">
      <w:r>
        <w:separator/>
      </w:r>
    </w:p>
  </w:footnote>
  <w:footnote w:type="continuationSeparator" w:id="0">
    <w:p w:rsidR="00F40A1B" w:rsidRDefault="00F40A1B">
      <w:r>
        <w:continuationSeparator/>
      </w:r>
    </w:p>
  </w:footnote>
  <w:footnote w:id="1">
    <w:p w:rsidR="00132AA1" w:rsidRDefault="00132AA1" w:rsidP="00D165F7">
      <w:pPr>
        <w:pStyle w:val="FootnoteText"/>
        <w:spacing w:line="264" w:lineRule="auto"/>
        <w:rPr>
          <w:lang w:bidi="he-IL"/>
        </w:rPr>
      </w:pPr>
      <w:r>
        <w:rPr>
          <w:rStyle w:val="FootnoteReference"/>
        </w:rPr>
        <w:footnoteRef/>
      </w:r>
      <w:r>
        <w:t xml:space="preserve"> </w:t>
      </w:r>
      <w:r>
        <w:rPr>
          <w:lang w:bidi="he-IL"/>
        </w:rPr>
        <w:t xml:space="preserve">See </w:t>
      </w:r>
      <w:r>
        <w:rPr>
          <w:rFonts w:hint="cs"/>
          <w:rtl/>
          <w:lang w:bidi="he-IL"/>
        </w:rPr>
        <w:t>סנהדרין עו,ב</w:t>
      </w:r>
      <w:r>
        <w:rPr>
          <w:lang w:bidi="he-IL"/>
        </w:rPr>
        <w:t>.</w:t>
      </w:r>
    </w:p>
  </w:footnote>
  <w:footnote w:id="2">
    <w:p w:rsidR="00D165F7" w:rsidRDefault="00D165F7" w:rsidP="00231CBB">
      <w:pPr>
        <w:pStyle w:val="FootnoteText"/>
        <w:spacing w:line="264" w:lineRule="auto"/>
        <w:jc w:val="both"/>
        <w:rPr>
          <w:lang w:bidi="he-IL"/>
        </w:rPr>
      </w:pPr>
      <w:r>
        <w:rPr>
          <w:rStyle w:val="FootnoteReference"/>
        </w:rPr>
        <w:footnoteRef/>
      </w:r>
      <w:r>
        <w:t xml:space="preserve"> </w:t>
      </w:r>
      <w:r>
        <w:rPr>
          <w:rFonts w:hint="cs"/>
          <w:rtl/>
          <w:lang w:bidi="he-IL"/>
        </w:rPr>
        <w:t>דברים (נצבים) כט,יח</w:t>
      </w:r>
      <w:r>
        <w:rPr>
          <w:lang w:bidi="he-IL"/>
        </w:rPr>
        <w:t xml:space="preserve">. The </w:t>
      </w:r>
      <w:r>
        <w:rPr>
          <w:rFonts w:hint="cs"/>
          <w:rtl/>
          <w:lang w:bidi="he-IL"/>
        </w:rPr>
        <w:t>פסוק</w:t>
      </w:r>
      <w:r>
        <w:rPr>
          <w:lang w:bidi="he-IL"/>
        </w:rPr>
        <w:t xml:space="preserve"> reads </w:t>
      </w:r>
      <w:r>
        <w:rPr>
          <w:rFonts w:hint="cs"/>
          <w:rtl/>
          <w:lang w:bidi="he-IL"/>
        </w:rPr>
        <w:t>והתברך בלבבו לאמר שלום יהיה לי כי בשרירות לבי אלך למען ספות הרוה את הצמאה</w:t>
      </w:r>
      <w:r>
        <w:rPr>
          <w:lang w:bidi="he-IL"/>
        </w:rPr>
        <w:t xml:space="preserve">; and continues </w:t>
      </w:r>
      <w:r>
        <w:rPr>
          <w:rFonts w:hint="cs"/>
          <w:rtl/>
          <w:lang w:bidi="he-IL"/>
        </w:rPr>
        <w:t>לא יאבה ה' סלוח לו</w:t>
      </w:r>
      <w:r>
        <w:rPr>
          <w:lang w:bidi="he-IL"/>
        </w:rPr>
        <w:t xml:space="preserve">. The word </w:t>
      </w:r>
      <w:r>
        <w:rPr>
          <w:rFonts w:hint="cs"/>
          <w:rtl/>
          <w:lang w:bidi="he-IL"/>
        </w:rPr>
        <w:t>צמאה</w:t>
      </w:r>
      <w:r>
        <w:rPr>
          <w:lang w:bidi="he-IL"/>
        </w:rPr>
        <w:t xml:space="preserve"> refers to </w:t>
      </w:r>
      <w:r>
        <w:rPr>
          <w:rFonts w:hint="cs"/>
          <w:rtl/>
          <w:lang w:bidi="he-IL"/>
        </w:rPr>
        <w:t>ישראל</w:t>
      </w:r>
      <w:r>
        <w:rPr>
          <w:lang w:bidi="he-IL"/>
        </w:rPr>
        <w:t xml:space="preserve"> who are thirsty and desirous to do the will of </w:t>
      </w:r>
      <w:r>
        <w:rPr>
          <w:rFonts w:hint="cs"/>
          <w:rtl/>
          <w:lang w:bidi="he-IL"/>
        </w:rPr>
        <w:t>ה'</w:t>
      </w:r>
      <w:r>
        <w:rPr>
          <w:lang w:bidi="he-IL"/>
        </w:rPr>
        <w:t xml:space="preserve">. </w:t>
      </w:r>
    </w:p>
  </w:footnote>
  <w:footnote w:id="3">
    <w:p w:rsidR="00D165F7" w:rsidRDefault="00D165F7" w:rsidP="00231CBB">
      <w:pPr>
        <w:pStyle w:val="FootnoteText"/>
        <w:spacing w:line="264" w:lineRule="auto"/>
        <w:jc w:val="both"/>
        <w:rPr>
          <w:lang w:bidi="he-IL"/>
        </w:rPr>
      </w:pPr>
      <w:r>
        <w:rPr>
          <w:rStyle w:val="FootnoteReference"/>
        </w:rPr>
        <w:footnoteRef/>
      </w:r>
      <w:r>
        <w:t xml:space="preserve"> The word </w:t>
      </w:r>
      <w:r>
        <w:rPr>
          <w:rFonts w:hint="cs"/>
          <w:rtl/>
          <w:lang w:bidi="he-IL"/>
        </w:rPr>
        <w:t>רוה</w:t>
      </w:r>
      <w:r>
        <w:rPr>
          <w:lang w:bidi="he-IL"/>
        </w:rPr>
        <w:t xml:space="preserve"> refers to </w:t>
      </w:r>
      <w:r>
        <w:rPr>
          <w:rFonts w:hint="cs"/>
          <w:rtl/>
          <w:lang w:bidi="he-IL"/>
        </w:rPr>
        <w:t>עכו"ם</w:t>
      </w:r>
      <w:r>
        <w:rPr>
          <w:lang w:bidi="he-IL"/>
        </w:rPr>
        <w:t xml:space="preserve"> who are satiated; and are not thirsty to do the will of </w:t>
      </w:r>
      <w:r>
        <w:rPr>
          <w:rFonts w:hint="cs"/>
          <w:rtl/>
          <w:lang w:bidi="he-IL"/>
        </w:rPr>
        <w:t>ה'</w:t>
      </w:r>
      <w:r>
        <w:rPr>
          <w:lang w:bidi="he-IL"/>
        </w:rPr>
        <w:t xml:space="preserve">. When one returns an </w:t>
      </w:r>
      <w:r>
        <w:rPr>
          <w:rFonts w:hint="cs"/>
          <w:rtl/>
          <w:lang w:bidi="he-IL"/>
        </w:rPr>
        <w:t>אבידה</w:t>
      </w:r>
      <w:r>
        <w:rPr>
          <w:lang w:bidi="he-IL"/>
        </w:rPr>
        <w:t xml:space="preserve"> to an </w:t>
      </w:r>
      <w:r>
        <w:rPr>
          <w:rFonts w:hint="cs"/>
          <w:rtl/>
          <w:lang w:bidi="he-IL"/>
        </w:rPr>
        <w:t>עכו"ם</w:t>
      </w:r>
      <w:r>
        <w:rPr>
          <w:lang w:bidi="he-IL"/>
        </w:rPr>
        <w:t xml:space="preserve"> he is increasing and supporting the </w:t>
      </w:r>
      <w:r>
        <w:rPr>
          <w:rFonts w:hint="cs"/>
          <w:rtl/>
          <w:lang w:bidi="he-IL"/>
        </w:rPr>
        <w:t>רוה</w:t>
      </w:r>
      <w:r>
        <w:rPr>
          <w:lang w:bidi="he-IL"/>
        </w:rPr>
        <w:t xml:space="preserve">. The severity of this transgression is evident from the phrase of </w:t>
      </w:r>
      <w:r>
        <w:rPr>
          <w:rFonts w:hint="cs"/>
          <w:rtl/>
          <w:lang w:bidi="he-IL"/>
        </w:rPr>
        <w:t>לא יאבה ה' סלוח לו</w:t>
      </w:r>
      <w:r>
        <w:rPr>
          <w:lang w:bidi="he-IL"/>
        </w:rPr>
        <w:t xml:space="preserve">; </w:t>
      </w:r>
      <w:r>
        <w:rPr>
          <w:rFonts w:hint="cs"/>
          <w:rtl/>
          <w:lang w:bidi="he-IL"/>
        </w:rPr>
        <w:t>ה'</w:t>
      </w:r>
      <w:r>
        <w:rPr>
          <w:lang w:bidi="he-IL"/>
        </w:rPr>
        <w:t xml:space="preserve"> will not be willing to forgive him. See </w:t>
      </w:r>
      <w:r>
        <w:rPr>
          <w:rFonts w:hint="cs"/>
          <w:rtl/>
          <w:lang w:bidi="he-IL"/>
        </w:rPr>
        <w:t>רש"י ד"ה להחזיר</w:t>
      </w:r>
      <w:r>
        <w:rPr>
          <w:lang w:bidi="he-IL"/>
        </w:rPr>
        <w:t>.</w:t>
      </w:r>
    </w:p>
  </w:footnote>
  <w:footnote w:id="4">
    <w:p w:rsidR="005A5AC4" w:rsidRDefault="005A5AC4" w:rsidP="00D165F7">
      <w:pPr>
        <w:pStyle w:val="FootnoteText"/>
        <w:spacing w:line="264" w:lineRule="auto"/>
        <w:rPr>
          <w:lang w:bidi="he-IL"/>
        </w:rPr>
      </w:pPr>
      <w:r>
        <w:rPr>
          <w:rStyle w:val="FootnoteReference"/>
        </w:rPr>
        <w:footnoteRef/>
      </w:r>
      <w:r>
        <w:t xml:space="preserve"> See </w:t>
      </w:r>
      <w:r>
        <w:rPr>
          <w:rFonts w:hint="cs"/>
          <w:rtl/>
          <w:lang w:bidi="he-IL"/>
        </w:rPr>
        <w:t>גיטין סא,א</w:t>
      </w:r>
      <w:r w:rsidR="00E46012">
        <w:rPr>
          <w:lang w:bidi="he-IL"/>
        </w:rPr>
        <w:t xml:space="preserve">, that we feed then so there should be no enmity between the </w:t>
      </w:r>
      <w:r w:rsidR="00E46012">
        <w:rPr>
          <w:rFonts w:hint="cs"/>
          <w:rtl/>
          <w:lang w:bidi="he-IL"/>
        </w:rPr>
        <w:t>עכו"ם</w:t>
      </w:r>
      <w:r w:rsidR="00E46012">
        <w:rPr>
          <w:lang w:bidi="he-IL"/>
        </w:rPr>
        <w:t xml:space="preserve"> and </w:t>
      </w:r>
      <w:r w:rsidR="00E46012">
        <w:rPr>
          <w:rFonts w:hint="cs"/>
          <w:rtl/>
          <w:lang w:bidi="he-IL"/>
        </w:rPr>
        <w:t>ישראל</w:t>
      </w:r>
      <w:r w:rsidR="00E46012">
        <w:rPr>
          <w:lang w:bidi="he-IL"/>
        </w:rPr>
        <w:t>.</w:t>
      </w:r>
    </w:p>
  </w:footnote>
  <w:footnote w:id="5">
    <w:p w:rsidR="00BE22C0" w:rsidRDefault="00BE22C0" w:rsidP="00231CBB">
      <w:pPr>
        <w:pStyle w:val="FootnoteText"/>
        <w:spacing w:line="264" w:lineRule="auto"/>
        <w:rPr>
          <w:lang w:bidi="he-IL"/>
        </w:rPr>
      </w:pPr>
      <w:r>
        <w:rPr>
          <w:rStyle w:val="FootnoteReference"/>
        </w:rPr>
        <w:footnoteRef/>
      </w:r>
      <w:r>
        <w:t xml:space="preserve"> It is possible that the </w:t>
      </w:r>
      <w:r w:rsidR="00231CBB">
        <w:t>person</w:t>
      </w:r>
      <w:r>
        <w:t xml:space="preserve"> is a </w:t>
      </w:r>
      <w:r>
        <w:rPr>
          <w:rFonts w:hint="cs"/>
          <w:rtl/>
          <w:lang w:bidi="he-IL"/>
        </w:rPr>
        <w:t>ישראל</w:t>
      </w:r>
      <w:r>
        <w:rPr>
          <w:lang w:bidi="he-IL"/>
        </w:rPr>
        <w:t xml:space="preserve"> and the finder must return the </w:t>
      </w:r>
      <w:r>
        <w:rPr>
          <w:rFonts w:hint="cs"/>
          <w:rtl/>
          <w:lang w:bidi="he-IL"/>
        </w:rPr>
        <w:t>אבידה</w:t>
      </w:r>
      <w:r>
        <w:rPr>
          <w:lang w:bidi="he-IL"/>
        </w:rPr>
        <w:t xml:space="preserve"> to him.</w:t>
      </w:r>
    </w:p>
  </w:footnote>
  <w:footnote w:id="6">
    <w:p w:rsidR="00D165F7" w:rsidRPr="00D165F7" w:rsidRDefault="00D165F7" w:rsidP="00D165F7">
      <w:pPr>
        <w:pStyle w:val="FootnoteText"/>
        <w:spacing w:line="264" w:lineRule="auto"/>
        <w:rPr>
          <w:spacing w:val="-4"/>
          <w:lang w:bidi="he-IL"/>
        </w:rPr>
      </w:pPr>
      <w:r w:rsidRPr="00D165F7">
        <w:rPr>
          <w:rStyle w:val="FootnoteReference"/>
          <w:spacing w:val="-4"/>
        </w:rPr>
        <w:footnoteRef/>
      </w:r>
      <w:r w:rsidRPr="00D165F7">
        <w:rPr>
          <w:spacing w:val="-4"/>
        </w:rPr>
        <w:t xml:space="preserve"> See </w:t>
      </w:r>
      <w:r w:rsidRPr="00D165F7">
        <w:rPr>
          <w:rFonts w:hint="cs"/>
          <w:spacing w:val="-4"/>
          <w:rtl/>
          <w:lang w:bidi="he-IL"/>
        </w:rPr>
        <w:t>רמב"ן</w:t>
      </w:r>
      <w:r w:rsidRPr="00D165F7">
        <w:rPr>
          <w:spacing w:val="-4"/>
          <w:lang w:bidi="he-IL"/>
        </w:rPr>
        <w:t xml:space="preserve"> who states </w:t>
      </w:r>
      <w:r w:rsidRPr="00D165F7">
        <w:rPr>
          <w:rFonts w:hint="cs"/>
          <w:spacing w:val="-4"/>
          <w:rtl/>
          <w:lang w:bidi="he-IL"/>
        </w:rPr>
        <w:t>אבל מוצא אבידה לאו מאריה דממונא הוא</w:t>
      </w:r>
      <w:r w:rsidRPr="00D165F7">
        <w:rPr>
          <w:spacing w:val="-4"/>
          <w:lang w:bidi="he-IL"/>
        </w:rPr>
        <w:t xml:space="preserve">. The finder of an </w:t>
      </w:r>
      <w:r w:rsidRPr="00D165F7">
        <w:rPr>
          <w:rFonts w:hint="cs"/>
          <w:spacing w:val="-4"/>
          <w:rtl/>
          <w:lang w:bidi="he-IL"/>
        </w:rPr>
        <w:t>אבידה</w:t>
      </w:r>
      <w:r w:rsidRPr="00D165F7">
        <w:rPr>
          <w:spacing w:val="-4"/>
          <w:lang w:bidi="he-IL"/>
        </w:rPr>
        <w:t xml:space="preserve"> is not the owner of the money.</w:t>
      </w:r>
    </w:p>
  </w:footnote>
  <w:footnote w:id="7">
    <w:p w:rsidR="003D1044" w:rsidRDefault="003D1044" w:rsidP="00D165F7">
      <w:pPr>
        <w:pStyle w:val="FootnoteText"/>
        <w:spacing w:line="264" w:lineRule="auto"/>
        <w:rPr>
          <w:lang w:bidi="he-IL"/>
        </w:rPr>
      </w:pPr>
      <w:r>
        <w:rPr>
          <w:rStyle w:val="FootnoteReference"/>
        </w:rPr>
        <w:footnoteRef/>
      </w:r>
      <w:r>
        <w:t xml:space="preserve"> See </w:t>
      </w:r>
      <w:r>
        <w:rPr>
          <w:rFonts w:hint="cs"/>
          <w:rtl/>
          <w:lang w:bidi="he-IL"/>
        </w:rPr>
        <w:t>סוכ"ד אות צ'</w:t>
      </w:r>
      <w:r>
        <w:rPr>
          <w:lang w:bidi="he-I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A1" w:rsidRPr="001E5E26" w:rsidRDefault="00132AA1" w:rsidP="001E5E26">
    <w:pPr>
      <w:pStyle w:val="Header"/>
      <w:bidi/>
      <w:rPr>
        <w:rFonts w:hint="cs"/>
        <w:sz w:val="24"/>
        <w:szCs w:val="24"/>
        <w:rtl/>
        <w:lang w:bidi="he-IL"/>
      </w:rPr>
    </w:pPr>
    <w:r>
      <w:rPr>
        <w:rFonts w:hint="cs"/>
        <w:sz w:val="24"/>
        <w:szCs w:val="24"/>
        <w:rtl/>
        <w:lang w:bidi="he-IL"/>
      </w:rPr>
      <w:t>בס"ד. כתובות טו,ב תוס' ד"ה להחזיר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5E26"/>
    <w:rsid w:val="0001493B"/>
    <w:rsid w:val="000B55ED"/>
    <w:rsid w:val="00132AA1"/>
    <w:rsid w:val="00145A82"/>
    <w:rsid w:val="00184D2E"/>
    <w:rsid w:val="00192CF7"/>
    <w:rsid w:val="001E5E26"/>
    <w:rsid w:val="0020216B"/>
    <w:rsid w:val="00210A1E"/>
    <w:rsid w:val="00231CBB"/>
    <w:rsid w:val="00253477"/>
    <w:rsid w:val="002B14F4"/>
    <w:rsid w:val="003D1044"/>
    <w:rsid w:val="003F6705"/>
    <w:rsid w:val="0040644A"/>
    <w:rsid w:val="005A5AC4"/>
    <w:rsid w:val="005D2B26"/>
    <w:rsid w:val="0074350E"/>
    <w:rsid w:val="007552E7"/>
    <w:rsid w:val="008253EC"/>
    <w:rsid w:val="00833E75"/>
    <w:rsid w:val="00844D0C"/>
    <w:rsid w:val="0089054C"/>
    <w:rsid w:val="00B32511"/>
    <w:rsid w:val="00B83833"/>
    <w:rsid w:val="00BA05C4"/>
    <w:rsid w:val="00BE22C0"/>
    <w:rsid w:val="00D165F7"/>
    <w:rsid w:val="00D54370"/>
    <w:rsid w:val="00D80DE2"/>
    <w:rsid w:val="00E2175B"/>
    <w:rsid w:val="00E24ECE"/>
    <w:rsid w:val="00E46012"/>
    <w:rsid w:val="00F40A1B"/>
    <w:rsid w:val="00FF2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5246800-4E2F-477F-AF71-8A55BB46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E5E26"/>
    <w:pPr>
      <w:tabs>
        <w:tab w:val="center" w:pos="4320"/>
        <w:tab w:val="right" w:pos="8640"/>
      </w:tabs>
    </w:pPr>
  </w:style>
  <w:style w:type="paragraph" w:styleId="Footer">
    <w:name w:val="footer"/>
    <w:basedOn w:val="Normal"/>
    <w:link w:val="FooterChar"/>
    <w:uiPriority w:val="99"/>
    <w:rsid w:val="001E5E26"/>
    <w:pPr>
      <w:tabs>
        <w:tab w:val="center" w:pos="4320"/>
        <w:tab w:val="right" w:pos="8640"/>
      </w:tabs>
    </w:pPr>
  </w:style>
  <w:style w:type="paragraph" w:styleId="FootnoteText">
    <w:name w:val="footnote text"/>
    <w:basedOn w:val="Normal"/>
    <w:semiHidden/>
    <w:rsid w:val="0074350E"/>
    <w:rPr>
      <w:sz w:val="20"/>
      <w:szCs w:val="20"/>
    </w:rPr>
  </w:style>
  <w:style w:type="character" w:styleId="FootnoteReference">
    <w:name w:val="footnote reference"/>
    <w:semiHidden/>
    <w:rsid w:val="0074350E"/>
    <w:rPr>
      <w:vertAlign w:val="superscript"/>
    </w:rPr>
  </w:style>
  <w:style w:type="character" w:styleId="PageNumber">
    <w:name w:val="page number"/>
    <w:basedOn w:val="DefaultParagraphFont"/>
    <w:rsid w:val="00132AA1"/>
  </w:style>
  <w:style w:type="character" w:customStyle="1" w:styleId="FooterChar">
    <w:name w:val="Footer Char"/>
    <w:link w:val="Footer"/>
    <w:uiPriority w:val="99"/>
    <w:rsid w:val="00D165F7"/>
    <w:rPr>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להחזיר לו אבידה -   To return to him a lost object -                         </vt:lpstr>
    </vt:vector>
  </TitlesOfParts>
  <Company>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להחזיר לו אבידה -   To return to him a lost object -                         </dc:title>
  <dc:subject/>
  <dc:creator> </dc:creator>
  <cp:keywords/>
  <dc:description/>
  <cp:lastModifiedBy>Microsoft account</cp:lastModifiedBy>
  <cp:revision>2</cp:revision>
  <dcterms:created xsi:type="dcterms:W3CDTF">2022-04-05T10:48:00Z</dcterms:created>
  <dcterms:modified xsi:type="dcterms:W3CDTF">2022-04-05T10:48:00Z</dcterms:modified>
</cp:coreProperties>
</file>