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DE2" w:rsidRDefault="00161D6E" w:rsidP="007B1DB3">
      <w:pPr>
        <w:widowControl w:val="0"/>
        <w:bidi/>
        <w:spacing w:line="276" w:lineRule="auto"/>
        <w:jc w:val="both"/>
        <w:rPr>
          <w:rFonts w:hint="cs"/>
          <w:b/>
          <w:bCs/>
          <w:sz w:val="32"/>
          <w:szCs w:val="32"/>
          <w:rtl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לא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צריכא דנגחיה תורא דידיה כולי </w:t>
      </w:r>
      <w:r>
        <w:rPr>
          <w:b/>
          <w:bCs/>
          <w:sz w:val="32"/>
          <w:szCs w:val="32"/>
          <w:rtl/>
          <w:lang w:bidi="he-IL"/>
        </w:rPr>
        <w:t>–</w:t>
      </w:r>
    </w:p>
    <w:p w:rsidR="00161D6E" w:rsidRDefault="00161D6E" w:rsidP="007B1DB3">
      <w:pPr>
        <w:widowControl w:val="0"/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sz w:val="32"/>
          <w:szCs w:val="32"/>
          <w:lang w:bidi="he-IL"/>
        </w:rPr>
        <w:t xml:space="preserve">It was only necessary </w:t>
      </w:r>
      <w:r>
        <w:rPr>
          <w:sz w:val="32"/>
          <w:szCs w:val="32"/>
          <w:lang w:bidi="he-IL"/>
        </w:rPr>
        <w:t xml:space="preserve">to teach this ruling </w:t>
      </w:r>
      <w:r w:rsidRPr="00161D6E">
        <w:rPr>
          <w:b/>
          <w:bCs/>
          <w:sz w:val="32"/>
          <w:szCs w:val="32"/>
          <w:lang w:bidi="he-IL"/>
        </w:rPr>
        <w:t>when</w:t>
      </w:r>
      <w:r>
        <w:rPr>
          <w:sz w:val="32"/>
          <w:szCs w:val="32"/>
          <w:lang w:bidi="he-IL"/>
        </w:rPr>
        <w:t xml:space="preserve"> </w:t>
      </w:r>
      <w:r>
        <w:rPr>
          <w:b/>
          <w:bCs/>
          <w:sz w:val="32"/>
          <w:szCs w:val="32"/>
          <w:lang w:bidi="he-IL"/>
        </w:rPr>
        <w:t>his ox gored, etc.</w:t>
      </w:r>
    </w:p>
    <w:p w:rsidR="00161D6E" w:rsidRDefault="00161D6E" w:rsidP="007B1DB3">
      <w:pPr>
        <w:widowControl w:val="0"/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161D6E" w:rsidRPr="007B1DB3" w:rsidRDefault="002D773A" w:rsidP="007B1DB3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7B1DB3">
        <w:rPr>
          <w:rFonts w:ascii="Copperplate Gothic Bold" w:hAnsi="Copperplate Gothic Bold"/>
          <w:u w:val="double"/>
          <w:lang w:bidi="he-IL"/>
        </w:rPr>
        <w:t>Overview</w:t>
      </w:r>
    </w:p>
    <w:p w:rsidR="002D773A" w:rsidRPr="002D773A" w:rsidRDefault="002D773A" w:rsidP="007B1DB3">
      <w:pPr>
        <w:widowControl w:val="0"/>
        <w:spacing w:line="276" w:lineRule="auto"/>
        <w:jc w:val="both"/>
        <w:rPr>
          <w:rFonts w:hint="cs"/>
          <w:rtl/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interpreted the ruling of </w:t>
      </w:r>
      <w:r>
        <w:rPr>
          <w:rFonts w:hint="cs"/>
          <w:rtl/>
          <w:lang w:bidi="he-IL"/>
        </w:rPr>
        <w:t>מחצה על מחצה ישראל</w:t>
      </w:r>
      <w:r>
        <w:rPr>
          <w:lang w:bidi="he-IL"/>
        </w:rPr>
        <w:t xml:space="preserve"> in regard to </w:t>
      </w:r>
      <w:r>
        <w:rPr>
          <w:rFonts w:hint="cs"/>
          <w:rtl/>
          <w:lang w:bidi="he-IL"/>
        </w:rPr>
        <w:t>נגח תורא דידיה לתורא דידן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תינוק</w:t>
      </w:r>
      <w:r>
        <w:rPr>
          <w:lang w:bidi="he-IL"/>
        </w:rPr>
        <w:t xml:space="preserve"> is considered a </w:t>
      </w:r>
      <w:r>
        <w:rPr>
          <w:rFonts w:hint="cs"/>
          <w:rtl/>
          <w:lang w:bidi="he-IL"/>
        </w:rPr>
        <w:t>ישראל</w:t>
      </w:r>
      <w:r>
        <w:rPr>
          <w:lang w:bidi="he-IL"/>
        </w:rPr>
        <w:t xml:space="preserve"> and is not required to pay a </w:t>
      </w:r>
      <w:r>
        <w:rPr>
          <w:rFonts w:hint="cs"/>
          <w:rtl/>
          <w:lang w:bidi="he-IL"/>
        </w:rPr>
        <w:t>נזק שלם</w:t>
      </w:r>
      <w:r>
        <w:rPr>
          <w:lang w:bidi="he-IL"/>
        </w:rPr>
        <w:t xml:space="preserve">. </w:t>
      </w:r>
      <w:r w:rsidR="00483747">
        <w:rPr>
          <w:lang w:bidi="he-IL"/>
        </w:rPr>
        <w:t xml:space="preserve">The issue </w:t>
      </w:r>
      <w:r w:rsidR="00483747">
        <w:rPr>
          <w:rFonts w:hint="cs"/>
          <w:rtl/>
          <w:lang w:bidi="he-IL"/>
        </w:rPr>
        <w:t>תוספות</w:t>
      </w:r>
      <w:r w:rsidR="00483747">
        <w:rPr>
          <w:lang w:bidi="he-IL"/>
        </w:rPr>
        <w:t xml:space="preserve"> addresses is that we can just as easily say </w:t>
      </w:r>
      <w:r w:rsidR="00483747">
        <w:rPr>
          <w:rFonts w:hint="cs"/>
          <w:rtl/>
          <w:lang w:bidi="he-IL"/>
        </w:rPr>
        <w:t>מע"מ עכו"ם</w:t>
      </w:r>
      <w:r w:rsidR="00915E48">
        <w:rPr>
          <w:lang w:bidi="he-IL"/>
        </w:rPr>
        <w:t>,</w:t>
      </w:r>
      <w:r w:rsidR="00483747">
        <w:rPr>
          <w:lang w:bidi="he-IL"/>
        </w:rPr>
        <w:t xml:space="preserve"> </w:t>
      </w:r>
      <w:r w:rsidR="00915E48">
        <w:rPr>
          <w:lang w:bidi="he-IL"/>
        </w:rPr>
        <w:t xml:space="preserve">(but) </w:t>
      </w:r>
      <w:r w:rsidR="00483747">
        <w:rPr>
          <w:lang w:bidi="he-IL"/>
        </w:rPr>
        <w:t xml:space="preserve">in a different case.  </w:t>
      </w:r>
    </w:p>
    <w:p w:rsidR="00161D6E" w:rsidRPr="00483747" w:rsidRDefault="00483747" w:rsidP="007B1DB3">
      <w:pPr>
        <w:widowControl w:val="0"/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</w:t>
      </w:r>
    </w:p>
    <w:p w:rsidR="00483747" w:rsidRPr="00483747" w:rsidRDefault="00483747" w:rsidP="007B1DB3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asks:</w:t>
      </w:r>
    </w:p>
    <w:p w:rsidR="00161D6E" w:rsidRPr="00D80CEA" w:rsidRDefault="00161D6E" w:rsidP="00D80CEA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D80CEA">
        <w:rPr>
          <w:rFonts w:ascii="David" w:hAnsi="David" w:cs="David"/>
          <w:b/>
          <w:bCs/>
          <w:rtl/>
          <w:lang w:bidi="he-IL"/>
        </w:rPr>
        <w:t xml:space="preserve">תימה דהכי נמי הוה מצי למימר מחצה על מחצה עובד כוכבים </w:t>
      </w:r>
      <w:r w:rsidR="00D80CEA">
        <w:rPr>
          <w:rFonts w:ascii="David" w:hAnsi="David" w:cs="David"/>
          <w:b/>
          <w:bCs/>
          <w:lang w:bidi="he-IL"/>
        </w:rPr>
        <w:t>-</w:t>
      </w:r>
    </w:p>
    <w:p w:rsidR="00161D6E" w:rsidRPr="009264BA" w:rsidRDefault="00161D6E" w:rsidP="007B1DB3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It is </w:t>
      </w:r>
      <w:r w:rsidR="007B1DB3">
        <w:rPr>
          <w:b/>
          <w:bCs/>
          <w:lang w:bidi="he-IL"/>
        </w:rPr>
        <w:t>astound</w:t>
      </w:r>
      <w:r>
        <w:rPr>
          <w:b/>
          <w:bCs/>
          <w:lang w:bidi="he-IL"/>
        </w:rPr>
        <w:t xml:space="preserve">ing! For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could have just as well ruled that </w:t>
      </w:r>
      <w:r>
        <w:rPr>
          <w:lang w:bidi="he-IL"/>
        </w:rPr>
        <w:t xml:space="preserve">if the city is </w:t>
      </w:r>
      <w:r>
        <w:rPr>
          <w:b/>
          <w:bCs/>
          <w:lang w:bidi="he-IL"/>
        </w:rPr>
        <w:t xml:space="preserve">half </w:t>
      </w:r>
      <w:r>
        <w:rPr>
          <w:lang w:bidi="he-IL"/>
        </w:rPr>
        <w:t xml:space="preserve">(Jews) </w:t>
      </w:r>
      <w:r>
        <w:rPr>
          <w:b/>
          <w:bCs/>
          <w:lang w:bidi="he-IL"/>
        </w:rPr>
        <w:t xml:space="preserve">and half </w:t>
      </w:r>
      <w:r>
        <w:rPr>
          <w:lang w:bidi="he-IL"/>
        </w:rPr>
        <w:t>(gentiles), the child</w:t>
      </w:r>
      <w:r w:rsidR="00915E48">
        <w:rPr>
          <w:rStyle w:val="FootnoteReference"/>
          <w:lang w:bidi="he-IL"/>
        </w:rPr>
        <w:footnoteReference w:id="1"/>
      </w:r>
      <w:r>
        <w:rPr>
          <w:lang w:bidi="he-IL"/>
        </w:rPr>
        <w:t xml:space="preserve"> is considered an </w:t>
      </w:r>
      <w:r>
        <w:rPr>
          <w:rFonts w:hint="cs"/>
          <w:b/>
          <w:bCs/>
          <w:rtl/>
          <w:lang w:bidi="he-IL"/>
        </w:rPr>
        <w:t>עובד כוכבים</w:t>
      </w:r>
      <w:r>
        <w:rPr>
          <w:b/>
          <w:bCs/>
          <w:lang w:bidi="he-IL"/>
        </w:rPr>
        <w:t xml:space="preserve">; </w:t>
      </w:r>
      <w:r w:rsidRPr="009264BA">
        <w:rPr>
          <w:sz w:val="24"/>
          <w:szCs w:val="24"/>
          <w:lang w:bidi="he-IL"/>
        </w:rPr>
        <w:t xml:space="preserve">instead of saying that he is considered a </w:t>
      </w:r>
      <w:r w:rsidRPr="009264BA">
        <w:rPr>
          <w:rFonts w:hint="cs"/>
          <w:sz w:val="24"/>
          <w:szCs w:val="24"/>
          <w:rtl/>
          <w:lang w:bidi="he-IL"/>
        </w:rPr>
        <w:t>ישראל</w:t>
      </w:r>
      <w:r w:rsidRPr="009264BA">
        <w:rPr>
          <w:sz w:val="24"/>
          <w:szCs w:val="24"/>
          <w:lang w:bidi="he-IL"/>
        </w:rPr>
        <w:t xml:space="preserve">. The child will be considered an </w:t>
      </w:r>
      <w:r w:rsidRPr="009264BA">
        <w:rPr>
          <w:rFonts w:hint="cs"/>
          <w:sz w:val="24"/>
          <w:szCs w:val="24"/>
          <w:rtl/>
          <w:lang w:bidi="he-IL"/>
        </w:rPr>
        <w:t>עכו"ם</w:t>
      </w:r>
      <w:r w:rsidRPr="009264BA">
        <w:rPr>
          <w:sz w:val="24"/>
          <w:szCs w:val="24"/>
          <w:lang w:bidi="he-IL"/>
        </w:rPr>
        <w:t>, in a case where –</w:t>
      </w:r>
    </w:p>
    <w:p w:rsidR="00161D6E" w:rsidRPr="00D80CEA" w:rsidRDefault="00161D6E" w:rsidP="00D80CEA">
      <w:pPr>
        <w:widowControl w:val="0"/>
        <w:bidi/>
        <w:spacing w:line="276" w:lineRule="auto"/>
        <w:jc w:val="both"/>
        <w:rPr>
          <w:rFonts w:ascii="David" w:hAnsi="David" w:cs="David"/>
          <w:rtl/>
          <w:lang w:bidi="he-IL"/>
        </w:rPr>
      </w:pPr>
      <w:r w:rsidRPr="00D80CEA">
        <w:rPr>
          <w:rFonts w:ascii="David" w:hAnsi="David" w:cs="David"/>
          <w:b/>
          <w:bCs/>
          <w:rtl/>
          <w:lang w:bidi="he-IL"/>
        </w:rPr>
        <w:t xml:space="preserve">ומנגח תורא דידן לתורא דידיה </w:t>
      </w:r>
      <w:r w:rsidR="00D80CEA">
        <w:rPr>
          <w:rFonts w:ascii="David" w:hAnsi="David" w:cs="David"/>
          <w:b/>
          <w:bCs/>
          <w:lang w:bidi="he-IL"/>
        </w:rPr>
        <w:t>-</w:t>
      </w:r>
    </w:p>
    <w:p w:rsidR="00161D6E" w:rsidRPr="009264BA" w:rsidRDefault="00161D6E" w:rsidP="007B1DB3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Our </w:t>
      </w:r>
      <w:r>
        <w:rPr>
          <w:lang w:bidi="he-IL"/>
        </w:rPr>
        <w:t xml:space="preserve">(Jewish) </w:t>
      </w:r>
      <w:r>
        <w:rPr>
          <w:b/>
          <w:bCs/>
          <w:lang w:bidi="he-IL"/>
        </w:rPr>
        <w:t xml:space="preserve">ox gored his </w:t>
      </w:r>
      <w:r w:rsidRPr="009264BA">
        <w:rPr>
          <w:sz w:val="24"/>
          <w:szCs w:val="24"/>
          <w:lang w:bidi="he-IL"/>
        </w:rPr>
        <w:t xml:space="preserve">(the child’s) </w:t>
      </w:r>
      <w:r w:rsidR="009264BA" w:rsidRPr="009264BA">
        <w:rPr>
          <w:sz w:val="24"/>
          <w:szCs w:val="24"/>
          <w:lang w:bidi="he-IL"/>
        </w:rPr>
        <w:t xml:space="preserve">ox; the child is considered an </w:t>
      </w:r>
      <w:r w:rsidR="009264BA" w:rsidRPr="009264BA">
        <w:rPr>
          <w:rFonts w:hint="cs"/>
          <w:sz w:val="24"/>
          <w:szCs w:val="24"/>
          <w:rtl/>
          <w:lang w:bidi="he-IL"/>
        </w:rPr>
        <w:t>עכו"ם</w:t>
      </w:r>
      <w:r w:rsidR="009264BA" w:rsidRPr="009264BA">
        <w:rPr>
          <w:sz w:val="24"/>
          <w:szCs w:val="24"/>
          <w:lang w:bidi="he-IL"/>
        </w:rPr>
        <w:t xml:space="preserve"> and the </w:t>
      </w:r>
      <w:r w:rsidR="009264BA" w:rsidRPr="009264BA">
        <w:rPr>
          <w:rFonts w:hint="cs"/>
          <w:sz w:val="24"/>
          <w:szCs w:val="24"/>
          <w:rtl/>
          <w:lang w:bidi="he-IL"/>
        </w:rPr>
        <w:t>ישראל</w:t>
      </w:r>
      <w:r w:rsidR="009264BA" w:rsidRPr="009264BA">
        <w:rPr>
          <w:sz w:val="24"/>
          <w:szCs w:val="24"/>
          <w:lang w:bidi="he-IL"/>
        </w:rPr>
        <w:t xml:space="preserve"> is </w:t>
      </w:r>
      <w:r w:rsidR="009264BA" w:rsidRPr="009264BA">
        <w:rPr>
          <w:rFonts w:hint="cs"/>
          <w:sz w:val="24"/>
          <w:szCs w:val="24"/>
          <w:rtl/>
          <w:lang w:bidi="he-IL"/>
        </w:rPr>
        <w:t>פטור</w:t>
      </w:r>
      <w:r w:rsidRPr="009264BA">
        <w:rPr>
          <w:sz w:val="24"/>
          <w:szCs w:val="24"/>
          <w:lang w:bidi="he-IL"/>
        </w:rPr>
        <w:t xml:space="preserve">. </w:t>
      </w:r>
      <w:r w:rsidR="00DD19DB" w:rsidRPr="009264BA">
        <w:rPr>
          <w:sz w:val="24"/>
          <w:szCs w:val="24"/>
          <w:lang w:bidi="he-IL"/>
        </w:rPr>
        <w:t xml:space="preserve">Instead of saying </w:t>
      </w:r>
      <w:r w:rsidR="00DD19DB" w:rsidRPr="009264BA">
        <w:rPr>
          <w:rFonts w:hint="cs"/>
          <w:sz w:val="24"/>
          <w:szCs w:val="24"/>
          <w:rtl/>
          <w:lang w:bidi="he-IL"/>
        </w:rPr>
        <w:t>מחצה על מצחה ישראל</w:t>
      </w:r>
      <w:r w:rsidR="00DD19DB" w:rsidRPr="009264BA">
        <w:rPr>
          <w:sz w:val="24"/>
          <w:szCs w:val="24"/>
          <w:lang w:bidi="he-IL"/>
        </w:rPr>
        <w:t xml:space="preserve"> in a case where </w:t>
      </w:r>
      <w:r w:rsidR="00DD19DB" w:rsidRPr="009264BA">
        <w:rPr>
          <w:rFonts w:hint="cs"/>
          <w:sz w:val="24"/>
          <w:szCs w:val="24"/>
          <w:rtl/>
          <w:lang w:bidi="he-IL"/>
        </w:rPr>
        <w:t>נגח תורא דידיה לתורא דידן</w:t>
      </w:r>
      <w:r w:rsidR="00DD19DB" w:rsidRPr="009264BA">
        <w:rPr>
          <w:sz w:val="24"/>
          <w:szCs w:val="24"/>
          <w:lang w:bidi="he-IL"/>
        </w:rPr>
        <w:t xml:space="preserve"> (and he is </w:t>
      </w:r>
      <w:r w:rsidR="00DD19DB" w:rsidRPr="009264BA">
        <w:rPr>
          <w:rFonts w:hint="cs"/>
          <w:sz w:val="24"/>
          <w:szCs w:val="24"/>
          <w:rtl/>
          <w:lang w:bidi="he-IL"/>
        </w:rPr>
        <w:t>פטור</w:t>
      </w:r>
      <w:r w:rsidR="00DD19DB" w:rsidRPr="009264BA">
        <w:rPr>
          <w:sz w:val="24"/>
          <w:szCs w:val="24"/>
          <w:lang w:bidi="he-IL"/>
        </w:rPr>
        <w:t xml:space="preserve"> from a </w:t>
      </w:r>
      <w:r w:rsidR="00DD19DB" w:rsidRPr="009264BA">
        <w:rPr>
          <w:rFonts w:hint="cs"/>
          <w:sz w:val="24"/>
          <w:szCs w:val="24"/>
          <w:rtl/>
          <w:lang w:bidi="he-IL"/>
        </w:rPr>
        <w:t>נזק שלם</w:t>
      </w:r>
      <w:r w:rsidR="00DD19DB" w:rsidRPr="009264BA">
        <w:rPr>
          <w:sz w:val="24"/>
          <w:szCs w:val="24"/>
          <w:lang w:bidi="he-IL"/>
        </w:rPr>
        <w:t xml:space="preserve">), the </w:t>
      </w:r>
      <w:r w:rsidR="00DD19DB" w:rsidRPr="009264BA">
        <w:rPr>
          <w:rFonts w:hint="cs"/>
          <w:sz w:val="24"/>
          <w:szCs w:val="24"/>
          <w:rtl/>
          <w:lang w:bidi="he-IL"/>
        </w:rPr>
        <w:t>משנה</w:t>
      </w:r>
      <w:r w:rsidR="00DD19DB" w:rsidRPr="009264BA">
        <w:rPr>
          <w:sz w:val="24"/>
          <w:szCs w:val="24"/>
          <w:lang w:bidi="he-IL"/>
        </w:rPr>
        <w:t xml:space="preserve"> could have ruled </w:t>
      </w:r>
      <w:r w:rsidR="00DD19DB" w:rsidRPr="009264BA">
        <w:rPr>
          <w:rFonts w:hint="cs"/>
          <w:sz w:val="24"/>
          <w:szCs w:val="24"/>
          <w:rtl/>
          <w:lang w:bidi="he-IL"/>
        </w:rPr>
        <w:t>מע"מ עכו"ם</w:t>
      </w:r>
      <w:r w:rsidR="00DD19DB" w:rsidRPr="009264BA">
        <w:rPr>
          <w:sz w:val="24"/>
          <w:szCs w:val="24"/>
          <w:lang w:bidi="he-IL"/>
        </w:rPr>
        <w:t xml:space="preserve"> in a case where </w:t>
      </w:r>
      <w:r w:rsidR="00DD19DB" w:rsidRPr="009264BA">
        <w:rPr>
          <w:rFonts w:hint="cs"/>
          <w:sz w:val="24"/>
          <w:szCs w:val="24"/>
          <w:rtl/>
          <w:lang w:bidi="he-IL"/>
        </w:rPr>
        <w:t>נגח תורא דידן לתורא דידיה</w:t>
      </w:r>
      <w:r w:rsidR="00DD19DB" w:rsidRPr="009264BA">
        <w:rPr>
          <w:sz w:val="24"/>
          <w:szCs w:val="24"/>
          <w:lang w:bidi="he-IL"/>
        </w:rPr>
        <w:t xml:space="preserve"> (and the </w:t>
      </w:r>
      <w:r w:rsidR="00DD19DB" w:rsidRPr="009264BA">
        <w:rPr>
          <w:rFonts w:hint="cs"/>
          <w:sz w:val="24"/>
          <w:szCs w:val="24"/>
          <w:rtl/>
          <w:lang w:bidi="he-IL"/>
        </w:rPr>
        <w:t>ישראל</w:t>
      </w:r>
      <w:r w:rsidR="00DD19DB" w:rsidRPr="009264BA">
        <w:rPr>
          <w:sz w:val="24"/>
          <w:szCs w:val="24"/>
          <w:lang w:bidi="he-IL"/>
        </w:rPr>
        <w:t xml:space="preserve"> is </w:t>
      </w:r>
      <w:r w:rsidR="00DD19DB" w:rsidRPr="009264BA">
        <w:rPr>
          <w:rFonts w:hint="cs"/>
          <w:sz w:val="24"/>
          <w:szCs w:val="24"/>
          <w:rtl/>
          <w:lang w:bidi="he-IL"/>
        </w:rPr>
        <w:t>פטור</w:t>
      </w:r>
      <w:r w:rsidR="00DD19DB" w:rsidRPr="009264BA">
        <w:rPr>
          <w:sz w:val="24"/>
          <w:szCs w:val="24"/>
          <w:lang w:bidi="he-IL"/>
        </w:rPr>
        <w:t xml:space="preserve">, unless </w:t>
      </w:r>
      <w:r w:rsidR="00550370" w:rsidRPr="009264BA">
        <w:rPr>
          <w:sz w:val="24"/>
          <w:szCs w:val="24"/>
          <w:lang w:bidi="he-IL"/>
        </w:rPr>
        <w:t>t</w:t>
      </w:r>
      <w:r w:rsidR="00DD19DB" w:rsidRPr="009264BA">
        <w:rPr>
          <w:sz w:val="24"/>
          <w:szCs w:val="24"/>
          <w:lang w:bidi="he-IL"/>
        </w:rPr>
        <w:t>he</w:t>
      </w:r>
      <w:r w:rsidR="00550370" w:rsidRPr="009264BA">
        <w:rPr>
          <w:sz w:val="24"/>
          <w:szCs w:val="24"/>
          <w:lang w:bidi="he-IL"/>
        </w:rPr>
        <w:t xml:space="preserve"> child</w:t>
      </w:r>
      <w:r w:rsidR="00DD19DB" w:rsidRPr="009264BA">
        <w:rPr>
          <w:sz w:val="24"/>
          <w:szCs w:val="24"/>
          <w:lang w:bidi="he-IL"/>
        </w:rPr>
        <w:t xml:space="preserve"> can prove that he is a </w:t>
      </w:r>
      <w:r w:rsidR="00DD19DB" w:rsidRPr="009264BA">
        <w:rPr>
          <w:rFonts w:hint="cs"/>
          <w:sz w:val="24"/>
          <w:szCs w:val="24"/>
          <w:rtl/>
          <w:lang w:bidi="he-IL"/>
        </w:rPr>
        <w:t>ישראל</w:t>
      </w:r>
      <w:r w:rsidR="00DD19DB" w:rsidRPr="009264BA">
        <w:rPr>
          <w:sz w:val="24"/>
          <w:szCs w:val="24"/>
          <w:lang w:bidi="he-IL"/>
        </w:rPr>
        <w:t>)!</w:t>
      </w:r>
      <w:r w:rsidR="009264BA" w:rsidRPr="009264BA">
        <w:rPr>
          <w:rStyle w:val="FootnoteReference"/>
          <w:sz w:val="24"/>
          <w:szCs w:val="24"/>
          <w:lang w:bidi="he-IL"/>
        </w:rPr>
        <w:footnoteReference w:id="2"/>
      </w:r>
    </w:p>
    <w:p w:rsidR="00DD19DB" w:rsidRPr="009264BA" w:rsidRDefault="00DD19DB" w:rsidP="007B1DB3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483747" w:rsidRPr="009264BA" w:rsidRDefault="00483747" w:rsidP="007B1DB3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9264BA">
        <w:rPr>
          <w:rFonts w:hint="cs"/>
          <w:sz w:val="24"/>
          <w:szCs w:val="24"/>
          <w:rtl/>
          <w:lang w:bidi="he-IL"/>
        </w:rPr>
        <w:t>תוספות</w:t>
      </w:r>
      <w:r w:rsidRPr="009264BA">
        <w:rPr>
          <w:sz w:val="24"/>
          <w:szCs w:val="24"/>
          <w:lang w:bidi="he-IL"/>
        </w:rPr>
        <w:t xml:space="preserve"> addresses an additional issue:</w:t>
      </w:r>
    </w:p>
    <w:p w:rsidR="00DD19DB" w:rsidRPr="00D80CEA" w:rsidRDefault="00DD19DB" w:rsidP="00D80CEA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D80CEA">
        <w:rPr>
          <w:rFonts w:ascii="David" w:hAnsi="David" w:cs="David"/>
          <w:b/>
          <w:bCs/>
          <w:rtl/>
          <w:lang w:bidi="he-IL"/>
        </w:rPr>
        <w:t>[כולה</w:t>
      </w:r>
      <w:r w:rsidR="007B1DB3" w:rsidRPr="00D80CEA">
        <w:rPr>
          <w:rStyle w:val="FootnoteReference"/>
          <w:rFonts w:ascii="David" w:hAnsi="David" w:cs="David"/>
          <w:b/>
          <w:bCs/>
          <w:rtl/>
          <w:lang w:bidi="he-IL"/>
        </w:rPr>
        <w:footnoteReference w:id="3"/>
      </w:r>
      <w:r w:rsidRPr="00D80CEA">
        <w:rPr>
          <w:rFonts w:ascii="David" w:hAnsi="David" w:cs="David"/>
          <w:b/>
          <w:bCs/>
          <w:rtl/>
          <w:lang w:bidi="he-IL"/>
        </w:rPr>
        <w:t xml:space="preserve"> מילתא הוי מצי למימר לענין נגיחה</w:t>
      </w:r>
      <w:r w:rsidR="007B1DB3" w:rsidRPr="00D80CEA">
        <w:rPr>
          <w:rStyle w:val="FootnoteReference"/>
          <w:rFonts w:ascii="David" w:hAnsi="David" w:cs="David"/>
          <w:b/>
          <w:bCs/>
          <w:lang w:bidi="he-IL"/>
        </w:rPr>
        <w:footnoteReference w:id="4"/>
      </w:r>
      <w:r w:rsidRPr="00D80CEA">
        <w:rPr>
          <w:rFonts w:ascii="David" w:hAnsi="David" w:cs="David"/>
          <w:b/>
          <w:bCs/>
          <w:rtl/>
          <w:lang w:bidi="he-IL"/>
        </w:rPr>
        <w:t xml:space="preserve"> </w:t>
      </w:r>
      <w:r w:rsidR="00D80CEA">
        <w:rPr>
          <w:rFonts w:ascii="David" w:hAnsi="David" w:cs="David"/>
          <w:b/>
          <w:bCs/>
          <w:lang w:bidi="he-IL"/>
        </w:rPr>
        <w:t>-</w:t>
      </w:r>
    </w:p>
    <w:p w:rsidR="00DD19DB" w:rsidRPr="00FF7626" w:rsidRDefault="00E52B23" w:rsidP="007B1DB3">
      <w:pPr>
        <w:widowControl w:val="0"/>
        <w:spacing w:line="276" w:lineRule="auto"/>
        <w:jc w:val="both"/>
        <w:rPr>
          <w:b/>
          <w:bCs/>
          <w:spacing w:val="-2"/>
          <w:sz w:val="24"/>
          <w:szCs w:val="24"/>
          <w:lang w:bidi="he-IL"/>
        </w:rPr>
      </w:pPr>
      <w:r>
        <w:rPr>
          <w:b/>
          <w:bCs/>
          <w:lang w:bidi="he-IL"/>
        </w:rPr>
        <w:t>[</w:t>
      </w:r>
      <w:r w:rsidR="00DD19DB">
        <w:rPr>
          <w:b/>
          <w:bCs/>
          <w:lang w:bidi="he-IL"/>
        </w:rPr>
        <w:t xml:space="preserve">The entire issue </w:t>
      </w:r>
      <w:r w:rsidR="00DD19DB">
        <w:rPr>
          <w:lang w:bidi="he-IL"/>
        </w:rPr>
        <w:t xml:space="preserve">(whether he is considered a </w:t>
      </w:r>
      <w:r w:rsidR="00DD19DB">
        <w:rPr>
          <w:rFonts w:hint="cs"/>
          <w:rtl/>
          <w:lang w:bidi="he-IL"/>
        </w:rPr>
        <w:t>ישראל</w:t>
      </w:r>
      <w:r w:rsidR="00DD19DB">
        <w:rPr>
          <w:lang w:bidi="he-IL"/>
        </w:rPr>
        <w:t xml:space="preserve"> or </w:t>
      </w:r>
      <w:r w:rsidR="00DD19DB">
        <w:rPr>
          <w:rFonts w:hint="cs"/>
          <w:rtl/>
          <w:lang w:bidi="he-IL"/>
        </w:rPr>
        <w:t>עכו"ם</w:t>
      </w:r>
      <w:r w:rsidR="00DD19DB">
        <w:rPr>
          <w:lang w:bidi="he-IL"/>
        </w:rPr>
        <w:t xml:space="preserve">) </w:t>
      </w:r>
      <w:r w:rsidR="00DD19DB">
        <w:rPr>
          <w:b/>
          <w:bCs/>
          <w:lang w:bidi="he-IL"/>
        </w:rPr>
        <w:t xml:space="preserve">could have been </w:t>
      </w:r>
      <w:r w:rsidR="00DD19DB" w:rsidRPr="00FF7626">
        <w:rPr>
          <w:b/>
          <w:bCs/>
          <w:spacing w:val="-2"/>
          <w:lang w:bidi="he-IL"/>
        </w:rPr>
        <w:t>portrayed in regards to goring</w:t>
      </w:r>
      <w:r w:rsidR="00483747" w:rsidRPr="00FF7626">
        <w:rPr>
          <w:b/>
          <w:bCs/>
          <w:spacing w:val="-2"/>
          <w:lang w:bidi="he-IL"/>
        </w:rPr>
        <w:t xml:space="preserve">; </w:t>
      </w:r>
      <w:r w:rsidR="00483747" w:rsidRPr="00FF7626">
        <w:rPr>
          <w:spacing w:val="-2"/>
          <w:sz w:val="24"/>
          <w:szCs w:val="24"/>
          <w:lang w:bidi="he-IL"/>
        </w:rPr>
        <w:t xml:space="preserve">without resorting to the cases of </w:t>
      </w:r>
      <w:r w:rsidR="00483747" w:rsidRPr="00FF7626">
        <w:rPr>
          <w:rFonts w:hint="cs"/>
          <w:spacing w:val="-2"/>
          <w:sz w:val="24"/>
          <w:szCs w:val="24"/>
          <w:rtl/>
          <w:lang w:bidi="he-IL"/>
        </w:rPr>
        <w:t>להאכילו נבילות</w:t>
      </w:r>
      <w:r w:rsidR="00483747" w:rsidRPr="00FF7626">
        <w:rPr>
          <w:spacing w:val="-2"/>
          <w:sz w:val="24"/>
          <w:szCs w:val="24"/>
          <w:lang w:bidi="he-IL"/>
        </w:rPr>
        <w:t xml:space="preserve"> and </w:t>
      </w:r>
      <w:r w:rsidR="00483747" w:rsidRPr="00FF7626">
        <w:rPr>
          <w:rFonts w:hint="cs"/>
          <w:spacing w:val="-2"/>
          <w:sz w:val="24"/>
          <w:szCs w:val="24"/>
          <w:rtl/>
          <w:lang w:bidi="he-IL"/>
        </w:rPr>
        <w:t>להחיותו</w:t>
      </w:r>
      <w:r w:rsidR="00550370" w:rsidRPr="00FF7626">
        <w:rPr>
          <w:b/>
          <w:bCs/>
          <w:spacing w:val="-2"/>
          <w:sz w:val="24"/>
          <w:szCs w:val="24"/>
          <w:lang w:bidi="he-IL"/>
        </w:rPr>
        <w:t xml:space="preserve"> -</w:t>
      </w:r>
    </w:p>
    <w:p w:rsidR="00DD19DB" w:rsidRPr="00D80CEA" w:rsidRDefault="00DD19DB" w:rsidP="007B1DB3">
      <w:pPr>
        <w:widowControl w:val="0"/>
        <w:bidi/>
        <w:spacing w:line="276" w:lineRule="auto"/>
        <w:jc w:val="both"/>
        <w:rPr>
          <w:rFonts w:ascii="David" w:hAnsi="David" w:cs="David" w:hint="cs"/>
          <w:b/>
          <w:bCs/>
          <w:rtl/>
          <w:lang w:bidi="he-IL"/>
        </w:rPr>
      </w:pPr>
      <w:r w:rsidRPr="00D80CEA">
        <w:rPr>
          <w:rFonts w:ascii="David" w:hAnsi="David" w:cs="David"/>
          <w:b/>
          <w:bCs/>
          <w:rtl/>
          <w:lang w:bidi="he-IL"/>
        </w:rPr>
        <w:t>אלא ניחא בכל חד למצוא דבר חדש. מורינו הרב</w:t>
      </w:r>
      <w:r w:rsidR="004112B8" w:rsidRPr="00D80CEA">
        <w:rPr>
          <w:rFonts w:ascii="David" w:hAnsi="David" w:cs="David"/>
          <w:b/>
          <w:bCs/>
          <w:rtl/>
          <w:lang w:bidi="he-IL"/>
        </w:rPr>
        <w:t xml:space="preserve"> מאיר(?)</w:t>
      </w:r>
      <w:r w:rsidR="004112B8" w:rsidRPr="00D80CEA">
        <w:rPr>
          <w:rStyle w:val="FootnoteReference"/>
          <w:rFonts w:ascii="David" w:hAnsi="David" w:cs="David"/>
          <w:b/>
          <w:bCs/>
          <w:rtl/>
          <w:lang w:bidi="he-IL"/>
        </w:rPr>
        <w:footnoteReference w:id="5"/>
      </w:r>
      <w:r w:rsidRPr="00D80CEA">
        <w:rPr>
          <w:rFonts w:ascii="David" w:hAnsi="David" w:cs="David"/>
          <w:b/>
          <w:bCs/>
          <w:rtl/>
          <w:lang w:bidi="he-IL"/>
        </w:rPr>
        <w:t xml:space="preserve"> ]</w:t>
      </w:r>
      <w:r w:rsidR="00D80CEA">
        <w:rPr>
          <w:rFonts w:ascii="David" w:hAnsi="David" w:cs="David" w:hint="cs"/>
          <w:b/>
          <w:bCs/>
          <w:rtl/>
          <w:lang w:bidi="he-IL"/>
        </w:rPr>
        <w:t>:</w:t>
      </w:r>
    </w:p>
    <w:p w:rsidR="00E35C32" w:rsidRPr="00FF7626" w:rsidRDefault="00DD19DB" w:rsidP="00FF7626">
      <w:pPr>
        <w:widowControl w:val="0"/>
        <w:spacing w:line="276" w:lineRule="auto"/>
        <w:jc w:val="both"/>
        <w:rPr>
          <w:b/>
          <w:bCs/>
          <w:sz w:val="22"/>
          <w:szCs w:val="22"/>
          <w:lang w:bidi="he-IL"/>
        </w:rPr>
      </w:pPr>
      <w:r>
        <w:rPr>
          <w:b/>
          <w:bCs/>
          <w:lang w:bidi="he-IL"/>
        </w:rPr>
        <w:t>However it is desirable to find a novel</w:t>
      </w:r>
      <w:r w:rsidR="00550370">
        <w:rPr>
          <w:b/>
          <w:bCs/>
          <w:lang w:bidi="he-IL"/>
        </w:rPr>
        <w:t xml:space="preserve"> case</w:t>
      </w:r>
      <w:r>
        <w:rPr>
          <w:b/>
          <w:bCs/>
          <w:lang w:bidi="he-IL"/>
        </w:rPr>
        <w:t xml:space="preserve"> </w:t>
      </w:r>
      <w:r w:rsidR="00550370">
        <w:rPr>
          <w:b/>
          <w:bCs/>
          <w:lang w:bidi="he-IL"/>
        </w:rPr>
        <w:t>for</w:t>
      </w:r>
      <w:r>
        <w:rPr>
          <w:b/>
          <w:bCs/>
          <w:lang w:bidi="he-IL"/>
        </w:rPr>
        <w:t xml:space="preserve"> each </w:t>
      </w:r>
      <w:r w:rsidR="00550370" w:rsidRPr="00550370">
        <w:rPr>
          <w:lang w:bidi="he-IL"/>
        </w:rPr>
        <w:t>ruling</w:t>
      </w:r>
      <w:r w:rsidR="008828C3">
        <w:rPr>
          <w:lang w:bidi="he-IL"/>
        </w:rPr>
        <w:t>.</w:t>
      </w:r>
      <w:r w:rsidR="00FF7626">
        <w:rPr>
          <w:lang w:bidi="he-IL"/>
        </w:rPr>
        <w:t xml:space="preserve"> </w:t>
      </w:r>
      <w:r w:rsidR="00FF7626">
        <w:rPr>
          <w:rFonts w:hint="cs"/>
          <w:b/>
          <w:bCs/>
          <w:rtl/>
          <w:lang w:bidi="he-IL"/>
        </w:rPr>
        <w:t>מהר"ם</w:t>
      </w:r>
      <w:r w:rsidR="00FF7626">
        <w:rPr>
          <w:b/>
          <w:bCs/>
          <w:lang w:bidi="he-IL"/>
        </w:rPr>
        <w:t>.</w:t>
      </w:r>
      <w:r w:rsidR="008828C3">
        <w:rPr>
          <w:lang w:bidi="he-IL"/>
        </w:rPr>
        <w:t xml:space="preserve"> </w:t>
      </w:r>
      <w:r w:rsidR="008828C3" w:rsidRPr="00FF7626">
        <w:rPr>
          <w:sz w:val="24"/>
          <w:szCs w:val="24"/>
          <w:lang w:bidi="he-IL"/>
        </w:rPr>
        <w:t xml:space="preserve">Therefore the </w:t>
      </w:r>
      <w:r w:rsidR="008828C3" w:rsidRPr="00FF7626">
        <w:rPr>
          <w:rFonts w:hint="cs"/>
          <w:sz w:val="24"/>
          <w:szCs w:val="24"/>
          <w:rtl/>
          <w:lang w:bidi="he-IL"/>
        </w:rPr>
        <w:t>גמרא</w:t>
      </w:r>
      <w:r w:rsidR="008828C3" w:rsidRPr="00FF7626">
        <w:rPr>
          <w:sz w:val="24"/>
          <w:szCs w:val="24"/>
          <w:lang w:bidi="he-IL"/>
        </w:rPr>
        <w:t xml:space="preserve"> chose to discuss the cases of </w:t>
      </w:r>
      <w:r w:rsidR="008828C3" w:rsidRPr="00FF7626">
        <w:rPr>
          <w:rFonts w:hint="cs"/>
          <w:sz w:val="24"/>
          <w:szCs w:val="24"/>
          <w:rtl/>
          <w:lang w:bidi="he-IL"/>
        </w:rPr>
        <w:t>להחזיר אבידה</w:t>
      </w:r>
      <w:r w:rsidR="008828C3" w:rsidRPr="00FF7626">
        <w:rPr>
          <w:sz w:val="24"/>
          <w:szCs w:val="24"/>
          <w:lang w:bidi="he-IL"/>
        </w:rPr>
        <w:t xml:space="preserve"> and </w:t>
      </w:r>
      <w:r w:rsidR="008828C3" w:rsidRPr="00FF7626">
        <w:rPr>
          <w:rFonts w:hint="cs"/>
          <w:sz w:val="24"/>
          <w:szCs w:val="24"/>
          <w:rtl/>
          <w:lang w:bidi="he-IL"/>
        </w:rPr>
        <w:t>להאכילו נבילות</w:t>
      </w:r>
      <w:r w:rsidR="008828C3" w:rsidRPr="00FF7626">
        <w:rPr>
          <w:sz w:val="24"/>
          <w:szCs w:val="24"/>
          <w:lang w:bidi="he-IL"/>
        </w:rPr>
        <w:t xml:space="preserve"> in addition to </w:t>
      </w:r>
      <w:r w:rsidR="008828C3" w:rsidRPr="00FF7626">
        <w:rPr>
          <w:rFonts w:hint="cs"/>
          <w:sz w:val="24"/>
          <w:szCs w:val="24"/>
          <w:rtl/>
          <w:lang w:bidi="he-IL"/>
        </w:rPr>
        <w:t>נגיחה</w:t>
      </w:r>
      <w:r w:rsidR="00E52B23" w:rsidRPr="00FF7626">
        <w:rPr>
          <w:sz w:val="24"/>
          <w:szCs w:val="24"/>
          <w:lang w:bidi="he-IL"/>
        </w:rPr>
        <w:t>.</w:t>
      </w:r>
      <w:r w:rsidR="00E52B23" w:rsidRPr="00FF7626">
        <w:rPr>
          <w:b/>
          <w:bCs/>
          <w:sz w:val="24"/>
          <w:szCs w:val="24"/>
          <w:lang w:bidi="he-IL"/>
        </w:rPr>
        <w:t>]</w:t>
      </w:r>
    </w:p>
    <w:p w:rsidR="00FF7626" w:rsidRPr="00FF7626" w:rsidRDefault="00FF7626" w:rsidP="007B1DB3">
      <w:pPr>
        <w:widowControl w:val="0"/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E35C32" w:rsidRPr="007B1DB3" w:rsidRDefault="00E35C32" w:rsidP="007B1DB3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7B1DB3">
        <w:rPr>
          <w:rFonts w:ascii="Copperplate Gothic Bold" w:hAnsi="Copperplate Gothic Bold"/>
          <w:u w:val="double"/>
          <w:lang w:bidi="he-IL"/>
        </w:rPr>
        <w:t>Summary</w:t>
      </w:r>
      <w:r w:rsidR="00DD19DB" w:rsidRPr="007B1DB3">
        <w:rPr>
          <w:rFonts w:ascii="Copperplate Gothic Bold" w:hAnsi="Copperplate Gothic Bold"/>
          <w:u w:val="double"/>
          <w:lang w:bidi="he-IL"/>
        </w:rPr>
        <w:t xml:space="preserve"> </w:t>
      </w:r>
    </w:p>
    <w:p w:rsidR="009264BA" w:rsidRDefault="009264BA" w:rsidP="007B1DB3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lastRenderedPageBreak/>
        <w:t xml:space="preserve">The rule by </w:t>
      </w:r>
      <w:r>
        <w:rPr>
          <w:rFonts w:hint="cs"/>
          <w:rtl/>
          <w:lang w:bidi="he-IL"/>
        </w:rPr>
        <w:t>מחצה על מחצה</w:t>
      </w:r>
      <w:r>
        <w:rPr>
          <w:lang w:bidi="he-IL"/>
        </w:rPr>
        <w:t xml:space="preserve"> could </w:t>
      </w:r>
      <w:r w:rsidR="00915E48">
        <w:rPr>
          <w:lang w:bidi="he-IL"/>
        </w:rPr>
        <w:t>be stated</w:t>
      </w:r>
      <w:r>
        <w:rPr>
          <w:lang w:bidi="he-IL"/>
        </w:rPr>
        <w:t xml:space="preserve"> that he is considered an </w:t>
      </w:r>
      <w:r>
        <w:rPr>
          <w:rFonts w:hint="cs"/>
          <w:rtl/>
          <w:lang w:bidi="he-IL"/>
        </w:rPr>
        <w:t>עכו"ם</w:t>
      </w:r>
      <w:r>
        <w:rPr>
          <w:lang w:bidi="he-IL"/>
        </w:rPr>
        <w:t xml:space="preserve"> in a case of </w:t>
      </w:r>
      <w:r>
        <w:rPr>
          <w:rFonts w:hint="cs"/>
          <w:rtl/>
          <w:lang w:bidi="he-IL"/>
        </w:rPr>
        <w:t>נגח תורא דידן לתורא דידיה</w:t>
      </w:r>
      <w:r>
        <w:rPr>
          <w:lang w:bidi="he-IL"/>
        </w:rPr>
        <w:t xml:space="preserve">. [All three rulings can be explained in terms of </w:t>
      </w:r>
      <w:r>
        <w:rPr>
          <w:rFonts w:hint="cs"/>
          <w:rtl/>
          <w:lang w:bidi="he-IL"/>
        </w:rPr>
        <w:t>נגיחה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however desires to offer a different case for each ruling.]</w:t>
      </w:r>
    </w:p>
    <w:p w:rsidR="00E35C32" w:rsidRDefault="00E35C32" w:rsidP="007B1DB3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E35C32" w:rsidRPr="007B1DB3" w:rsidRDefault="00E35C32" w:rsidP="007B1DB3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7B1DB3">
        <w:rPr>
          <w:rFonts w:ascii="Copperplate Gothic Bold" w:hAnsi="Copperplate Gothic Bold"/>
          <w:u w:val="double"/>
          <w:lang w:bidi="he-IL"/>
        </w:rPr>
        <w:t>Thinking it over</w:t>
      </w:r>
    </w:p>
    <w:p w:rsidR="00614DDE" w:rsidRDefault="009264BA" w:rsidP="007B1DB3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1. </w:t>
      </w:r>
      <w:r w:rsidR="00614DDE">
        <w:rPr>
          <w:lang w:bidi="he-IL"/>
        </w:rPr>
        <w:t xml:space="preserve">Is </w:t>
      </w:r>
      <w:r w:rsidR="00614DDE">
        <w:rPr>
          <w:rFonts w:hint="cs"/>
          <w:rtl/>
          <w:lang w:bidi="he-IL"/>
        </w:rPr>
        <w:t>תוספות</w:t>
      </w:r>
      <w:r w:rsidR="00614DDE">
        <w:rPr>
          <w:lang w:bidi="he-IL"/>
        </w:rPr>
        <w:t xml:space="preserve"> (first) question</w:t>
      </w:r>
      <w:r>
        <w:rPr>
          <w:rStyle w:val="FootnoteReference"/>
          <w:lang w:bidi="he-IL"/>
        </w:rPr>
        <w:footnoteReference w:id="6"/>
      </w:r>
      <w:r w:rsidR="00614DDE">
        <w:rPr>
          <w:lang w:bidi="he-IL"/>
        </w:rPr>
        <w:t xml:space="preserve"> that instead of saying </w:t>
      </w:r>
      <w:r w:rsidR="00614DDE">
        <w:rPr>
          <w:rFonts w:hint="cs"/>
          <w:rtl/>
          <w:lang w:bidi="he-IL"/>
        </w:rPr>
        <w:t>מע"מ ישראל</w:t>
      </w:r>
      <w:r w:rsidR="00614DDE">
        <w:rPr>
          <w:lang w:bidi="he-IL"/>
        </w:rPr>
        <w:t xml:space="preserve"> it should have said </w:t>
      </w:r>
      <w:r w:rsidR="00614DDE">
        <w:rPr>
          <w:rFonts w:hint="cs"/>
          <w:rtl/>
          <w:lang w:bidi="he-IL"/>
        </w:rPr>
        <w:t>מע"מ עכו"ם</w:t>
      </w:r>
      <w:r w:rsidR="00614DDE">
        <w:rPr>
          <w:lang w:bidi="he-IL"/>
        </w:rPr>
        <w:t>;</w:t>
      </w:r>
      <w:r w:rsidR="00614DDE">
        <w:rPr>
          <w:rStyle w:val="FootnoteReference"/>
          <w:lang w:bidi="he-IL"/>
        </w:rPr>
        <w:footnoteReference w:id="7"/>
      </w:r>
      <w:r w:rsidR="00614DDE">
        <w:rPr>
          <w:lang w:bidi="he-IL"/>
        </w:rPr>
        <w:t xml:space="preserve"> or is </w:t>
      </w:r>
      <w:r w:rsidR="00614DDE">
        <w:rPr>
          <w:rFonts w:hint="cs"/>
          <w:rtl/>
          <w:lang w:bidi="he-IL"/>
        </w:rPr>
        <w:t>תוספות</w:t>
      </w:r>
      <w:r w:rsidR="00614DDE">
        <w:rPr>
          <w:lang w:bidi="he-IL"/>
        </w:rPr>
        <w:t xml:space="preserve"> question that since by </w:t>
      </w:r>
      <w:r w:rsidR="00614DDE">
        <w:rPr>
          <w:rFonts w:hint="cs"/>
          <w:rtl/>
          <w:lang w:bidi="he-IL"/>
        </w:rPr>
        <w:t>מע"מ</w:t>
      </w:r>
      <w:r w:rsidR="00614DDE">
        <w:rPr>
          <w:lang w:bidi="he-IL"/>
        </w:rPr>
        <w:t xml:space="preserve"> in certain instances he is considered a </w:t>
      </w:r>
      <w:r w:rsidR="00614DDE">
        <w:rPr>
          <w:rFonts w:hint="cs"/>
          <w:rtl/>
          <w:lang w:bidi="he-IL"/>
        </w:rPr>
        <w:t>ישראל</w:t>
      </w:r>
      <w:r w:rsidR="00614DDE">
        <w:rPr>
          <w:lang w:bidi="he-IL"/>
        </w:rPr>
        <w:t xml:space="preserve"> and in certain instances he is considered an </w:t>
      </w:r>
      <w:r w:rsidR="00614DDE">
        <w:rPr>
          <w:rFonts w:hint="cs"/>
          <w:rtl/>
          <w:lang w:bidi="he-IL"/>
        </w:rPr>
        <w:t>עכו"ם</w:t>
      </w:r>
      <w:r w:rsidR="00614DDE">
        <w:rPr>
          <w:lang w:bidi="he-IL"/>
        </w:rPr>
        <w:t>, how can we identify him as either?</w:t>
      </w:r>
      <w:r w:rsidR="00614DDE">
        <w:rPr>
          <w:rStyle w:val="FootnoteReference"/>
          <w:lang w:bidi="he-IL"/>
        </w:rPr>
        <w:footnoteReference w:id="8"/>
      </w:r>
    </w:p>
    <w:p w:rsidR="00614DDE" w:rsidRPr="00614DDE" w:rsidRDefault="00614DDE" w:rsidP="007B1DB3">
      <w:pPr>
        <w:widowControl w:val="0"/>
        <w:spacing w:line="276" w:lineRule="auto"/>
        <w:jc w:val="both"/>
        <w:rPr>
          <w:lang w:bidi="he-IL"/>
        </w:rPr>
      </w:pPr>
    </w:p>
    <w:p w:rsidR="00DD19DB" w:rsidRDefault="009264BA" w:rsidP="007B1DB3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2. </w:t>
      </w:r>
      <w:r w:rsidR="00E35C32">
        <w:rPr>
          <w:rFonts w:hint="cs"/>
          <w:rtl/>
          <w:lang w:bidi="he-IL"/>
        </w:rPr>
        <w:t>תוספות</w:t>
      </w:r>
      <w:r w:rsidR="00E35C32">
        <w:rPr>
          <w:lang w:bidi="he-IL"/>
        </w:rPr>
        <w:t xml:space="preserve"> insinuates (here and states clearly in </w:t>
      </w:r>
      <w:r w:rsidR="00E35C32">
        <w:rPr>
          <w:rFonts w:hint="cs"/>
          <w:rtl/>
          <w:lang w:bidi="he-IL"/>
        </w:rPr>
        <w:t>מסכת יומא</w:t>
      </w:r>
      <w:r w:rsidR="00E35C32">
        <w:rPr>
          <w:lang w:bidi="he-IL"/>
        </w:rPr>
        <w:t xml:space="preserve">) that by </w:t>
      </w:r>
      <w:r w:rsidR="00E35C32">
        <w:rPr>
          <w:rFonts w:hint="cs"/>
          <w:rtl/>
          <w:lang w:bidi="he-IL"/>
        </w:rPr>
        <w:t>רוב ישראל</w:t>
      </w:r>
      <w:r w:rsidR="00E35C32">
        <w:rPr>
          <w:lang w:bidi="he-IL"/>
        </w:rPr>
        <w:t xml:space="preserve"> if </w:t>
      </w:r>
      <w:r w:rsidR="00E35C32">
        <w:rPr>
          <w:rFonts w:hint="cs"/>
          <w:rtl/>
          <w:lang w:bidi="he-IL"/>
        </w:rPr>
        <w:t>נגח תורא דידן לתורא דידיה</w:t>
      </w:r>
      <w:r w:rsidR="00E35C32">
        <w:rPr>
          <w:lang w:bidi="he-IL"/>
        </w:rPr>
        <w:t xml:space="preserve"> the </w:t>
      </w:r>
      <w:r w:rsidR="00E35C32">
        <w:rPr>
          <w:rFonts w:hint="cs"/>
          <w:rtl/>
          <w:lang w:bidi="he-IL"/>
        </w:rPr>
        <w:t>ישראל</w:t>
      </w:r>
      <w:r w:rsidR="00E35C32">
        <w:rPr>
          <w:lang w:bidi="he-IL"/>
        </w:rPr>
        <w:t xml:space="preserve"> would be </w:t>
      </w:r>
      <w:r w:rsidR="00E35C32">
        <w:rPr>
          <w:rFonts w:hint="cs"/>
          <w:rtl/>
          <w:lang w:bidi="he-IL"/>
        </w:rPr>
        <w:t>חייב</w:t>
      </w:r>
      <w:r w:rsidR="00E35C32">
        <w:rPr>
          <w:lang w:bidi="he-IL"/>
        </w:rPr>
        <w:t>.</w:t>
      </w:r>
      <w:r w:rsidR="00E35C32">
        <w:rPr>
          <w:rStyle w:val="FootnoteReference"/>
          <w:lang w:bidi="he-IL"/>
        </w:rPr>
        <w:footnoteReference w:id="9"/>
      </w:r>
      <w:r w:rsidR="00DD19DB" w:rsidRPr="00E35C32">
        <w:rPr>
          <w:lang w:bidi="he-IL"/>
        </w:rPr>
        <w:t xml:space="preserve"> </w:t>
      </w:r>
      <w:r w:rsidR="00E35C32">
        <w:rPr>
          <w:lang w:bidi="he-IL"/>
        </w:rPr>
        <w:t xml:space="preserve">According to the previous </w:t>
      </w:r>
      <w:r w:rsidR="00E35C32">
        <w:rPr>
          <w:rFonts w:hint="cs"/>
          <w:rtl/>
          <w:lang w:bidi="he-IL"/>
        </w:rPr>
        <w:t>תוספות ד"ה להחזיר</w:t>
      </w:r>
      <w:r w:rsidR="00E35C32">
        <w:rPr>
          <w:lang w:bidi="he-IL"/>
        </w:rPr>
        <w:t xml:space="preserve"> the rule of </w:t>
      </w:r>
      <w:r w:rsidR="00E35C32">
        <w:rPr>
          <w:rFonts w:hint="cs"/>
          <w:rtl/>
          <w:lang w:bidi="he-IL"/>
        </w:rPr>
        <w:t>אין הולכין בממון אחר הרוב</w:t>
      </w:r>
      <w:r w:rsidR="00E35C32">
        <w:rPr>
          <w:lang w:bidi="he-IL"/>
        </w:rPr>
        <w:t xml:space="preserve"> should apply here, for the </w:t>
      </w:r>
      <w:r w:rsidR="00E35C32">
        <w:rPr>
          <w:rFonts w:hint="cs"/>
          <w:rtl/>
          <w:lang w:bidi="he-IL"/>
        </w:rPr>
        <w:t>מזיק</w:t>
      </w:r>
      <w:r w:rsidR="00E35C32">
        <w:rPr>
          <w:lang w:bidi="he-IL"/>
        </w:rPr>
        <w:t xml:space="preserve"> owns the money </w:t>
      </w:r>
      <w:r w:rsidR="00E35C32">
        <w:rPr>
          <w:rFonts w:hint="cs"/>
          <w:rtl/>
          <w:lang w:bidi="he-IL"/>
        </w:rPr>
        <w:t>בהיתר</w:t>
      </w:r>
      <w:r w:rsidR="00E35C32">
        <w:rPr>
          <w:lang w:bidi="he-IL"/>
        </w:rPr>
        <w:t>!</w:t>
      </w:r>
      <w:r w:rsidR="00915E48">
        <w:rPr>
          <w:lang w:bidi="he-IL"/>
        </w:rPr>
        <w:t xml:space="preserve"> Why therefore, should the </w:t>
      </w:r>
      <w:r w:rsidR="00915E48">
        <w:rPr>
          <w:rFonts w:hint="cs"/>
          <w:rtl/>
          <w:lang w:bidi="he-IL"/>
        </w:rPr>
        <w:t>ישראל</w:t>
      </w:r>
      <w:r w:rsidR="00915E48">
        <w:rPr>
          <w:lang w:bidi="he-IL"/>
        </w:rPr>
        <w:t xml:space="preserve"> be obligated to pay, unless the child brings proof that he is a </w:t>
      </w:r>
      <w:r w:rsidR="00915E48">
        <w:rPr>
          <w:rFonts w:hint="cs"/>
          <w:rtl/>
          <w:lang w:bidi="he-IL"/>
        </w:rPr>
        <w:t>ישראל</w:t>
      </w:r>
      <w:r w:rsidR="00915E48">
        <w:rPr>
          <w:lang w:bidi="he-IL"/>
        </w:rPr>
        <w:t>?!</w:t>
      </w:r>
      <w:r w:rsidR="0062582D">
        <w:rPr>
          <w:rStyle w:val="FootnoteReference"/>
          <w:lang w:bidi="he-IL"/>
        </w:rPr>
        <w:footnoteReference w:id="10"/>
      </w:r>
    </w:p>
    <w:p w:rsidR="007B1DB3" w:rsidRDefault="007B1DB3" w:rsidP="007B1DB3">
      <w:pPr>
        <w:widowControl w:val="0"/>
        <w:spacing w:line="276" w:lineRule="auto"/>
        <w:jc w:val="both"/>
        <w:rPr>
          <w:lang w:bidi="he-IL"/>
        </w:rPr>
      </w:pPr>
    </w:p>
    <w:p w:rsidR="007B1DB3" w:rsidRDefault="007B1DB3" w:rsidP="007B1DB3">
      <w:pPr>
        <w:widowControl w:val="0"/>
        <w:spacing w:line="276" w:lineRule="auto"/>
        <w:jc w:val="center"/>
        <w:rPr>
          <w:rFonts w:hint="cs"/>
          <w:b/>
          <w:bCs/>
          <w:rtl/>
          <w:lang w:bidi="he-IL"/>
        </w:rPr>
      </w:pPr>
      <w:r>
        <w:rPr>
          <w:rFonts w:hint="cs"/>
          <w:b/>
          <w:bCs/>
          <w:rtl/>
          <w:lang w:bidi="he-IL"/>
        </w:rPr>
        <w:t>הדרן עלך בתולה נשאת</w:t>
      </w:r>
    </w:p>
    <w:p w:rsidR="007B1DB3" w:rsidRDefault="007B1DB3" w:rsidP="007B1DB3">
      <w:pPr>
        <w:widowControl w:val="0"/>
        <w:spacing w:line="276" w:lineRule="auto"/>
        <w:jc w:val="center"/>
        <w:rPr>
          <w:rFonts w:hint="cs"/>
          <w:b/>
          <w:bCs/>
          <w:rtl/>
          <w:lang w:bidi="he-IL"/>
        </w:rPr>
      </w:pPr>
      <w:r>
        <w:rPr>
          <w:b/>
          <w:bCs/>
          <w:lang w:bidi="he-IL"/>
        </w:rPr>
        <w:t xml:space="preserve">We shall return to you </w:t>
      </w:r>
      <w:r>
        <w:rPr>
          <w:rFonts w:hint="cs"/>
          <w:rtl/>
          <w:lang w:bidi="he-IL"/>
        </w:rPr>
        <w:t xml:space="preserve">פרק </w:t>
      </w:r>
      <w:r>
        <w:rPr>
          <w:rFonts w:hint="cs"/>
          <w:b/>
          <w:bCs/>
          <w:rtl/>
          <w:lang w:bidi="he-IL"/>
        </w:rPr>
        <w:t>בתולה נשאת</w:t>
      </w:r>
    </w:p>
    <w:p w:rsidR="00FF7626" w:rsidRPr="00FF7626" w:rsidRDefault="00FF7626" w:rsidP="007B1DB3">
      <w:pPr>
        <w:widowControl w:val="0"/>
        <w:spacing w:line="276" w:lineRule="auto"/>
        <w:jc w:val="center"/>
        <w:rPr>
          <w:b/>
          <w:bCs/>
          <w:sz w:val="24"/>
          <w:szCs w:val="24"/>
          <w:lang w:bidi="he-IL"/>
        </w:rPr>
      </w:pPr>
    </w:p>
    <w:p w:rsidR="007B1DB3" w:rsidRPr="00FF7626" w:rsidRDefault="00FF7626" w:rsidP="007B1DB3">
      <w:pPr>
        <w:widowControl w:val="0"/>
        <w:spacing w:line="276" w:lineRule="auto"/>
        <w:jc w:val="center"/>
        <w:rPr>
          <w:b/>
          <w:bCs/>
          <w:lang w:bidi="he-IL"/>
        </w:rPr>
      </w:pPr>
      <w:r>
        <w:rPr>
          <w:rFonts w:hint="cs"/>
          <w:b/>
          <w:bCs/>
          <w:rtl/>
          <w:lang w:bidi="he-IL"/>
        </w:rPr>
        <w:t>********</w:t>
      </w:r>
    </w:p>
    <w:p w:rsidR="00FF7626" w:rsidRPr="00FF7626" w:rsidRDefault="00FF7626" w:rsidP="007B1DB3">
      <w:pPr>
        <w:widowControl w:val="0"/>
        <w:spacing w:line="276" w:lineRule="auto"/>
        <w:jc w:val="center"/>
        <w:rPr>
          <w:rFonts w:hint="cs"/>
          <w:b/>
          <w:bCs/>
          <w:rtl/>
          <w:lang w:bidi="he-IL"/>
        </w:rPr>
      </w:pPr>
      <w:r w:rsidRPr="00FF7626">
        <w:rPr>
          <w:rFonts w:hint="cs"/>
          <w:b/>
          <w:bCs/>
          <w:rtl/>
          <w:lang w:bidi="he-IL"/>
        </w:rPr>
        <w:t>גמרנו פירושי התוספות לנכון</w:t>
      </w:r>
    </w:p>
    <w:p w:rsidR="00FF7626" w:rsidRPr="00FF7626" w:rsidRDefault="00FF7626" w:rsidP="007B1DB3">
      <w:pPr>
        <w:widowControl w:val="0"/>
        <w:spacing w:line="276" w:lineRule="auto"/>
        <w:jc w:val="center"/>
        <w:rPr>
          <w:rFonts w:hint="cs"/>
          <w:b/>
          <w:bCs/>
          <w:rtl/>
          <w:lang w:bidi="he-IL"/>
        </w:rPr>
      </w:pPr>
      <w:r w:rsidRPr="00FF7626">
        <w:rPr>
          <w:rFonts w:hint="cs"/>
          <w:b/>
          <w:bCs/>
          <w:rtl/>
          <w:lang w:bidi="he-IL"/>
        </w:rPr>
        <w:t>למסכת כתובות פרק ראשון</w:t>
      </w:r>
    </w:p>
    <w:p w:rsidR="00FF7626" w:rsidRPr="00FF7626" w:rsidRDefault="00FF7626" w:rsidP="007B1DB3">
      <w:pPr>
        <w:widowControl w:val="0"/>
        <w:spacing w:line="276" w:lineRule="auto"/>
        <w:jc w:val="center"/>
        <w:rPr>
          <w:rFonts w:hint="cs"/>
          <w:b/>
          <w:bCs/>
          <w:rtl/>
          <w:lang w:bidi="he-IL"/>
        </w:rPr>
      </w:pPr>
      <w:r w:rsidRPr="00FF7626">
        <w:rPr>
          <w:rFonts w:hint="cs"/>
          <w:b/>
          <w:bCs/>
          <w:rtl/>
          <w:lang w:bidi="he-IL"/>
        </w:rPr>
        <w:t>בעזרת החונן לאדם דעת והגיון</w:t>
      </w:r>
    </w:p>
    <w:p w:rsidR="00FF7626" w:rsidRPr="00FF7626" w:rsidRDefault="00FF7626" w:rsidP="007B1DB3">
      <w:pPr>
        <w:widowControl w:val="0"/>
        <w:spacing w:line="276" w:lineRule="auto"/>
        <w:jc w:val="center"/>
        <w:rPr>
          <w:rFonts w:hint="cs"/>
          <w:b/>
          <w:bCs/>
          <w:rtl/>
          <w:lang w:bidi="he-IL"/>
        </w:rPr>
      </w:pPr>
      <w:r w:rsidRPr="00FF7626">
        <w:rPr>
          <w:rFonts w:hint="cs"/>
          <w:b/>
          <w:bCs/>
          <w:rtl/>
          <w:lang w:bidi="he-IL"/>
        </w:rPr>
        <w:t>שגבנו טהרנו א-ל אדון</w:t>
      </w:r>
    </w:p>
    <w:p w:rsidR="00FF7626" w:rsidRDefault="00FF7626" w:rsidP="007B1DB3">
      <w:pPr>
        <w:widowControl w:val="0"/>
        <w:spacing w:line="276" w:lineRule="auto"/>
        <w:jc w:val="center"/>
        <w:rPr>
          <w:rFonts w:hint="cs"/>
          <w:rtl/>
          <w:lang w:bidi="he-IL"/>
        </w:rPr>
      </w:pPr>
      <w:r w:rsidRPr="00FF7626">
        <w:rPr>
          <w:rFonts w:hint="cs"/>
          <w:b/>
          <w:bCs/>
          <w:rtl/>
          <w:lang w:bidi="he-IL"/>
        </w:rPr>
        <w:t>לעבדך באמת בהכשר ויתרון</w:t>
      </w:r>
    </w:p>
    <w:p w:rsidR="00FF7626" w:rsidRPr="00E35C32" w:rsidRDefault="00FF7626" w:rsidP="007B1DB3">
      <w:pPr>
        <w:widowControl w:val="0"/>
        <w:spacing w:line="276" w:lineRule="auto"/>
        <w:jc w:val="center"/>
        <w:rPr>
          <w:rFonts w:hint="cs"/>
          <w:rtl/>
          <w:lang w:bidi="he-IL"/>
        </w:rPr>
      </w:pPr>
    </w:p>
    <w:sectPr w:rsidR="00FF7626" w:rsidRPr="00E35C32" w:rsidSect="009F5036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72A" w:rsidRDefault="0089072A">
      <w:r>
        <w:separator/>
      </w:r>
    </w:p>
  </w:endnote>
  <w:endnote w:type="continuationSeparator" w:id="0">
    <w:p w:rsidR="0089072A" w:rsidRDefault="00890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30A" w:rsidRDefault="00C3030A" w:rsidP="00C5125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3030A" w:rsidRDefault="00C303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DB3" w:rsidRDefault="007B1DB3">
    <w:pPr>
      <w:pStyle w:val="Footer"/>
      <w:jc w:val="center"/>
      <w:rPr>
        <w:rFonts w:hint="cs"/>
        <w:noProof/>
        <w:sz w:val="16"/>
        <w:szCs w:val="16"/>
        <w:rtl/>
        <w:lang w:bidi="he-IL"/>
      </w:rPr>
    </w:pPr>
    <w:r w:rsidRPr="007B1DB3">
      <w:rPr>
        <w:sz w:val="20"/>
        <w:szCs w:val="20"/>
      </w:rPr>
      <w:fldChar w:fldCharType="begin"/>
    </w:r>
    <w:r w:rsidRPr="007B1DB3">
      <w:rPr>
        <w:sz w:val="20"/>
        <w:szCs w:val="20"/>
      </w:rPr>
      <w:instrText xml:space="preserve"> PAGE   \* MERGEFORMAT </w:instrText>
    </w:r>
    <w:r w:rsidRPr="007B1DB3">
      <w:rPr>
        <w:sz w:val="20"/>
        <w:szCs w:val="20"/>
      </w:rPr>
      <w:fldChar w:fldCharType="separate"/>
    </w:r>
    <w:r w:rsidR="00186E32">
      <w:rPr>
        <w:noProof/>
        <w:sz w:val="20"/>
        <w:szCs w:val="20"/>
      </w:rPr>
      <w:t>2</w:t>
    </w:r>
    <w:r w:rsidRPr="007B1DB3">
      <w:rPr>
        <w:noProof/>
        <w:sz w:val="20"/>
        <w:szCs w:val="20"/>
      </w:rPr>
      <w:fldChar w:fldCharType="end"/>
    </w:r>
  </w:p>
  <w:p w:rsidR="007B1DB3" w:rsidRPr="007B1DB3" w:rsidRDefault="007B1DB3">
    <w:pPr>
      <w:pStyle w:val="Footer"/>
      <w:jc w:val="center"/>
      <w:rPr>
        <w:sz w:val="16"/>
        <w:szCs w:val="16"/>
        <w:lang w:bidi="he-IL"/>
      </w:rPr>
    </w:pPr>
    <w:r>
      <w:rPr>
        <w:noProof/>
        <w:sz w:val="16"/>
        <w:szCs w:val="16"/>
        <w:lang w:bidi="he-IL"/>
      </w:rPr>
      <w:t>TosfosInEnglish.com</w:t>
    </w:r>
  </w:p>
  <w:p w:rsidR="00C3030A" w:rsidRPr="00161D6E" w:rsidRDefault="00C3030A" w:rsidP="00161D6E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72A" w:rsidRDefault="0089072A">
      <w:r>
        <w:separator/>
      </w:r>
    </w:p>
  </w:footnote>
  <w:footnote w:type="continuationSeparator" w:id="0">
    <w:p w:rsidR="0089072A" w:rsidRDefault="0089072A">
      <w:r>
        <w:continuationSeparator/>
      </w:r>
    </w:p>
  </w:footnote>
  <w:footnote w:id="1">
    <w:p w:rsidR="00C3030A" w:rsidRDefault="00C3030A" w:rsidP="00FF7626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The term ‘child’ is used here as an identifier. It is referring to the person whose lineage is doubtful.</w:t>
      </w:r>
    </w:p>
  </w:footnote>
  <w:footnote w:id="2">
    <w:p w:rsidR="00C3030A" w:rsidRDefault="00C3030A" w:rsidP="00FF7626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‘Thinking it over # 1.</w:t>
      </w:r>
    </w:p>
  </w:footnote>
  <w:footnote w:id="3">
    <w:p w:rsidR="007B1DB3" w:rsidRDefault="007B1DB3" w:rsidP="00FF7626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This last section of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is bracketed in the original text.</w:t>
      </w:r>
    </w:p>
  </w:footnote>
  <w:footnote w:id="4">
    <w:p w:rsidR="007B1DB3" w:rsidRDefault="007B1DB3" w:rsidP="00FF7626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רוב ישראל ישראל</w:t>
      </w:r>
      <w:r>
        <w:rPr>
          <w:lang w:bidi="he-IL"/>
        </w:rPr>
        <w:t xml:space="preserve"> is concerning </w:t>
      </w:r>
      <w:r>
        <w:rPr>
          <w:rFonts w:hint="cs"/>
          <w:rtl/>
          <w:lang w:bidi="he-IL"/>
        </w:rPr>
        <w:t>דנגח תורא דידן לתורא דידיה</w:t>
      </w:r>
      <w:r>
        <w:rPr>
          <w:lang w:bidi="he-IL"/>
        </w:rPr>
        <w:t xml:space="preserve"> and the </w:t>
      </w:r>
      <w:r>
        <w:rPr>
          <w:rFonts w:hint="cs"/>
          <w:rtl/>
          <w:lang w:bidi="he-IL"/>
        </w:rPr>
        <w:t>ישראל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חייב</w:t>
      </w:r>
      <w:r>
        <w:rPr>
          <w:lang w:bidi="he-IL"/>
        </w:rPr>
        <w:t xml:space="preserve"> (see ‘Thinking it over’ # 2); </w:t>
      </w:r>
      <w:r>
        <w:rPr>
          <w:rFonts w:hint="cs"/>
          <w:rtl/>
          <w:lang w:bidi="he-IL"/>
        </w:rPr>
        <w:t>מע"מ ישראל</w:t>
      </w:r>
      <w:r>
        <w:rPr>
          <w:lang w:bidi="he-IL"/>
        </w:rPr>
        <w:t xml:space="preserve"> is concerning </w:t>
      </w:r>
      <w:r>
        <w:rPr>
          <w:rFonts w:hint="cs"/>
          <w:rtl/>
          <w:lang w:bidi="he-IL"/>
        </w:rPr>
        <w:t>דנגח תורא דידיה לתורא דידן</w:t>
      </w:r>
      <w:r>
        <w:rPr>
          <w:lang w:bidi="he-IL"/>
        </w:rPr>
        <w:t xml:space="preserve"> and the child is </w:t>
      </w:r>
      <w:r>
        <w:rPr>
          <w:rFonts w:hint="cs"/>
          <w:rtl/>
          <w:lang w:bidi="he-IL"/>
        </w:rPr>
        <w:t>חייב</w:t>
      </w:r>
      <w:r>
        <w:rPr>
          <w:lang w:bidi="he-IL"/>
        </w:rPr>
        <w:t xml:space="preserve"> only </w:t>
      </w:r>
      <w:r>
        <w:rPr>
          <w:rFonts w:hint="cs"/>
          <w:rtl/>
          <w:lang w:bidi="he-IL"/>
        </w:rPr>
        <w:t>מחצה</w:t>
      </w:r>
      <w:r>
        <w:rPr>
          <w:lang w:bidi="he-IL"/>
        </w:rPr>
        <w:t xml:space="preserve">; </w:t>
      </w:r>
      <w:r>
        <w:rPr>
          <w:rFonts w:hint="cs"/>
          <w:rtl/>
          <w:lang w:bidi="he-IL"/>
        </w:rPr>
        <w:t>רוב עכו"ם עכו"ם</w:t>
      </w:r>
      <w:r>
        <w:rPr>
          <w:lang w:bidi="he-IL"/>
        </w:rPr>
        <w:t xml:space="preserve"> is concerning </w:t>
      </w:r>
      <w:r>
        <w:rPr>
          <w:rFonts w:hint="cs"/>
          <w:rtl/>
          <w:lang w:bidi="he-IL"/>
        </w:rPr>
        <w:t>דנגח תורא דידיה לתורא דידן</w:t>
      </w:r>
      <w:r>
        <w:rPr>
          <w:lang w:bidi="he-IL"/>
        </w:rPr>
        <w:t xml:space="preserve"> and the child is </w:t>
      </w:r>
      <w:r>
        <w:rPr>
          <w:rFonts w:hint="cs"/>
          <w:rtl/>
          <w:lang w:bidi="he-IL"/>
        </w:rPr>
        <w:t>חייב נזק שלם</w:t>
      </w:r>
      <w:r>
        <w:rPr>
          <w:lang w:bidi="he-IL"/>
        </w:rPr>
        <w:t xml:space="preserve">. </w:t>
      </w:r>
    </w:p>
  </w:footnote>
  <w:footnote w:id="5">
    <w:p w:rsidR="00C3030A" w:rsidRDefault="00C3030A" w:rsidP="00FF7626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This may be an addendum by the </w:t>
      </w:r>
      <w:r>
        <w:rPr>
          <w:rFonts w:hint="cs"/>
          <w:rtl/>
          <w:lang w:bidi="he-IL"/>
        </w:rPr>
        <w:t>מהר"ם מרוטנבורק</w:t>
      </w:r>
      <w:r>
        <w:rPr>
          <w:lang w:bidi="he-IL"/>
        </w:rPr>
        <w:t xml:space="preserve">. See: </w:t>
      </w:r>
      <w:r>
        <w:rPr>
          <w:rFonts w:hint="cs"/>
          <w:rtl/>
          <w:lang w:bidi="he-IL"/>
        </w:rPr>
        <w:t>שה"ג אות מ' #29</w:t>
      </w:r>
      <w:r>
        <w:rPr>
          <w:lang w:bidi="he-IL"/>
        </w:rPr>
        <w:t xml:space="preserve">. He mentions there </w:t>
      </w:r>
      <w:r>
        <w:rPr>
          <w:rFonts w:hint="cs"/>
          <w:rtl/>
          <w:lang w:bidi="he-IL"/>
        </w:rPr>
        <w:t>(אות ג')</w:t>
      </w:r>
      <w:r>
        <w:rPr>
          <w:lang w:bidi="he-IL"/>
        </w:rPr>
        <w:t xml:space="preserve"> that the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on </w:t>
      </w:r>
      <w:r>
        <w:rPr>
          <w:rFonts w:hint="cs"/>
          <w:rtl/>
          <w:lang w:bidi="he-IL"/>
        </w:rPr>
        <w:t>מסכת יומא</w:t>
      </w:r>
      <w:r>
        <w:rPr>
          <w:lang w:bidi="he-IL"/>
        </w:rPr>
        <w:t xml:space="preserve"> are from the </w:t>
      </w:r>
      <w:r>
        <w:rPr>
          <w:rFonts w:hint="cs"/>
          <w:rtl/>
          <w:lang w:bidi="he-IL"/>
        </w:rPr>
        <w:t>מהר"ם מרוטנבורק</w:t>
      </w:r>
      <w:r>
        <w:rPr>
          <w:lang w:bidi="he-IL"/>
        </w:rPr>
        <w:t xml:space="preserve">. This [bracketed addendum] is a summation from a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in </w:t>
      </w:r>
      <w:r>
        <w:rPr>
          <w:rFonts w:hint="cs"/>
          <w:rtl/>
          <w:lang w:bidi="he-IL"/>
        </w:rPr>
        <w:t>יומא דף פה.א ד"ה לא</w:t>
      </w:r>
      <w:r>
        <w:rPr>
          <w:lang w:bidi="he-IL"/>
        </w:rPr>
        <w:t>.</w:t>
      </w:r>
    </w:p>
  </w:footnote>
  <w:footnote w:id="6">
    <w:p w:rsidR="00C3030A" w:rsidRDefault="00C3030A" w:rsidP="00FF7626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2.</w:t>
      </w:r>
    </w:p>
  </w:footnote>
  <w:footnote w:id="7">
    <w:p w:rsidR="00C3030A" w:rsidRDefault="00C3030A" w:rsidP="00FF7626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If this option is accepted, a reason is necessary as to why one choice is better than the other.</w:t>
      </w:r>
    </w:p>
  </w:footnote>
  <w:footnote w:id="8">
    <w:p w:rsidR="00C3030A" w:rsidRDefault="00C3030A" w:rsidP="00FF7626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סוכ"ד אות קי</w:t>
      </w:r>
      <w:r>
        <w:rPr>
          <w:lang w:bidi="he-IL"/>
        </w:rPr>
        <w:t>.</w:t>
      </w:r>
    </w:p>
  </w:footnote>
  <w:footnote w:id="9">
    <w:p w:rsidR="00C3030A" w:rsidRDefault="00C3030A" w:rsidP="00FF7626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4.</w:t>
      </w:r>
    </w:p>
  </w:footnote>
  <w:footnote w:id="10">
    <w:p w:rsidR="00C3030A" w:rsidRDefault="00C3030A" w:rsidP="00FF7626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תוספות הרא"ש (מהודרת מוסד הרב [נערך ע"י א. ליכטנשטיין]) הערה 771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30A" w:rsidRPr="00161D6E" w:rsidRDefault="00C3030A" w:rsidP="00161D6E">
    <w:pPr>
      <w:pStyle w:val="Header"/>
      <w:bidi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טו,ב תוס' ד"ה לא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1D6E"/>
    <w:rsid w:val="00161D6E"/>
    <w:rsid w:val="00184D2E"/>
    <w:rsid w:val="00186E32"/>
    <w:rsid w:val="0020216B"/>
    <w:rsid w:val="00210A1E"/>
    <w:rsid w:val="002D773A"/>
    <w:rsid w:val="003F6705"/>
    <w:rsid w:val="004112B8"/>
    <w:rsid w:val="00483747"/>
    <w:rsid w:val="00550370"/>
    <w:rsid w:val="00574FBE"/>
    <w:rsid w:val="00614DDE"/>
    <w:rsid w:val="0062582D"/>
    <w:rsid w:val="007552E7"/>
    <w:rsid w:val="007B1DB3"/>
    <w:rsid w:val="00846055"/>
    <w:rsid w:val="008828C3"/>
    <w:rsid w:val="0089054C"/>
    <w:rsid w:val="0089072A"/>
    <w:rsid w:val="008C5B64"/>
    <w:rsid w:val="00915E48"/>
    <w:rsid w:val="009264BA"/>
    <w:rsid w:val="00985644"/>
    <w:rsid w:val="009F5036"/>
    <w:rsid w:val="009F7E8B"/>
    <w:rsid w:val="00A70FC5"/>
    <w:rsid w:val="00AB784C"/>
    <w:rsid w:val="00C3030A"/>
    <w:rsid w:val="00C5125B"/>
    <w:rsid w:val="00D54370"/>
    <w:rsid w:val="00D80CEA"/>
    <w:rsid w:val="00D80DE2"/>
    <w:rsid w:val="00DD19DB"/>
    <w:rsid w:val="00E35C32"/>
    <w:rsid w:val="00E52B23"/>
    <w:rsid w:val="00F06469"/>
    <w:rsid w:val="00FF2A2C"/>
    <w:rsid w:val="00FF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E8C515D-659A-474F-A5D2-0C027171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161D6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61D6E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DD19DB"/>
    <w:rPr>
      <w:sz w:val="20"/>
      <w:szCs w:val="20"/>
    </w:rPr>
  </w:style>
  <w:style w:type="character" w:styleId="FootnoteReference">
    <w:name w:val="footnote reference"/>
    <w:semiHidden/>
    <w:rsid w:val="00DD19DB"/>
    <w:rPr>
      <w:vertAlign w:val="superscript"/>
    </w:rPr>
  </w:style>
  <w:style w:type="character" w:styleId="PageNumber">
    <w:name w:val="page number"/>
    <w:basedOn w:val="DefaultParagraphFont"/>
    <w:rsid w:val="009264BA"/>
  </w:style>
  <w:style w:type="character" w:customStyle="1" w:styleId="FooterChar">
    <w:name w:val="Footer Char"/>
    <w:link w:val="Footer"/>
    <w:uiPriority w:val="99"/>
    <w:rsid w:val="007B1DB3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לא צריכא דנגחיה תורא דידיה כולי –</vt:lpstr>
    </vt:vector>
  </TitlesOfParts>
  <Company> </Company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לא צריכא דנגחיה תורא דידיה כולי –</dc:title>
  <dc:subject/>
  <dc:creator> </dc:creator>
  <cp:keywords/>
  <dc:description/>
  <cp:lastModifiedBy>Microsoft account</cp:lastModifiedBy>
  <cp:revision>2</cp:revision>
  <cp:lastPrinted>2016-04-19T14:27:00Z</cp:lastPrinted>
  <dcterms:created xsi:type="dcterms:W3CDTF">2022-04-05T10:48:00Z</dcterms:created>
  <dcterms:modified xsi:type="dcterms:W3CDTF">2022-04-05T10:48:00Z</dcterms:modified>
</cp:coreProperties>
</file>