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4C7" w:rsidRDefault="00262199" w:rsidP="005B34C7">
      <w:pPr>
        <w:widowControl w:val="0"/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ומודה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רבי יהושע באומר </w:t>
      </w:r>
      <w:r w:rsidRPr="00262199">
        <w:rPr>
          <w:rFonts w:hint="cs"/>
          <w:b/>
          <w:bCs/>
          <w:sz w:val="32"/>
          <w:szCs w:val="32"/>
          <w:rtl/>
          <w:lang w:bidi="he-IL"/>
        </w:rPr>
        <w:t>שדה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כולי דנאמן</w:t>
      </w:r>
      <w:r w:rsidR="005B34C7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5B34C7">
        <w:rPr>
          <w:b/>
          <w:bCs/>
          <w:sz w:val="32"/>
          <w:szCs w:val="32"/>
          <w:rtl/>
          <w:lang w:bidi="he-IL"/>
        </w:rPr>
        <w:t>–</w:t>
      </w:r>
      <w:r w:rsidR="005B34C7">
        <w:rPr>
          <w:b/>
          <w:bCs/>
          <w:sz w:val="32"/>
          <w:szCs w:val="32"/>
          <w:lang w:bidi="he-IL"/>
        </w:rPr>
        <w:t xml:space="preserve">admits in </w:t>
      </w:r>
      <w:r w:rsidR="005B34C7">
        <w:rPr>
          <w:sz w:val="32"/>
          <w:szCs w:val="32"/>
          <w:lang w:bidi="he-IL"/>
        </w:rPr>
        <w:t xml:space="preserve">a case   </w:t>
      </w:r>
      <w:r w:rsidR="005B34C7">
        <w:rPr>
          <w:rFonts w:hint="cs"/>
          <w:b/>
          <w:bCs/>
          <w:sz w:val="32"/>
          <w:szCs w:val="32"/>
          <w:rtl/>
          <w:lang w:bidi="he-IL"/>
        </w:rPr>
        <w:t xml:space="preserve"> ר"י </w:t>
      </w:r>
      <w:r w:rsidR="005B34C7">
        <w:rPr>
          <w:b/>
          <w:bCs/>
          <w:sz w:val="32"/>
          <w:szCs w:val="32"/>
          <w:lang w:bidi="he-IL"/>
        </w:rPr>
        <w:t>And</w:t>
      </w:r>
    </w:p>
    <w:p w:rsidR="00D80DE2" w:rsidRDefault="00262199" w:rsidP="00A76EDC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 xml:space="preserve">where one says </w:t>
      </w:r>
      <w:r>
        <w:rPr>
          <w:sz w:val="32"/>
          <w:szCs w:val="32"/>
          <w:lang w:bidi="he-IL"/>
        </w:rPr>
        <w:t xml:space="preserve">this </w:t>
      </w:r>
      <w:r>
        <w:rPr>
          <w:b/>
          <w:bCs/>
          <w:sz w:val="32"/>
          <w:szCs w:val="32"/>
          <w:lang w:bidi="he-IL"/>
        </w:rPr>
        <w:t>field, etc.; that he is believed.</w:t>
      </w:r>
    </w:p>
    <w:p w:rsidR="00262199" w:rsidRDefault="00262199" w:rsidP="00A76EDC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262199" w:rsidRPr="005B34C7" w:rsidRDefault="00E3458F" w:rsidP="00A76EDC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5B34C7">
        <w:rPr>
          <w:rFonts w:ascii="Copperplate Gothic Bold" w:hAnsi="Copperplate Gothic Bold"/>
          <w:u w:val="double"/>
          <w:lang w:bidi="he-IL"/>
        </w:rPr>
        <w:t>Overview</w:t>
      </w:r>
    </w:p>
    <w:p w:rsidR="00E3458F" w:rsidRPr="00E3458F" w:rsidRDefault="00E3458F" w:rsidP="005B34C7">
      <w:pPr>
        <w:widowControl w:val="0"/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agrees (to </w:t>
      </w:r>
      <w:r>
        <w:rPr>
          <w:rFonts w:hint="cs"/>
          <w:rtl/>
          <w:lang w:bidi="he-IL"/>
        </w:rPr>
        <w:t>ר"ג ור"א</w:t>
      </w:r>
      <w:r>
        <w:rPr>
          <w:lang w:bidi="he-IL"/>
        </w:rPr>
        <w:t xml:space="preserve">) that in a case where the current occupant of a field </w:t>
      </w:r>
      <w:r w:rsidR="002B6019">
        <w:rPr>
          <w:lang w:bidi="he-IL"/>
        </w:rPr>
        <w:t>asserts; ‘This field once belonged to your father and I bought it from him’</w:t>
      </w:r>
      <w:r>
        <w:rPr>
          <w:lang w:bidi="he-IL"/>
        </w:rPr>
        <w:t xml:space="preserve">, the rule is that the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 is believed</w:t>
      </w:r>
      <w:r w:rsidR="005B34C7">
        <w:rPr>
          <w:lang w:bidi="he-IL"/>
        </w:rPr>
        <w:t>.</w:t>
      </w:r>
      <w:r w:rsidR="00BE4975">
        <w:rPr>
          <w:rStyle w:val="FootnoteReference"/>
          <w:lang w:bidi="he-IL"/>
        </w:rPr>
        <w:footnoteReference w:id="1"/>
      </w:r>
      <w:r>
        <w:rPr>
          <w:lang w:bidi="he-IL"/>
        </w:rPr>
        <w:t xml:space="preserve"> </w:t>
      </w:r>
      <w:r w:rsidR="002B6019">
        <w:rPr>
          <w:lang w:bidi="he-IL"/>
        </w:rPr>
        <w:t xml:space="preserve">It is not clear from the </w:t>
      </w:r>
      <w:r w:rsidR="002B6019">
        <w:rPr>
          <w:rFonts w:hint="cs"/>
          <w:rtl/>
          <w:lang w:bidi="he-IL"/>
        </w:rPr>
        <w:t>משנה</w:t>
      </w:r>
      <w:r w:rsidR="002B6019">
        <w:rPr>
          <w:lang w:bidi="he-IL"/>
        </w:rPr>
        <w:t xml:space="preserve"> whether the son initially demanded that the </w:t>
      </w:r>
      <w:r w:rsidR="002B6019">
        <w:rPr>
          <w:rFonts w:hint="cs"/>
          <w:rtl/>
          <w:lang w:bidi="he-IL"/>
        </w:rPr>
        <w:t>מוחזק</w:t>
      </w:r>
      <w:r w:rsidR="002B6019">
        <w:rPr>
          <w:lang w:bidi="he-IL"/>
        </w:rPr>
        <w:t xml:space="preserve"> vacate the premises (and the </w:t>
      </w:r>
      <w:r w:rsidR="002B6019">
        <w:rPr>
          <w:rFonts w:hint="cs"/>
          <w:rtl/>
          <w:lang w:bidi="he-IL"/>
        </w:rPr>
        <w:t>מוחזק</w:t>
      </w:r>
      <w:r w:rsidR="002B6019">
        <w:rPr>
          <w:lang w:bidi="he-IL"/>
        </w:rPr>
        <w:t xml:space="preserve"> responded that </w:t>
      </w:r>
      <w:r w:rsidR="002B6019">
        <w:rPr>
          <w:rFonts w:hint="cs"/>
          <w:rtl/>
          <w:lang w:bidi="he-IL"/>
        </w:rPr>
        <w:t>שדה זו כו'</w:t>
      </w:r>
      <w:r w:rsidR="002B6019">
        <w:rPr>
          <w:lang w:bidi="he-IL"/>
        </w:rPr>
        <w:t xml:space="preserve">) or whether the </w:t>
      </w:r>
      <w:r w:rsidR="002B6019">
        <w:rPr>
          <w:rFonts w:hint="cs"/>
          <w:rtl/>
          <w:lang w:bidi="he-IL"/>
        </w:rPr>
        <w:t>מוחזק</w:t>
      </w:r>
      <w:r w:rsidR="002B6019">
        <w:rPr>
          <w:lang w:bidi="he-IL"/>
        </w:rPr>
        <w:t xml:space="preserve"> initially informed the son that </w:t>
      </w:r>
      <w:r w:rsidR="002B6019">
        <w:rPr>
          <w:rFonts w:hint="cs"/>
          <w:rtl/>
          <w:lang w:bidi="he-IL"/>
        </w:rPr>
        <w:t>שדה זו וכו'</w:t>
      </w:r>
      <w:r w:rsidR="002B6019">
        <w:rPr>
          <w:lang w:bidi="he-IL"/>
        </w:rPr>
        <w:t xml:space="preserve">, and subsequently the son demands the field be returned to him (based on the admission of the </w:t>
      </w:r>
      <w:r w:rsidR="002B6019">
        <w:rPr>
          <w:rFonts w:hint="cs"/>
          <w:rtl/>
          <w:lang w:bidi="he-IL"/>
        </w:rPr>
        <w:t>מוחזק</w:t>
      </w:r>
      <w:r w:rsidR="002B6019">
        <w:rPr>
          <w:lang w:bidi="he-IL"/>
        </w:rPr>
        <w:t>).</w:t>
      </w:r>
      <w:r>
        <w:rPr>
          <w:lang w:bidi="he-IL"/>
        </w:rPr>
        <w:t xml:space="preserve"> </w:t>
      </w:r>
    </w:p>
    <w:p w:rsidR="00262199" w:rsidRPr="002B6019" w:rsidRDefault="002B6019" w:rsidP="00A76EDC">
      <w:pPr>
        <w:widowControl w:val="0"/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</w:t>
      </w:r>
    </w:p>
    <w:p w:rsidR="005B34C7" w:rsidRPr="001C5BD3" w:rsidRDefault="00262199" w:rsidP="001C5BD3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1C5BD3">
        <w:rPr>
          <w:rFonts w:cs="David" w:hint="cs"/>
          <w:b/>
          <w:bCs/>
          <w:rtl/>
          <w:lang w:bidi="he-IL"/>
        </w:rPr>
        <w:t>מתוך פירוש הקונטרס משמע</w:t>
      </w:r>
      <w:r w:rsidR="001C5BD3">
        <w:rPr>
          <w:rStyle w:val="FootnoteReference"/>
          <w:rFonts w:cs="David"/>
          <w:b/>
          <w:bCs/>
          <w:rtl/>
          <w:lang w:bidi="he-IL"/>
        </w:rPr>
        <w:footnoteReference w:id="2"/>
      </w:r>
      <w:r w:rsidR="005B34C7" w:rsidRPr="001C5BD3">
        <w:rPr>
          <w:rFonts w:cs="David" w:hint="cs"/>
          <w:b/>
          <w:bCs/>
          <w:rtl/>
          <w:lang w:bidi="he-IL"/>
        </w:rPr>
        <w:t xml:space="preserve"> דדוקא כשאין הלה תובעו</w:t>
      </w:r>
      <w:r w:rsidRPr="001C5BD3">
        <w:rPr>
          <w:rFonts w:cs="David"/>
          <w:b/>
          <w:bCs/>
          <w:lang w:bidi="he-IL"/>
        </w:rPr>
        <w:t xml:space="preserve"> </w:t>
      </w:r>
      <w:r w:rsidR="001C5BD3">
        <w:rPr>
          <w:rFonts w:cs="David" w:hint="cs"/>
          <w:b/>
          <w:bCs/>
          <w:rtl/>
          <w:lang w:bidi="he-IL"/>
        </w:rPr>
        <w:t>-</w:t>
      </w:r>
      <w:r w:rsidRPr="001C5BD3">
        <w:rPr>
          <w:rFonts w:cs="David"/>
          <w:b/>
          <w:bCs/>
          <w:lang w:bidi="he-IL"/>
        </w:rPr>
        <w:t xml:space="preserve"> </w:t>
      </w:r>
    </w:p>
    <w:p w:rsidR="00262199" w:rsidRPr="00FB795C" w:rsidRDefault="005B34C7" w:rsidP="001C5BD3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From</w:t>
      </w:r>
      <w:r w:rsidR="00262199">
        <w:rPr>
          <w:b/>
          <w:bCs/>
          <w:lang w:bidi="he-IL"/>
        </w:rPr>
        <w:t xml:space="preserve"> the context of s</w:t>
      </w:r>
      <w:r w:rsidR="00262199">
        <w:rPr>
          <w:rFonts w:hint="cs"/>
          <w:b/>
          <w:bCs/>
          <w:rtl/>
          <w:lang w:bidi="he-IL"/>
        </w:rPr>
        <w:t>רש"י'</w:t>
      </w:r>
      <w:r w:rsidR="00262199">
        <w:rPr>
          <w:b/>
          <w:bCs/>
          <w:lang w:bidi="he-IL"/>
        </w:rPr>
        <w:t xml:space="preserve"> explanation, it seems </w:t>
      </w:r>
      <w:r w:rsidR="00262199" w:rsidRPr="005B34C7">
        <w:rPr>
          <w:lang w:bidi="he-IL"/>
        </w:rPr>
        <w:t xml:space="preserve">that the ruling of </w:t>
      </w:r>
      <w:r w:rsidR="00262199" w:rsidRPr="005B34C7">
        <w:rPr>
          <w:rFonts w:hint="cs"/>
          <w:rtl/>
          <w:lang w:bidi="he-IL"/>
        </w:rPr>
        <w:t>ר"י</w:t>
      </w:r>
      <w:r w:rsidR="00262199" w:rsidRPr="005B34C7">
        <w:rPr>
          <w:lang w:bidi="he-IL"/>
        </w:rPr>
        <w:t xml:space="preserve"> that we </w:t>
      </w:r>
      <w:r w:rsidR="00E43B7D" w:rsidRPr="005B34C7">
        <w:rPr>
          <w:lang w:bidi="he-IL"/>
        </w:rPr>
        <w:t>accept</w:t>
      </w:r>
      <w:r w:rsidR="00262199" w:rsidRPr="005B34C7">
        <w:rPr>
          <w:lang w:bidi="he-IL"/>
        </w:rPr>
        <w:t xml:space="preserve"> the claim of </w:t>
      </w:r>
      <w:r w:rsidR="005E005B" w:rsidRPr="005B34C7">
        <w:rPr>
          <w:lang w:bidi="he-IL"/>
        </w:rPr>
        <w:t xml:space="preserve">the </w:t>
      </w:r>
      <w:r w:rsidR="00E3458F" w:rsidRPr="005B34C7">
        <w:rPr>
          <w:lang w:bidi="he-IL"/>
        </w:rPr>
        <w:t>current occupant</w:t>
      </w:r>
      <w:r w:rsidR="005E005B" w:rsidRPr="005B34C7">
        <w:rPr>
          <w:lang w:bidi="he-IL"/>
        </w:rPr>
        <w:t xml:space="preserve"> that</w:t>
      </w:r>
      <w:r w:rsidR="00E3458F" w:rsidRPr="005B34C7">
        <w:rPr>
          <w:lang w:bidi="he-IL"/>
        </w:rPr>
        <w:t xml:space="preserve"> </w:t>
      </w:r>
      <w:r w:rsidR="00262199" w:rsidRPr="005B34C7">
        <w:rPr>
          <w:rFonts w:hint="cs"/>
          <w:rtl/>
          <w:lang w:bidi="he-IL"/>
        </w:rPr>
        <w:t>לקחתיה הימנו</w:t>
      </w:r>
      <w:r w:rsidR="001C5BD3">
        <w:rPr>
          <w:lang w:bidi="he-IL"/>
        </w:rPr>
        <w:t>,</w:t>
      </w:r>
      <w:r w:rsidR="00262199" w:rsidRPr="005B34C7">
        <w:rPr>
          <w:lang w:bidi="he-IL"/>
        </w:rPr>
        <w:t xml:space="preserve"> </w:t>
      </w:r>
      <w:r w:rsidR="00262199">
        <w:rPr>
          <w:b/>
          <w:bCs/>
          <w:lang w:bidi="he-IL"/>
        </w:rPr>
        <w:t xml:space="preserve">is only when this </w:t>
      </w:r>
      <w:r w:rsidR="00262199">
        <w:rPr>
          <w:lang w:bidi="he-IL"/>
        </w:rPr>
        <w:t xml:space="preserve">son of the original owner </w:t>
      </w:r>
      <w:r w:rsidR="00262199">
        <w:rPr>
          <w:b/>
          <w:bCs/>
          <w:lang w:bidi="he-IL"/>
        </w:rPr>
        <w:t xml:space="preserve">is not presenting a claim </w:t>
      </w:r>
      <w:r w:rsidR="00262199">
        <w:rPr>
          <w:lang w:bidi="he-IL"/>
        </w:rPr>
        <w:t xml:space="preserve">against </w:t>
      </w:r>
      <w:r w:rsidR="00262199">
        <w:rPr>
          <w:b/>
          <w:bCs/>
          <w:lang w:bidi="he-IL"/>
        </w:rPr>
        <w:t>him</w:t>
      </w:r>
      <w:r w:rsidR="00E43B7D">
        <w:rPr>
          <w:b/>
          <w:bCs/>
          <w:lang w:bidi="he-IL"/>
        </w:rPr>
        <w:t>.</w:t>
      </w:r>
      <w:r w:rsidR="00E43B7D">
        <w:rPr>
          <w:lang w:bidi="he-IL"/>
        </w:rPr>
        <w:t xml:space="preserve"> </w:t>
      </w:r>
      <w:r w:rsidR="00E43B7D" w:rsidRPr="00FB795C">
        <w:rPr>
          <w:sz w:val="24"/>
          <w:szCs w:val="24"/>
          <w:lang w:bidi="he-IL"/>
        </w:rPr>
        <w:t>The</w:t>
      </w:r>
      <w:r w:rsidR="00E3458F" w:rsidRPr="00FB795C">
        <w:rPr>
          <w:sz w:val="24"/>
          <w:szCs w:val="24"/>
          <w:lang w:bidi="he-IL"/>
        </w:rPr>
        <w:t xml:space="preserve"> current</w:t>
      </w:r>
      <w:r w:rsidR="00E43B7D" w:rsidRPr="00FB795C">
        <w:rPr>
          <w:sz w:val="24"/>
          <w:szCs w:val="24"/>
          <w:lang w:bidi="he-IL"/>
        </w:rPr>
        <w:t xml:space="preserve"> </w:t>
      </w:r>
      <w:r w:rsidR="00E43B7D" w:rsidRPr="00FB795C">
        <w:rPr>
          <w:rFonts w:hint="cs"/>
          <w:sz w:val="24"/>
          <w:szCs w:val="24"/>
          <w:rtl/>
          <w:lang w:bidi="he-IL"/>
        </w:rPr>
        <w:t>מוחזק</w:t>
      </w:r>
      <w:r w:rsidR="00E43B7D" w:rsidRPr="00FB795C">
        <w:rPr>
          <w:sz w:val="24"/>
          <w:szCs w:val="24"/>
          <w:lang w:bidi="he-IL"/>
        </w:rPr>
        <w:t xml:space="preserve"> approached the son of the original owner and informed him that he, the </w:t>
      </w:r>
      <w:r w:rsidR="00E43B7D" w:rsidRPr="00FB795C">
        <w:rPr>
          <w:rFonts w:hint="cs"/>
          <w:sz w:val="24"/>
          <w:szCs w:val="24"/>
          <w:rtl/>
          <w:lang w:bidi="he-IL"/>
        </w:rPr>
        <w:t>מוחזק</w:t>
      </w:r>
      <w:r w:rsidR="00E43B7D" w:rsidRPr="00FB795C">
        <w:rPr>
          <w:sz w:val="24"/>
          <w:szCs w:val="24"/>
          <w:lang w:bidi="he-IL"/>
        </w:rPr>
        <w:t>, bought the field from his father. The son was not aware that it once belonged to his father.</w:t>
      </w:r>
    </w:p>
    <w:p w:rsidR="005B34C7" w:rsidRPr="001C5BD3" w:rsidRDefault="00E43B7D" w:rsidP="005B34C7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1C5BD3">
        <w:rPr>
          <w:rFonts w:cs="David" w:hint="cs"/>
          <w:b/>
          <w:bCs/>
          <w:rtl/>
          <w:lang w:bidi="he-IL"/>
        </w:rPr>
        <w:t>ונאמן במגו</w:t>
      </w:r>
      <w:r w:rsidRPr="001C5BD3">
        <w:rPr>
          <w:rFonts w:cs="David"/>
          <w:b/>
          <w:bCs/>
          <w:lang w:bidi="he-IL"/>
        </w:rPr>
        <w:t xml:space="preserve"> </w:t>
      </w:r>
      <w:r w:rsidR="005B34C7" w:rsidRPr="001C5BD3">
        <w:rPr>
          <w:rFonts w:cs="David" w:hint="cs"/>
          <w:b/>
          <w:bCs/>
          <w:rtl/>
          <w:lang w:bidi="he-IL"/>
        </w:rPr>
        <w:t>דאי בעי שתיק -</w:t>
      </w:r>
    </w:p>
    <w:p w:rsidR="00E43B7D" w:rsidRPr="00FB795C" w:rsidRDefault="005B34C7" w:rsidP="005B34C7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E43B7D">
        <w:rPr>
          <w:b/>
          <w:bCs/>
          <w:lang w:bidi="he-IL"/>
        </w:rPr>
        <w:t xml:space="preserve"> the </w:t>
      </w:r>
      <w:r w:rsidR="00E43B7D" w:rsidRPr="0047061A">
        <w:rPr>
          <w:rFonts w:hint="cs"/>
          <w:rtl/>
          <w:lang w:bidi="he-IL"/>
        </w:rPr>
        <w:t>מוחזק</w:t>
      </w:r>
      <w:r w:rsidR="00E43B7D">
        <w:rPr>
          <w:b/>
          <w:bCs/>
          <w:lang w:bidi="he-IL"/>
        </w:rPr>
        <w:t xml:space="preserve"> </w:t>
      </w:r>
      <w:r w:rsidR="00E43B7D">
        <w:rPr>
          <w:lang w:bidi="he-IL"/>
        </w:rPr>
        <w:t xml:space="preserve">is believed that he bought it, for he has a </w:t>
      </w:r>
      <w:r w:rsidR="00E43B7D">
        <w:rPr>
          <w:rFonts w:hint="cs"/>
          <w:b/>
          <w:bCs/>
          <w:rtl/>
          <w:lang w:bidi="he-IL"/>
        </w:rPr>
        <w:t>מגו</w:t>
      </w:r>
      <w:r w:rsidR="00E43B7D">
        <w:rPr>
          <w:b/>
          <w:bCs/>
          <w:lang w:bidi="he-IL"/>
        </w:rPr>
        <w:t xml:space="preserve"> for he could have been silent. </w:t>
      </w:r>
      <w:r w:rsidR="00FB795C" w:rsidRPr="00FB795C">
        <w:rPr>
          <w:sz w:val="24"/>
          <w:szCs w:val="24"/>
          <w:lang w:bidi="he-IL"/>
        </w:rPr>
        <w:t>Th</w:t>
      </w:r>
      <w:r w:rsidR="00E43B7D" w:rsidRPr="00FB795C">
        <w:rPr>
          <w:sz w:val="24"/>
          <w:szCs w:val="24"/>
          <w:lang w:bidi="he-IL"/>
        </w:rPr>
        <w:t>e</w:t>
      </w:r>
      <w:r w:rsidR="00FB795C">
        <w:rPr>
          <w:sz w:val="24"/>
          <w:szCs w:val="24"/>
          <w:lang w:bidi="he-IL"/>
        </w:rPr>
        <w:t>re</w:t>
      </w:r>
      <w:r w:rsidR="00E43B7D" w:rsidRPr="00FB795C">
        <w:rPr>
          <w:sz w:val="24"/>
          <w:szCs w:val="24"/>
          <w:lang w:bidi="he-IL"/>
        </w:rPr>
        <w:t xml:space="preserve"> </w:t>
      </w:r>
      <w:r w:rsidR="00FB795C">
        <w:rPr>
          <w:sz w:val="24"/>
          <w:szCs w:val="24"/>
          <w:lang w:bidi="he-IL"/>
        </w:rPr>
        <w:t>was</w:t>
      </w:r>
      <w:r w:rsidR="00E43B7D" w:rsidRPr="00FB795C">
        <w:rPr>
          <w:sz w:val="24"/>
          <w:szCs w:val="24"/>
          <w:lang w:bidi="he-IL"/>
        </w:rPr>
        <w:t xml:space="preserve"> no need to tell the son anything. If he were silent he would have kept the field. </w:t>
      </w:r>
      <w:r w:rsidR="005E005B" w:rsidRPr="00FB795C">
        <w:rPr>
          <w:sz w:val="24"/>
          <w:szCs w:val="24"/>
          <w:lang w:bidi="he-IL"/>
        </w:rPr>
        <w:t>Therefore</w:t>
      </w:r>
      <w:r w:rsidR="00E43B7D" w:rsidRPr="00FB795C">
        <w:rPr>
          <w:sz w:val="24"/>
          <w:szCs w:val="24"/>
          <w:lang w:bidi="he-IL"/>
        </w:rPr>
        <w:t xml:space="preserve">, even though he admits that the field once belonged to the father, and he has no proof, nor a </w:t>
      </w:r>
      <w:r w:rsidR="00E43B7D" w:rsidRPr="00FB795C">
        <w:rPr>
          <w:rFonts w:hint="cs"/>
          <w:sz w:val="24"/>
          <w:szCs w:val="24"/>
          <w:rtl/>
          <w:lang w:bidi="he-IL"/>
        </w:rPr>
        <w:t>חזקה</w:t>
      </w:r>
      <w:r w:rsidR="00E43B7D" w:rsidRPr="00FB795C">
        <w:rPr>
          <w:sz w:val="24"/>
          <w:szCs w:val="24"/>
          <w:lang w:bidi="he-IL"/>
        </w:rPr>
        <w:t xml:space="preserve"> that it is his, nevertheless he gets to keep the field since he has the </w:t>
      </w:r>
      <w:r w:rsidR="00E43B7D" w:rsidRPr="00FB795C">
        <w:rPr>
          <w:rFonts w:hint="cs"/>
          <w:sz w:val="24"/>
          <w:szCs w:val="24"/>
          <w:rtl/>
          <w:lang w:bidi="he-IL"/>
        </w:rPr>
        <w:t>מגו דאי בעי שתיק</w:t>
      </w:r>
      <w:r>
        <w:rPr>
          <w:sz w:val="24"/>
          <w:szCs w:val="24"/>
          <w:lang w:bidi="he-IL"/>
        </w:rPr>
        <w:t xml:space="preserve"> -</w:t>
      </w:r>
    </w:p>
    <w:p w:rsidR="005B34C7" w:rsidRPr="00BE4CB9" w:rsidRDefault="00E43B7D" w:rsidP="00BE4CB9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BE4CB9">
        <w:rPr>
          <w:rFonts w:cs="David" w:hint="cs"/>
          <w:b/>
          <w:bCs/>
          <w:rtl/>
          <w:lang w:bidi="he-IL"/>
        </w:rPr>
        <w:t>אבל אם תובעו</w:t>
      </w:r>
      <w:r w:rsidR="005B34C7" w:rsidRPr="00BE4CB9">
        <w:rPr>
          <w:rFonts w:cs="David" w:hint="cs"/>
          <w:b/>
          <w:bCs/>
          <w:rtl/>
          <w:lang w:bidi="he-IL"/>
        </w:rPr>
        <w:t xml:space="preserve"> אינו נאמן</w:t>
      </w:r>
      <w:r w:rsidR="00BE4CB9">
        <w:rPr>
          <w:rStyle w:val="FootnoteReference"/>
          <w:rFonts w:cs="David"/>
          <w:b/>
          <w:bCs/>
          <w:rtl/>
          <w:lang w:bidi="he-IL"/>
        </w:rPr>
        <w:footnoteReference w:id="3"/>
      </w:r>
      <w:r w:rsidR="00BE4CB9">
        <w:rPr>
          <w:rFonts w:cs="David" w:hint="cs"/>
          <w:b/>
          <w:bCs/>
          <w:rtl/>
          <w:lang w:bidi="he-IL"/>
        </w:rPr>
        <w:t xml:space="preserve"> -</w:t>
      </w:r>
    </w:p>
    <w:p w:rsidR="00E43B7D" w:rsidRPr="00FB795C" w:rsidRDefault="001C5BD3" w:rsidP="0050165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</w:t>
      </w:r>
      <w:r w:rsidR="00E43B7D">
        <w:rPr>
          <w:b/>
          <w:bCs/>
          <w:lang w:bidi="he-IL"/>
        </w:rPr>
        <w:t>owever</w:t>
      </w:r>
      <w:r>
        <w:rPr>
          <w:b/>
          <w:bCs/>
          <w:lang w:bidi="he-IL"/>
        </w:rPr>
        <w:t>,</w:t>
      </w:r>
      <w:r w:rsidR="00E43B7D">
        <w:rPr>
          <w:b/>
          <w:bCs/>
          <w:lang w:bidi="he-IL"/>
        </w:rPr>
        <w:t xml:space="preserve"> if </w:t>
      </w:r>
      <w:r w:rsidR="00E43B7D">
        <w:rPr>
          <w:lang w:bidi="he-IL"/>
        </w:rPr>
        <w:t xml:space="preserve">the son </w:t>
      </w:r>
      <w:r w:rsidR="00E43B7D">
        <w:rPr>
          <w:b/>
          <w:bCs/>
          <w:lang w:bidi="he-IL"/>
        </w:rPr>
        <w:t>presented a claim against him;</w:t>
      </w:r>
      <w:r w:rsidR="00E43B7D">
        <w:rPr>
          <w:lang w:bidi="he-IL"/>
        </w:rPr>
        <w:t xml:space="preserve"> </w:t>
      </w:r>
      <w:r w:rsidR="005B34C7" w:rsidRPr="005B34C7">
        <w:rPr>
          <w:lang w:bidi="he-IL"/>
        </w:rPr>
        <w:t xml:space="preserve">the </w:t>
      </w:r>
      <w:r w:rsidR="005B34C7" w:rsidRPr="005B34C7">
        <w:rPr>
          <w:rFonts w:hint="cs"/>
          <w:rtl/>
          <w:lang w:bidi="he-IL"/>
        </w:rPr>
        <w:t>מוחזק</w:t>
      </w:r>
      <w:r w:rsidR="005B34C7" w:rsidRPr="005B34C7">
        <w:rPr>
          <w:lang w:bidi="he-IL"/>
        </w:rPr>
        <w:t xml:space="preserve"> </w:t>
      </w:r>
      <w:r w:rsidR="005B34C7" w:rsidRPr="00FB795C">
        <w:rPr>
          <w:b/>
          <w:bCs/>
          <w:lang w:bidi="he-IL"/>
        </w:rPr>
        <w:t>is not believed</w:t>
      </w:r>
      <w:r w:rsidR="005B34C7">
        <w:rPr>
          <w:b/>
          <w:bCs/>
          <w:lang w:bidi="he-IL"/>
        </w:rPr>
        <w:t>;</w:t>
      </w:r>
      <w:r w:rsidR="005B34C7" w:rsidRPr="00FB795C">
        <w:rPr>
          <w:sz w:val="24"/>
          <w:szCs w:val="24"/>
          <w:lang w:bidi="he-IL"/>
        </w:rPr>
        <w:t xml:space="preserve"> </w:t>
      </w:r>
      <w:r w:rsidR="00E43B7D" w:rsidRPr="00FB795C">
        <w:rPr>
          <w:sz w:val="24"/>
          <w:szCs w:val="24"/>
          <w:lang w:bidi="he-IL"/>
        </w:rPr>
        <w:t xml:space="preserve">the son </w:t>
      </w:r>
      <w:r w:rsidR="00FB795C" w:rsidRPr="00FB795C">
        <w:rPr>
          <w:sz w:val="24"/>
          <w:szCs w:val="24"/>
          <w:lang w:bidi="he-IL"/>
        </w:rPr>
        <w:t xml:space="preserve">initially </w:t>
      </w:r>
      <w:r w:rsidR="00E43B7D" w:rsidRPr="00FB795C">
        <w:rPr>
          <w:sz w:val="24"/>
          <w:szCs w:val="24"/>
          <w:lang w:bidi="he-IL"/>
        </w:rPr>
        <w:t xml:space="preserve">demanded that the </w:t>
      </w:r>
      <w:r w:rsidR="00E43B7D" w:rsidRPr="00FB795C">
        <w:rPr>
          <w:rFonts w:hint="cs"/>
          <w:sz w:val="24"/>
          <w:szCs w:val="24"/>
          <w:rtl/>
          <w:lang w:bidi="he-IL"/>
        </w:rPr>
        <w:t>מוחזק</w:t>
      </w:r>
      <w:r w:rsidR="00E43B7D" w:rsidRPr="00FB795C">
        <w:rPr>
          <w:sz w:val="24"/>
          <w:szCs w:val="24"/>
          <w:lang w:bidi="he-IL"/>
        </w:rPr>
        <w:t xml:space="preserve"> leave the field</w:t>
      </w:r>
      <w:r w:rsidR="005E005B" w:rsidRPr="00FB795C">
        <w:rPr>
          <w:sz w:val="24"/>
          <w:szCs w:val="24"/>
          <w:lang w:bidi="he-IL"/>
        </w:rPr>
        <w:t>,</w:t>
      </w:r>
      <w:r w:rsidR="00E43B7D" w:rsidRPr="00FB795C">
        <w:rPr>
          <w:sz w:val="24"/>
          <w:szCs w:val="24"/>
          <w:lang w:bidi="he-IL"/>
        </w:rPr>
        <w:t xml:space="preserve"> since the son </w:t>
      </w:r>
      <w:r w:rsidR="00E43B7D" w:rsidRPr="00FB795C">
        <w:rPr>
          <w:sz w:val="24"/>
          <w:szCs w:val="24"/>
          <w:lang w:bidi="he-IL"/>
        </w:rPr>
        <w:lastRenderedPageBreak/>
        <w:t>inherited it from his father,</w:t>
      </w:r>
      <w:r w:rsidR="00FB795C">
        <w:rPr>
          <w:sz w:val="24"/>
          <w:szCs w:val="24"/>
          <w:lang w:bidi="he-IL"/>
        </w:rPr>
        <w:t xml:space="preserve"> and subsequently the </w:t>
      </w:r>
      <w:r w:rsidR="00FB795C">
        <w:rPr>
          <w:rFonts w:hint="cs"/>
          <w:sz w:val="24"/>
          <w:szCs w:val="24"/>
          <w:rtl/>
          <w:lang w:bidi="he-IL"/>
        </w:rPr>
        <w:t>מוחזק</w:t>
      </w:r>
      <w:r w:rsidR="00FB795C">
        <w:rPr>
          <w:sz w:val="24"/>
          <w:szCs w:val="24"/>
          <w:lang w:bidi="he-IL"/>
        </w:rPr>
        <w:t xml:space="preserve"> responded that I bought it from your father,</w:t>
      </w:r>
      <w:r w:rsidR="00E43B7D" w:rsidRPr="00FB795C">
        <w:rPr>
          <w:sz w:val="24"/>
          <w:szCs w:val="24"/>
          <w:lang w:bidi="he-IL"/>
        </w:rPr>
        <w:t xml:space="preserve"> </w:t>
      </w:r>
      <w:r w:rsidR="005B34C7">
        <w:rPr>
          <w:sz w:val="24"/>
          <w:szCs w:val="24"/>
          <w:lang w:bidi="he-IL"/>
        </w:rPr>
        <w:t xml:space="preserve">the </w:t>
      </w:r>
      <w:r w:rsidR="005B34C7">
        <w:rPr>
          <w:rFonts w:hint="cs"/>
          <w:sz w:val="24"/>
          <w:szCs w:val="24"/>
          <w:rtl/>
          <w:lang w:bidi="he-IL"/>
        </w:rPr>
        <w:t>מוחזק</w:t>
      </w:r>
      <w:r w:rsidR="005B34C7">
        <w:rPr>
          <w:sz w:val="24"/>
          <w:szCs w:val="24"/>
          <w:lang w:bidi="he-IL"/>
        </w:rPr>
        <w:t xml:space="preserve"> is not believed</w:t>
      </w:r>
      <w:r w:rsidR="00E43B7D" w:rsidRPr="00FB795C">
        <w:rPr>
          <w:sz w:val="24"/>
          <w:szCs w:val="24"/>
          <w:lang w:bidi="he-IL"/>
        </w:rPr>
        <w:t>, and the field reverts back to the son.</w:t>
      </w:r>
    </w:p>
    <w:p w:rsidR="005E005B" w:rsidRPr="00FB795C" w:rsidRDefault="005E005B" w:rsidP="00A76ED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5E005B" w:rsidRPr="00FB795C" w:rsidRDefault="005E005B" w:rsidP="00A76ED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FB795C">
        <w:rPr>
          <w:rFonts w:hint="cs"/>
          <w:sz w:val="24"/>
          <w:szCs w:val="24"/>
          <w:rtl/>
          <w:lang w:bidi="he-IL"/>
        </w:rPr>
        <w:t>תוספות</w:t>
      </w:r>
      <w:r w:rsidRPr="00FB795C">
        <w:rPr>
          <w:sz w:val="24"/>
          <w:szCs w:val="24"/>
          <w:lang w:bidi="he-IL"/>
        </w:rPr>
        <w:t xml:space="preserve"> disagrees with </w:t>
      </w:r>
      <w:r w:rsidRPr="00FB795C">
        <w:rPr>
          <w:rFonts w:hint="cs"/>
          <w:sz w:val="24"/>
          <w:szCs w:val="24"/>
          <w:rtl/>
          <w:lang w:bidi="he-IL"/>
        </w:rPr>
        <w:t>רש"י</w:t>
      </w:r>
      <w:r w:rsidRPr="00FB795C">
        <w:rPr>
          <w:sz w:val="24"/>
          <w:szCs w:val="24"/>
          <w:lang w:bidi="he-IL"/>
        </w:rPr>
        <w:t>:</w:t>
      </w:r>
    </w:p>
    <w:p w:rsidR="00501654" w:rsidRPr="001C5BD3" w:rsidRDefault="005E005B" w:rsidP="001C5BD3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1C5BD3">
        <w:rPr>
          <w:rFonts w:cs="David" w:hint="cs"/>
          <w:b/>
          <w:bCs/>
          <w:rtl/>
          <w:lang w:bidi="he-IL"/>
        </w:rPr>
        <w:t>ואינו נראה</w:t>
      </w:r>
      <w:r w:rsidR="00501654" w:rsidRPr="001C5BD3">
        <w:rPr>
          <w:rFonts w:cs="David" w:hint="cs"/>
          <w:b/>
          <w:bCs/>
          <w:rtl/>
          <w:lang w:bidi="he-IL"/>
        </w:rPr>
        <w:t xml:space="preserve"> דהא קתני סיפא ואם יש עדים כולי</w:t>
      </w:r>
      <w:r w:rsidRPr="001C5BD3">
        <w:rPr>
          <w:rFonts w:cs="David"/>
          <w:b/>
          <w:bCs/>
          <w:lang w:bidi="he-IL"/>
        </w:rPr>
        <w:t xml:space="preserve"> </w:t>
      </w:r>
      <w:r w:rsidR="001C5BD3">
        <w:rPr>
          <w:rFonts w:cs="David" w:hint="cs"/>
          <w:b/>
          <w:bCs/>
          <w:rtl/>
          <w:lang w:bidi="he-IL"/>
        </w:rPr>
        <w:t>-</w:t>
      </w:r>
      <w:r w:rsidRPr="001C5BD3">
        <w:rPr>
          <w:rFonts w:cs="David"/>
          <w:b/>
          <w:bCs/>
          <w:lang w:bidi="he-IL"/>
        </w:rPr>
        <w:t xml:space="preserve"> </w:t>
      </w:r>
    </w:p>
    <w:p w:rsidR="005E005B" w:rsidRPr="00FB795C" w:rsidRDefault="00501654" w:rsidP="0050165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5E005B">
        <w:rPr>
          <w:b/>
          <w:bCs/>
          <w:lang w:bidi="he-IL"/>
        </w:rPr>
        <w:t xml:space="preserve"> </w:t>
      </w:r>
      <w:r w:rsidR="005E005B">
        <w:rPr>
          <w:lang w:bidi="he-IL"/>
        </w:rPr>
        <w:t xml:space="preserve">this interpretation </w:t>
      </w:r>
      <w:r w:rsidR="005E005B">
        <w:rPr>
          <w:b/>
          <w:bCs/>
          <w:lang w:bidi="he-IL"/>
        </w:rPr>
        <w:t xml:space="preserve">does not seem </w:t>
      </w:r>
      <w:r w:rsidR="005E005B">
        <w:rPr>
          <w:lang w:bidi="he-IL"/>
        </w:rPr>
        <w:t>to be correct</w:t>
      </w:r>
      <w:r w:rsidR="00336D0E">
        <w:rPr>
          <w:lang w:bidi="he-IL"/>
        </w:rPr>
        <w:t>,</w:t>
      </w:r>
      <w:r w:rsidR="005E005B">
        <w:rPr>
          <w:lang w:bidi="he-IL"/>
        </w:rPr>
        <w:t xml:space="preserve"> </w:t>
      </w:r>
      <w:r w:rsidR="005E005B">
        <w:rPr>
          <w:b/>
          <w:bCs/>
          <w:lang w:bidi="he-IL"/>
        </w:rPr>
        <w:t xml:space="preserve">for the </w:t>
      </w:r>
      <w:r w:rsidR="005E005B">
        <w:rPr>
          <w:rFonts w:hint="cs"/>
          <w:b/>
          <w:bCs/>
          <w:rtl/>
          <w:lang w:bidi="he-IL"/>
        </w:rPr>
        <w:t>משנה</w:t>
      </w:r>
      <w:r w:rsidR="005E005B">
        <w:rPr>
          <w:b/>
          <w:bCs/>
          <w:lang w:bidi="he-IL"/>
        </w:rPr>
        <w:t xml:space="preserve"> teaches us in the </w:t>
      </w:r>
      <w:r w:rsidR="005E005B">
        <w:rPr>
          <w:rFonts w:hint="cs"/>
          <w:b/>
          <w:bCs/>
          <w:rtl/>
          <w:lang w:bidi="he-IL"/>
        </w:rPr>
        <w:t>סיפא</w:t>
      </w:r>
      <w:r w:rsidR="005E005B">
        <w:rPr>
          <w:b/>
          <w:bCs/>
          <w:lang w:bidi="he-IL"/>
        </w:rPr>
        <w:t xml:space="preserve"> ‘and if there are witnesses, etc’. </w:t>
      </w:r>
      <w:r w:rsidR="005E005B" w:rsidRPr="00FB795C">
        <w:rPr>
          <w:sz w:val="24"/>
          <w:szCs w:val="24"/>
          <w:lang w:bidi="he-IL"/>
        </w:rPr>
        <w:t xml:space="preserve">The </w:t>
      </w:r>
      <w:r w:rsidR="005E005B" w:rsidRPr="00FB795C">
        <w:rPr>
          <w:rFonts w:hint="cs"/>
          <w:sz w:val="24"/>
          <w:szCs w:val="24"/>
          <w:rtl/>
          <w:lang w:bidi="he-IL"/>
        </w:rPr>
        <w:t>משנה</w:t>
      </w:r>
      <w:r w:rsidR="005E005B" w:rsidRPr="00FB795C">
        <w:rPr>
          <w:sz w:val="24"/>
          <w:szCs w:val="24"/>
          <w:lang w:bidi="he-IL"/>
        </w:rPr>
        <w:t xml:space="preserve"> states that if there are witnesses that the field once belonged to the father, then the </w:t>
      </w:r>
      <w:r w:rsidR="005E005B" w:rsidRPr="00FB795C">
        <w:rPr>
          <w:rFonts w:hint="cs"/>
          <w:sz w:val="24"/>
          <w:szCs w:val="24"/>
          <w:rtl/>
          <w:lang w:bidi="he-IL"/>
        </w:rPr>
        <w:t>מוחזק</w:t>
      </w:r>
      <w:r w:rsidR="005E005B" w:rsidRPr="00FB795C">
        <w:rPr>
          <w:sz w:val="24"/>
          <w:szCs w:val="24"/>
          <w:lang w:bidi="he-IL"/>
        </w:rPr>
        <w:t xml:space="preserve"> is not believed that </w:t>
      </w:r>
      <w:r w:rsidR="005E005B" w:rsidRPr="00FB795C">
        <w:rPr>
          <w:rFonts w:hint="cs"/>
          <w:sz w:val="24"/>
          <w:szCs w:val="24"/>
          <w:rtl/>
          <w:lang w:bidi="he-IL"/>
        </w:rPr>
        <w:t>לקחתיה הימנו</w:t>
      </w:r>
      <w:r w:rsidR="005E005B" w:rsidRPr="00FB795C">
        <w:rPr>
          <w:sz w:val="24"/>
          <w:szCs w:val="24"/>
          <w:lang w:bidi="he-IL"/>
        </w:rPr>
        <w:t xml:space="preserve"> (without a </w:t>
      </w:r>
      <w:r w:rsidR="005E005B" w:rsidRPr="00FB795C">
        <w:rPr>
          <w:rFonts w:hint="cs"/>
          <w:sz w:val="24"/>
          <w:szCs w:val="24"/>
          <w:rtl/>
          <w:lang w:bidi="he-IL"/>
        </w:rPr>
        <w:t>שטר</w:t>
      </w:r>
      <w:r w:rsidR="005E005B" w:rsidRPr="00FB795C">
        <w:rPr>
          <w:sz w:val="24"/>
          <w:szCs w:val="24"/>
          <w:lang w:bidi="he-IL"/>
        </w:rPr>
        <w:t xml:space="preserve"> or </w:t>
      </w:r>
      <w:r w:rsidR="005E005B" w:rsidRPr="00FB795C">
        <w:rPr>
          <w:rFonts w:hint="cs"/>
          <w:sz w:val="24"/>
          <w:szCs w:val="24"/>
          <w:rtl/>
          <w:lang w:bidi="he-IL"/>
        </w:rPr>
        <w:t>חזקה</w:t>
      </w:r>
      <w:r w:rsidR="005E005B" w:rsidRPr="00FB795C">
        <w:rPr>
          <w:sz w:val="24"/>
          <w:szCs w:val="24"/>
          <w:lang w:bidi="he-IL"/>
        </w:rPr>
        <w:t>).</w:t>
      </w:r>
    </w:p>
    <w:p w:rsidR="00501654" w:rsidRPr="001C5BD3" w:rsidRDefault="005E005B" w:rsidP="001C5BD3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1C5BD3">
        <w:rPr>
          <w:rFonts w:cs="David" w:hint="cs"/>
          <w:b/>
          <w:bCs/>
          <w:rtl/>
          <w:lang w:bidi="he-IL"/>
        </w:rPr>
        <w:t>משמע</w:t>
      </w:r>
      <w:r w:rsidR="00501654" w:rsidRPr="001C5BD3">
        <w:rPr>
          <w:rFonts w:cs="David" w:hint="cs"/>
          <w:b/>
          <w:bCs/>
          <w:rtl/>
          <w:lang w:bidi="he-IL"/>
        </w:rPr>
        <w:t xml:space="preserve"> דדוקא אם יש עדים שהיתה של אביו אינו נאמן</w:t>
      </w:r>
      <w:r w:rsidRPr="001C5BD3">
        <w:rPr>
          <w:rFonts w:cs="David"/>
          <w:b/>
          <w:bCs/>
          <w:lang w:bidi="he-IL"/>
        </w:rPr>
        <w:t xml:space="preserve"> </w:t>
      </w:r>
      <w:r w:rsidR="001C5BD3">
        <w:rPr>
          <w:rFonts w:cs="David" w:hint="cs"/>
          <w:b/>
          <w:bCs/>
          <w:rtl/>
          <w:lang w:bidi="he-IL"/>
        </w:rPr>
        <w:t>-</w:t>
      </w:r>
      <w:r w:rsidRPr="001C5BD3">
        <w:rPr>
          <w:b/>
          <w:bCs/>
          <w:lang w:bidi="he-IL"/>
        </w:rPr>
        <w:t xml:space="preserve"> </w:t>
      </w:r>
    </w:p>
    <w:p w:rsidR="005E005B" w:rsidRPr="00FB795C" w:rsidRDefault="005E005B" w:rsidP="0050165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it seems </w:t>
      </w:r>
      <w:r w:rsidRPr="00501654">
        <w:rPr>
          <w:lang w:bidi="he-IL"/>
        </w:rPr>
        <w:t xml:space="preserve">from this </w:t>
      </w:r>
      <w:r w:rsidRPr="00501654">
        <w:rPr>
          <w:rFonts w:hint="cs"/>
          <w:rtl/>
          <w:lang w:bidi="he-IL"/>
        </w:rPr>
        <w:t>סיפא</w:t>
      </w:r>
      <w:r w:rsidRPr="00501654">
        <w:rPr>
          <w:lang w:bidi="he-IL"/>
        </w:rPr>
        <w:t xml:space="preserve"> </w:t>
      </w:r>
      <w:r>
        <w:rPr>
          <w:b/>
          <w:bCs/>
          <w:lang w:bidi="he-IL"/>
        </w:rPr>
        <w:t xml:space="preserve">that only if there are witnesses that it once belonged to his father; </w:t>
      </w:r>
      <w:r w:rsidRPr="00501654">
        <w:rPr>
          <w:lang w:bidi="he-IL"/>
        </w:rPr>
        <w:t xml:space="preserve">only in such a case is the </w:t>
      </w:r>
      <w:r w:rsidRPr="00501654">
        <w:rPr>
          <w:rFonts w:hint="cs"/>
          <w:rtl/>
          <w:lang w:bidi="he-IL"/>
        </w:rPr>
        <w:t>מוחזק</w:t>
      </w:r>
      <w:r w:rsidRPr="00501654">
        <w:rPr>
          <w:lang w:bidi="he-IL"/>
        </w:rPr>
        <w:t xml:space="preserve"> </w:t>
      </w:r>
      <w:r>
        <w:rPr>
          <w:b/>
          <w:bCs/>
          <w:lang w:bidi="he-IL"/>
        </w:rPr>
        <w:t>not believed;</w:t>
      </w:r>
      <w:r>
        <w:rPr>
          <w:lang w:bidi="he-IL"/>
        </w:rPr>
        <w:t xml:space="preserve"> </w:t>
      </w:r>
      <w:r w:rsidRPr="00FB795C">
        <w:rPr>
          <w:sz w:val="24"/>
          <w:szCs w:val="24"/>
          <w:lang w:bidi="he-IL"/>
        </w:rPr>
        <w:t xml:space="preserve">for since there are </w:t>
      </w:r>
      <w:r w:rsidRPr="00FB795C">
        <w:rPr>
          <w:rFonts w:hint="cs"/>
          <w:sz w:val="24"/>
          <w:szCs w:val="24"/>
          <w:rtl/>
          <w:lang w:bidi="he-IL"/>
        </w:rPr>
        <w:t>עדים</w:t>
      </w:r>
      <w:r w:rsidRPr="00FB795C">
        <w:rPr>
          <w:sz w:val="24"/>
          <w:szCs w:val="24"/>
          <w:lang w:bidi="he-IL"/>
        </w:rPr>
        <w:t xml:space="preserve"> that it </w:t>
      </w:r>
      <w:r w:rsidR="00FB795C">
        <w:rPr>
          <w:sz w:val="24"/>
          <w:szCs w:val="24"/>
          <w:lang w:bidi="he-IL"/>
        </w:rPr>
        <w:t xml:space="preserve">originally </w:t>
      </w:r>
      <w:r w:rsidRPr="00FB795C">
        <w:rPr>
          <w:sz w:val="24"/>
          <w:szCs w:val="24"/>
          <w:lang w:bidi="he-IL"/>
        </w:rPr>
        <w:t xml:space="preserve">belonged to the father, then in order to be </w:t>
      </w:r>
      <w:r w:rsidRPr="00FB795C">
        <w:rPr>
          <w:rFonts w:hint="cs"/>
          <w:sz w:val="24"/>
          <w:szCs w:val="24"/>
          <w:rtl/>
          <w:lang w:bidi="he-IL"/>
        </w:rPr>
        <w:t>מוציא</w:t>
      </w:r>
      <w:r w:rsidRPr="00FB795C">
        <w:rPr>
          <w:sz w:val="24"/>
          <w:szCs w:val="24"/>
          <w:lang w:bidi="he-IL"/>
        </w:rPr>
        <w:t xml:space="preserve"> a field from a </w:t>
      </w:r>
      <w:r w:rsidRPr="00FB795C">
        <w:rPr>
          <w:rFonts w:hint="cs"/>
          <w:sz w:val="24"/>
          <w:szCs w:val="24"/>
          <w:rtl/>
          <w:lang w:bidi="he-IL"/>
        </w:rPr>
        <w:t>מרא קמא</w:t>
      </w:r>
      <w:r w:rsidRPr="00FB795C">
        <w:rPr>
          <w:sz w:val="24"/>
          <w:szCs w:val="24"/>
          <w:lang w:bidi="he-IL"/>
        </w:rPr>
        <w:t xml:space="preserve">, a </w:t>
      </w:r>
      <w:r w:rsidRPr="00FB795C">
        <w:rPr>
          <w:rFonts w:hint="cs"/>
          <w:sz w:val="24"/>
          <w:szCs w:val="24"/>
          <w:rtl/>
          <w:lang w:bidi="he-IL"/>
        </w:rPr>
        <w:t>שטר</w:t>
      </w:r>
      <w:r w:rsidRPr="00FB795C">
        <w:rPr>
          <w:sz w:val="24"/>
          <w:szCs w:val="24"/>
          <w:lang w:bidi="he-IL"/>
        </w:rPr>
        <w:t xml:space="preserve"> or </w:t>
      </w:r>
      <w:r w:rsidRPr="00FB795C">
        <w:rPr>
          <w:rFonts w:hint="cs"/>
          <w:sz w:val="24"/>
          <w:szCs w:val="24"/>
          <w:rtl/>
          <w:lang w:bidi="he-IL"/>
        </w:rPr>
        <w:t>חזקת ג' שנים</w:t>
      </w:r>
      <w:r w:rsidRPr="00FB795C">
        <w:rPr>
          <w:sz w:val="24"/>
          <w:szCs w:val="24"/>
          <w:lang w:bidi="he-IL"/>
        </w:rPr>
        <w:t xml:space="preserve"> is required.</w:t>
      </w:r>
    </w:p>
    <w:p w:rsidR="00501654" w:rsidRPr="001C5BD3" w:rsidRDefault="005E005B" w:rsidP="001C5BD3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1C5BD3">
        <w:rPr>
          <w:rFonts w:cs="David" w:hint="cs"/>
          <w:b/>
          <w:bCs/>
          <w:rtl/>
          <w:lang w:bidi="he-IL"/>
        </w:rPr>
        <w:t>אבל אם אין עדים</w:t>
      </w:r>
      <w:r w:rsidR="00501654" w:rsidRPr="001C5BD3">
        <w:rPr>
          <w:rFonts w:cs="David" w:hint="cs"/>
          <w:b/>
          <w:bCs/>
          <w:rtl/>
          <w:lang w:bidi="he-IL"/>
        </w:rPr>
        <w:t xml:space="preserve"> אף על גב דהלה תובעו נאמן במגו</w:t>
      </w:r>
      <w:r w:rsidR="001C5BD3">
        <w:rPr>
          <w:rFonts w:cs="David" w:hint="cs"/>
          <w:b/>
          <w:bCs/>
          <w:rtl/>
          <w:lang w:bidi="he-IL"/>
        </w:rPr>
        <w:t xml:space="preserve"> -</w:t>
      </w:r>
    </w:p>
    <w:p w:rsidR="005E005B" w:rsidRDefault="00501654" w:rsidP="00501654">
      <w:pPr>
        <w:widowControl w:val="0"/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However</w:t>
      </w:r>
      <w:r w:rsidR="005E005B">
        <w:rPr>
          <w:b/>
          <w:bCs/>
          <w:lang w:bidi="he-IL"/>
        </w:rPr>
        <w:t xml:space="preserve"> if there are no witnesses </w:t>
      </w:r>
      <w:r w:rsidR="005E005B" w:rsidRPr="00501654">
        <w:rPr>
          <w:lang w:bidi="he-IL"/>
        </w:rPr>
        <w:t xml:space="preserve">that the father was the </w:t>
      </w:r>
      <w:r w:rsidR="005E005B" w:rsidRPr="00501654">
        <w:rPr>
          <w:rFonts w:hint="cs"/>
          <w:rtl/>
          <w:lang w:bidi="he-IL"/>
        </w:rPr>
        <w:t>מרא קמא</w:t>
      </w:r>
      <w:r w:rsidR="005E005B" w:rsidRPr="00501654">
        <w:rPr>
          <w:lang w:bidi="he-IL"/>
        </w:rPr>
        <w:t xml:space="preserve">, then </w:t>
      </w:r>
      <w:r w:rsidR="005A01CE" w:rsidRPr="00501654">
        <w:rPr>
          <w:lang w:bidi="he-IL"/>
        </w:rPr>
        <w:t xml:space="preserve">the </w:t>
      </w:r>
      <w:r w:rsidR="005A01CE" w:rsidRPr="00501654">
        <w:rPr>
          <w:rFonts w:hint="cs"/>
          <w:rtl/>
          <w:lang w:bidi="he-IL"/>
        </w:rPr>
        <w:t>מוחזק</w:t>
      </w:r>
      <w:r w:rsidR="005A01CE" w:rsidRPr="00501654">
        <w:rPr>
          <w:lang w:bidi="he-IL"/>
        </w:rPr>
        <w:t xml:space="preserve"> is always believed </w:t>
      </w:r>
      <w:r w:rsidR="005E005B">
        <w:rPr>
          <w:b/>
          <w:bCs/>
          <w:lang w:bidi="he-IL"/>
        </w:rPr>
        <w:t xml:space="preserve">even though the </w:t>
      </w:r>
      <w:r w:rsidR="005E005B" w:rsidRPr="005E005B">
        <w:rPr>
          <w:lang w:bidi="he-IL"/>
        </w:rPr>
        <w:t xml:space="preserve">son </w:t>
      </w:r>
      <w:r w:rsidR="005E005B">
        <w:rPr>
          <w:lang w:bidi="he-IL"/>
        </w:rPr>
        <w:t xml:space="preserve">is </w:t>
      </w:r>
      <w:r w:rsidR="00BE4975">
        <w:rPr>
          <w:b/>
          <w:bCs/>
          <w:lang w:bidi="he-IL"/>
        </w:rPr>
        <w:t>demand</w:t>
      </w:r>
      <w:r w:rsidR="005E005B">
        <w:rPr>
          <w:b/>
          <w:bCs/>
          <w:lang w:bidi="he-IL"/>
        </w:rPr>
        <w:t>ing</w:t>
      </w:r>
      <w:r w:rsidR="00BE4975">
        <w:rPr>
          <w:b/>
          <w:bCs/>
          <w:lang w:bidi="he-IL"/>
        </w:rPr>
        <w:t xml:space="preserve"> of</w:t>
      </w:r>
      <w:r w:rsidR="005E005B">
        <w:rPr>
          <w:b/>
          <w:bCs/>
          <w:lang w:bidi="he-IL"/>
        </w:rPr>
        <w:t xml:space="preserve"> him</w:t>
      </w:r>
      <w:r w:rsidR="005E005B">
        <w:rPr>
          <w:lang w:bidi="he-IL"/>
        </w:rPr>
        <w:t>,</w:t>
      </w:r>
      <w:r w:rsidR="005E005B">
        <w:rPr>
          <w:b/>
          <w:bCs/>
          <w:lang w:bidi="he-IL"/>
        </w:rPr>
        <w:t xml:space="preserve"> </w:t>
      </w:r>
      <w:r w:rsidR="005E005B" w:rsidRPr="00501654">
        <w:rPr>
          <w:lang w:bidi="he-IL"/>
        </w:rPr>
        <w:t xml:space="preserve">that he vacate the premises, nevertheless </w:t>
      </w:r>
      <w:r w:rsidR="00C16F2E" w:rsidRPr="00501654">
        <w:rPr>
          <w:lang w:bidi="he-IL"/>
        </w:rPr>
        <w:t>the</w:t>
      </w:r>
      <w:r w:rsidR="00C16F2E" w:rsidRPr="00501654">
        <w:rPr>
          <w:b/>
          <w:bCs/>
          <w:lang w:bidi="he-IL"/>
        </w:rPr>
        <w:t xml:space="preserve"> </w:t>
      </w:r>
      <w:r w:rsidR="00C16F2E" w:rsidRPr="00501654">
        <w:rPr>
          <w:rFonts w:hint="cs"/>
          <w:rtl/>
          <w:lang w:bidi="he-IL"/>
        </w:rPr>
        <w:t>מוחזק</w:t>
      </w:r>
      <w:r w:rsidR="00C16F2E" w:rsidRPr="00501654">
        <w:rPr>
          <w:lang w:bidi="he-IL"/>
        </w:rPr>
        <w:t xml:space="preserve"> </w:t>
      </w:r>
      <w:r w:rsidR="00C16F2E">
        <w:rPr>
          <w:b/>
          <w:bCs/>
          <w:lang w:bidi="he-IL"/>
        </w:rPr>
        <w:t xml:space="preserve">is believed, </w:t>
      </w:r>
      <w:r w:rsidR="00C16F2E">
        <w:rPr>
          <w:lang w:bidi="he-IL"/>
        </w:rPr>
        <w:t xml:space="preserve">for he has </w:t>
      </w:r>
      <w:r w:rsidR="00C16F2E">
        <w:rPr>
          <w:b/>
          <w:bCs/>
          <w:lang w:bidi="he-IL"/>
        </w:rPr>
        <w:t xml:space="preserve">a </w:t>
      </w:r>
      <w:r w:rsidR="00C16F2E">
        <w:rPr>
          <w:rFonts w:hint="cs"/>
          <w:b/>
          <w:bCs/>
          <w:rtl/>
          <w:lang w:bidi="he-IL"/>
        </w:rPr>
        <w:t>מיגו</w:t>
      </w:r>
      <w:r w:rsidR="00C16F2E">
        <w:rPr>
          <w:b/>
          <w:bCs/>
          <w:lang w:bidi="he-IL"/>
        </w:rPr>
        <w:t xml:space="preserve"> –</w:t>
      </w:r>
    </w:p>
    <w:p w:rsidR="00501654" w:rsidRDefault="00C16F2E" w:rsidP="00281D9B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281D9B">
        <w:rPr>
          <w:rFonts w:cs="David" w:hint="cs"/>
          <w:b/>
          <w:bCs/>
          <w:rtl/>
          <w:lang w:bidi="he-IL"/>
        </w:rPr>
        <w:t>דאי בעי אמר לא היתה של אביך מעולם</w:t>
      </w:r>
      <w:r w:rsidR="00281D9B">
        <w:rPr>
          <w:rFonts w:cs="David" w:hint="cs"/>
          <w:b/>
          <w:bCs/>
          <w:rtl/>
          <w:lang w:bidi="he-IL"/>
        </w:rPr>
        <w:t xml:space="preserve"> -</w:t>
      </w:r>
    </w:p>
    <w:p w:rsidR="00C16F2E" w:rsidRPr="00FB795C" w:rsidRDefault="00501654" w:rsidP="00A76ED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C16F2E">
        <w:rPr>
          <w:b/>
          <w:bCs/>
          <w:lang w:bidi="he-IL"/>
        </w:rPr>
        <w:t xml:space="preserve"> </w:t>
      </w:r>
      <w:r w:rsidR="00C16F2E">
        <w:rPr>
          <w:lang w:bidi="he-IL"/>
        </w:rPr>
        <w:t xml:space="preserve">the </w:t>
      </w:r>
      <w:r w:rsidR="00C16F2E">
        <w:rPr>
          <w:rFonts w:hint="cs"/>
          <w:rtl/>
          <w:lang w:bidi="he-IL"/>
        </w:rPr>
        <w:t>מוחזק</w:t>
      </w:r>
      <w:r w:rsidR="00C16F2E">
        <w:rPr>
          <w:lang w:bidi="he-IL"/>
        </w:rPr>
        <w:t xml:space="preserve"> </w:t>
      </w:r>
      <w:r w:rsidR="00C16F2E">
        <w:rPr>
          <w:b/>
          <w:bCs/>
          <w:lang w:bidi="he-IL"/>
        </w:rPr>
        <w:t>could have claimed it was never your father’s;</w:t>
      </w:r>
      <w:r w:rsidR="00C16F2E">
        <w:rPr>
          <w:lang w:bidi="he-IL"/>
        </w:rPr>
        <w:t xml:space="preserve"> </w:t>
      </w:r>
      <w:r w:rsidR="00C16F2E" w:rsidRPr="00FB795C">
        <w:rPr>
          <w:sz w:val="24"/>
          <w:szCs w:val="24"/>
          <w:lang w:bidi="he-IL"/>
        </w:rPr>
        <w:t xml:space="preserve">the son has no witnesses that it was his father’s (in the </w:t>
      </w:r>
      <w:r w:rsidR="00C16F2E" w:rsidRPr="00FB795C">
        <w:rPr>
          <w:rFonts w:hint="cs"/>
          <w:sz w:val="24"/>
          <w:szCs w:val="24"/>
          <w:rtl/>
          <w:lang w:bidi="he-IL"/>
        </w:rPr>
        <w:t>רישא</w:t>
      </w:r>
      <w:r w:rsidR="00C16F2E" w:rsidRPr="00FB795C">
        <w:rPr>
          <w:sz w:val="24"/>
          <w:szCs w:val="24"/>
          <w:lang w:bidi="he-IL"/>
        </w:rPr>
        <w:t xml:space="preserve"> of the </w:t>
      </w:r>
      <w:r w:rsidR="00C16F2E" w:rsidRPr="00FB795C">
        <w:rPr>
          <w:rFonts w:hint="cs"/>
          <w:sz w:val="24"/>
          <w:szCs w:val="24"/>
          <w:rtl/>
          <w:lang w:bidi="he-IL"/>
        </w:rPr>
        <w:t>משנה</w:t>
      </w:r>
      <w:r w:rsidR="00C16F2E" w:rsidRPr="00FB795C">
        <w:rPr>
          <w:sz w:val="24"/>
          <w:szCs w:val="24"/>
          <w:lang w:bidi="he-IL"/>
        </w:rPr>
        <w:t xml:space="preserve">). It is only in the </w:t>
      </w:r>
      <w:r w:rsidR="00C16F2E" w:rsidRPr="00FB795C">
        <w:rPr>
          <w:rFonts w:hint="cs"/>
          <w:sz w:val="24"/>
          <w:szCs w:val="24"/>
          <w:rtl/>
          <w:lang w:bidi="he-IL"/>
        </w:rPr>
        <w:t>סיפא</w:t>
      </w:r>
      <w:r w:rsidR="00C16F2E" w:rsidRPr="00FB795C">
        <w:rPr>
          <w:sz w:val="24"/>
          <w:szCs w:val="24"/>
          <w:lang w:bidi="he-IL"/>
        </w:rPr>
        <w:t xml:space="preserve"> that the </w:t>
      </w:r>
      <w:r w:rsidR="00C16F2E" w:rsidRPr="00FB795C">
        <w:rPr>
          <w:rFonts w:hint="cs"/>
          <w:sz w:val="24"/>
          <w:szCs w:val="24"/>
          <w:rtl/>
          <w:lang w:bidi="he-IL"/>
        </w:rPr>
        <w:t>משנה</w:t>
      </w:r>
      <w:r w:rsidR="00C16F2E" w:rsidRPr="00FB795C">
        <w:rPr>
          <w:sz w:val="24"/>
          <w:szCs w:val="24"/>
          <w:lang w:bidi="he-IL"/>
        </w:rPr>
        <w:t xml:space="preserve"> states that there are </w:t>
      </w:r>
      <w:r w:rsidR="00C16F2E" w:rsidRPr="00FB795C">
        <w:rPr>
          <w:rFonts w:hint="cs"/>
          <w:sz w:val="24"/>
          <w:szCs w:val="24"/>
          <w:rtl/>
          <w:lang w:bidi="he-IL"/>
        </w:rPr>
        <w:t>עדים</w:t>
      </w:r>
      <w:r w:rsidR="00C16F2E" w:rsidRPr="00FB795C">
        <w:rPr>
          <w:sz w:val="24"/>
          <w:szCs w:val="24"/>
          <w:lang w:bidi="he-IL"/>
        </w:rPr>
        <w:t xml:space="preserve">. </w:t>
      </w:r>
      <w:r w:rsidR="00C16F2E" w:rsidRPr="00FB795C">
        <w:rPr>
          <w:rFonts w:hint="cs"/>
          <w:sz w:val="24"/>
          <w:szCs w:val="24"/>
          <w:rtl/>
          <w:lang w:bidi="he-IL"/>
        </w:rPr>
        <w:t>תוספות</w:t>
      </w:r>
      <w:r w:rsidR="00C16F2E" w:rsidRPr="00FB795C">
        <w:rPr>
          <w:sz w:val="24"/>
          <w:szCs w:val="24"/>
          <w:lang w:bidi="he-IL"/>
        </w:rPr>
        <w:t xml:space="preserve"> concludes his proof that the </w:t>
      </w:r>
      <w:r w:rsidR="00C16F2E" w:rsidRPr="00FB795C">
        <w:rPr>
          <w:rFonts w:hint="cs"/>
          <w:sz w:val="24"/>
          <w:szCs w:val="24"/>
          <w:rtl/>
          <w:lang w:bidi="he-IL"/>
        </w:rPr>
        <w:t>רישא</w:t>
      </w:r>
      <w:r w:rsidR="00C16F2E" w:rsidRPr="00FB795C">
        <w:rPr>
          <w:sz w:val="24"/>
          <w:szCs w:val="24"/>
          <w:lang w:bidi="he-IL"/>
        </w:rPr>
        <w:t xml:space="preserve"> is discussing even a case of </w:t>
      </w:r>
      <w:r w:rsidR="00C16F2E" w:rsidRPr="00FB795C">
        <w:rPr>
          <w:rFonts w:hint="cs"/>
          <w:sz w:val="24"/>
          <w:szCs w:val="24"/>
          <w:rtl/>
          <w:lang w:bidi="he-IL"/>
        </w:rPr>
        <w:t>הלה תובעו</w:t>
      </w:r>
      <w:r w:rsidR="00C16F2E" w:rsidRPr="00FB795C">
        <w:rPr>
          <w:sz w:val="24"/>
          <w:szCs w:val="24"/>
          <w:lang w:bidi="he-IL"/>
        </w:rPr>
        <w:t xml:space="preserve"> –</w:t>
      </w:r>
    </w:p>
    <w:p w:rsidR="00501654" w:rsidRPr="00281D9B" w:rsidRDefault="00C16F2E" w:rsidP="00281D9B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281D9B">
        <w:rPr>
          <w:rFonts w:cs="David" w:hint="cs"/>
          <w:b/>
          <w:bCs/>
          <w:rtl/>
          <w:lang w:bidi="he-IL"/>
        </w:rPr>
        <w:t>מדלא נקט אם תובעו אינו נאמן</w:t>
      </w:r>
      <w:r w:rsidRPr="00281D9B">
        <w:rPr>
          <w:rFonts w:cs="David"/>
          <w:b/>
          <w:bCs/>
          <w:lang w:bidi="he-IL"/>
        </w:rPr>
        <w:t xml:space="preserve"> </w:t>
      </w:r>
      <w:r w:rsidR="00281D9B">
        <w:rPr>
          <w:rFonts w:cs="David" w:hint="cs"/>
          <w:b/>
          <w:bCs/>
          <w:rtl/>
          <w:lang w:bidi="he-IL"/>
        </w:rPr>
        <w:t>-</w:t>
      </w:r>
      <w:r w:rsidRPr="00281D9B">
        <w:rPr>
          <w:b/>
          <w:bCs/>
          <w:lang w:bidi="he-IL"/>
        </w:rPr>
        <w:t xml:space="preserve"> </w:t>
      </w:r>
    </w:p>
    <w:p w:rsidR="00C16F2E" w:rsidRPr="00FB795C" w:rsidRDefault="00501654" w:rsidP="00A76ED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Since</w:t>
      </w:r>
      <w:r w:rsidR="00C16F2E">
        <w:rPr>
          <w:b/>
          <w:bCs/>
          <w:lang w:bidi="he-IL"/>
        </w:rPr>
        <w:t xml:space="preserve"> </w:t>
      </w:r>
      <w:r w:rsidR="00C16F2E">
        <w:rPr>
          <w:lang w:bidi="he-IL"/>
        </w:rPr>
        <w:t xml:space="preserve">the </w:t>
      </w:r>
      <w:r w:rsidR="00C16F2E">
        <w:rPr>
          <w:rFonts w:hint="cs"/>
          <w:rtl/>
          <w:lang w:bidi="he-IL"/>
        </w:rPr>
        <w:t>משנה</w:t>
      </w:r>
      <w:r w:rsidR="00C16F2E">
        <w:rPr>
          <w:lang w:bidi="he-IL"/>
        </w:rPr>
        <w:t xml:space="preserve"> </w:t>
      </w:r>
      <w:r w:rsidR="00C16F2E">
        <w:rPr>
          <w:b/>
          <w:bCs/>
          <w:lang w:bidi="he-IL"/>
        </w:rPr>
        <w:t xml:space="preserve">did not state ‘if he </w:t>
      </w:r>
      <w:r w:rsidR="005A01CE">
        <w:rPr>
          <w:b/>
          <w:bCs/>
          <w:lang w:bidi="he-IL"/>
        </w:rPr>
        <w:t>demands of</w:t>
      </w:r>
      <w:r w:rsidR="00C16F2E">
        <w:rPr>
          <w:b/>
          <w:bCs/>
          <w:lang w:bidi="he-IL"/>
        </w:rPr>
        <w:t xml:space="preserve"> him</w:t>
      </w:r>
      <w:r w:rsidR="006E3790">
        <w:rPr>
          <w:b/>
          <w:bCs/>
          <w:lang w:bidi="he-IL"/>
        </w:rPr>
        <w:t>,</w:t>
      </w:r>
      <w:r w:rsidR="00C16F2E">
        <w:rPr>
          <w:b/>
          <w:bCs/>
          <w:lang w:bidi="he-IL"/>
        </w:rPr>
        <w:t xml:space="preserve"> he is not believed’. </w:t>
      </w:r>
      <w:r w:rsidR="00C16F2E" w:rsidRPr="00FB795C">
        <w:rPr>
          <w:sz w:val="24"/>
          <w:szCs w:val="24"/>
          <w:lang w:bidi="he-IL"/>
        </w:rPr>
        <w:t xml:space="preserve">According to </w:t>
      </w:r>
      <w:r w:rsidR="00C16F2E" w:rsidRPr="00FB795C">
        <w:rPr>
          <w:rFonts w:hint="cs"/>
          <w:sz w:val="24"/>
          <w:szCs w:val="24"/>
          <w:rtl/>
          <w:lang w:bidi="he-IL"/>
        </w:rPr>
        <w:t>רש"י</w:t>
      </w:r>
      <w:r w:rsidR="00C16F2E" w:rsidRPr="00FB795C">
        <w:rPr>
          <w:sz w:val="24"/>
          <w:szCs w:val="24"/>
          <w:lang w:bidi="he-IL"/>
        </w:rPr>
        <w:t xml:space="preserve"> the </w:t>
      </w:r>
      <w:r w:rsidR="00C16F2E" w:rsidRPr="00FB795C">
        <w:rPr>
          <w:rFonts w:hint="cs"/>
          <w:sz w:val="24"/>
          <w:szCs w:val="24"/>
          <w:rtl/>
          <w:lang w:bidi="he-IL"/>
        </w:rPr>
        <w:t>משנה</w:t>
      </w:r>
      <w:r w:rsidR="00C16F2E" w:rsidRPr="00FB795C">
        <w:rPr>
          <w:sz w:val="24"/>
          <w:szCs w:val="24"/>
          <w:lang w:bidi="he-IL"/>
        </w:rPr>
        <w:t xml:space="preserve"> should not have (merely) said if there are </w:t>
      </w:r>
      <w:r w:rsidR="00C16F2E" w:rsidRPr="00FB795C">
        <w:rPr>
          <w:rFonts w:hint="cs"/>
          <w:sz w:val="24"/>
          <w:szCs w:val="24"/>
          <w:rtl/>
          <w:lang w:bidi="he-IL"/>
        </w:rPr>
        <w:t>עדים</w:t>
      </w:r>
      <w:r w:rsidR="00C16F2E" w:rsidRPr="00FB795C">
        <w:rPr>
          <w:sz w:val="24"/>
          <w:szCs w:val="24"/>
          <w:lang w:bidi="he-IL"/>
        </w:rPr>
        <w:t xml:space="preserve">, he is not believed; rather the </w:t>
      </w:r>
      <w:r w:rsidR="00C16F2E" w:rsidRPr="00FB795C">
        <w:rPr>
          <w:rFonts w:hint="cs"/>
          <w:sz w:val="24"/>
          <w:szCs w:val="24"/>
          <w:rtl/>
          <w:lang w:bidi="he-IL"/>
        </w:rPr>
        <w:t>משנה</w:t>
      </w:r>
      <w:r w:rsidR="00C16F2E" w:rsidRPr="00FB795C">
        <w:rPr>
          <w:sz w:val="24"/>
          <w:szCs w:val="24"/>
          <w:lang w:bidi="he-IL"/>
        </w:rPr>
        <w:t xml:space="preserve"> should have said that even if the son accuses him (without </w:t>
      </w:r>
      <w:r w:rsidR="00C16F2E" w:rsidRPr="00FB795C">
        <w:rPr>
          <w:rFonts w:hint="cs"/>
          <w:sz w:val="24"/>
          <w:szCs w:val="24"/>
          <w:rtl/>
          <w:lang w:bidi="he-IL"/>
        </w:rPr>
        <w:t>עדים</w:t>
      </w:r>
      <w:r w:rsidR="00C16F2E" w:rsidRPr="00FB795C">
        <w:rPr>
          <w:sz w:val="24"/>
          <w:szCs w:val="24"/>
          <w:lang w:bidi="he-IL"/>
        </w:rPr>
        <w:t>)</w:t>
      </w:r>
      <w:r w:rsidR="005A01CE">
        <w:rPr>
          <w:sz w:val="24"/>
          <w:szCs w:val="24"/>
          <w:lang w:bidi="he-IL"/>
        </w:rPr>
        <w:t>,</w:t>
      </w:r>
      <w:r w:rsidR="00C16F2E" w:rsidRPr="00FB795C">
        <w:rPr>
          <w:sz w:val="24"/>
          <w:szCs w:val="24"/>
          <w:lang w:bidi="he-IL"/>
        </w:rPr>
        <w:t xml:space="preserve"> the </w:t>
      </w:r>
      <w:r w:rsidR="00C16F2E" w:rsidRPr="00FB795C">
        <w:rPr>
          <w:rFonts w:hint="cs"/>
          <w:sz w:val="24"/>
          <w:szCs w:val="24"/>
          <w:rtl/>
          <w:lang w:bidi="he-IL"/>
        </w:rPr>
        <w:t>מוחזק</w:t>
      </w:r>
      <w:r w:rsidR="00C16F2E" w:rsidRPr="00FB795C">
        <w:rPr>
          <w:sz w:val="24"/>
          <w:szCs w:val="24"/>
          <w:lang w:bidi="he-IL"/>
        </w:rPr>
        <w:t xml:space="preserve"> is not believed.</w:t>
      </w:r>
      <w:r w:rsidR="00C16F2E" w:rsidRPr="00FB795C">
        <w:rPr>
          <w:rStyle w:val="FootnoteReference"/>
          <w:sz w:val="24"/>
          <w:szCs w:val="24"/>
          <w:lang w:bidi="he-IL"/>
        </w:rPr>
        <w:footnoteReference w:id="4"/>
      </w:r>
    </w:p>
    <w:p w:rsidR="001C7EE9" w:rsidRPr="00FB795C" w:rsidRDefault="001C7EE9" w:rsidP="00A76ED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1C7EE9" w:rsidRPr="00FB795C" w:rsidRDefault="001C7EE9" w:rsidP="00A76ED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FB795C">
        <w:rPr>
          <w:rFonts w:hint="cs"/>
          <w:sz w:val="24"/>
          <w:szCs w:val="24"/>
          <w:rtl/>
          <w:lang w:bidi="he-IL"/>
        </w:rPr>
        <w:t>תוספות</w:t>
      </w:r>
      <w:r w:rsidRPr="00FB795C">
        <w:rPr>
          <w:sz w:val="24"/>
          <w:szCs w:val="24"/>
          <w:lang w:bidi="he-IL"/>
        </w:rPr>
        <w:t xml:space="preserve"> offers an additional proof to his contention that </w:t>
      </w:r>
      <w:r w:rsidRPr="00FB795C">
        <w:rPr>
          <w:rFonts w:hint="cs"/>
          <w:sz w:val="24"/>
          <w:szCs w:val="24"/>
          <w:rtl/>
          <w:lang w:bidi="he-IL"/>
        </w:rPr>
        <w:t>רש"י</w:t>
      </w:r>
      <w:r w:rsidRPr="00FB795C">
        <w:rPr>
          <w:sz w:val="24"/>
          <w:szCs w:val="24"/>
          <w:lang w:bidi="he-IL"/>
        </w:rPr>
        <w:t xml:space="preserve"> is mistaken:</w:t>
      </w:r>
    </w:p>
    <w:p w:rsidR="00CD2248" w:rsidRPr="00281D9B" w:rsidRDefault="001C7EE9" w:rsidP="00CD2248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281D9B">
        <w:rPr>
          <w:rFonts w:cs="David" w:hint="cs"/>
          <w:b/>
          <w:bCs/>
          <w:rtl/>
          <w:lang w:bidi="he-IL"/>
        </w:rPr>
        <w:t>ובגמרא נמי פרי</w:t>
      </w:r>
      <w:r w:rsidR="00CD2248" w:rsidRPr="00281D9B">
        <w:rPr>
          <w:rFonts w:cs="David" w:hint="cs"/>
          <w:b/>
          <w:bCs/>
          <w:rtl/>
          <w:lang w:bidi="he-IL"/>
        </w:rPr>
        <w:t>ך</w:t>
      </w:r>
      <w:r w:rsidR="00CD2248" w:rsidRPr="00281D9B">
        <w:rPr>
          <w:rStyle w:val="FootnoteReference"/>
          <w:rFonts w:cs="David"/>
          <w:b/>
          <w:bCs/>
          <w:rtl/>
          <w:lang w:bidi="he-IL"/>
        </w:rPr>
        <w:footnoteReference w:id="5"/>
      </w:r>
      <w:r w:rsidR="00CD2248" w:rsidRPr="00281D9B">
        <w:rPr>
          <w:rFonts w:cs="David" w:hint="cs"/>
          <w:b/>
          <w:bCs/>
          <w:rtl/>
          <w:lang w:bidi="he-IL"/>
        </w:rPr>
        <w:t xml:space="preserve"> וליתני שדה זו שלך היתה -</w:t>
      </w:r>
    </w:p>
    <w:p w:rsidR="00DC2CFA" w:rsidRPr="00BE4975" w:rsidRDefault="00281D9B" w:rsidP="0080023E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1C7EE9">
        <w:rPr>
          <w:b/>
          <w:bCs/>
          <w:lang w:bidi="he-IL"/>
        </w:rPr>
        <w:t xml:space="preserve"> the </w:t>
      </w:r>
      <w:r w:rsidR="001C7EE9">
        <w:rPr>
          <w:rFonts w:hint="cs"/>
          <w:b/>
          <w:bCs/>
          <w:rtl/>
          <w:lang w:bidi="he-IL"/>
        </w:rPr>
        <w:t>גמרא</w:t>
      </w:r>
      <w:r w:rsidR="001C7EE9">
        <w:rPr>
          <w:b/>
          <w:bCs/>
          <w:lang w:bidi="he-IL"/>
        </w:rPr>
        <w:t xml:space="preserve"> also challenges </w:t>
      </w:r>
      <w:r w:rsidR="001C7EE9" w:rsidRPr="00CD2248">
        <w:rPr>
          <w:lang w:bidi="he-IL"/>
        </w:rPr>
        <w:t xml:space="preserve">the </w:t>
      </w:r>
      <w:r w:rsidR="001C7EE9" w:rsidRPr="00CD2248">
        <w:rPr>
          <w:rFonts w:hint="cs"/>
          <w:rtl/>
          <w:lang w:bidi="he-IL"/>
        </w:rPr>
        <w:t>משנה</w:t>
      </w:r>
      <w:r w:rsidR="001C7EE9" w:rsidRPr="00CD2248">
        <w:rPr>
          <w:lang w:bidi="he-IL"/>
        </w:rPr>
        <w:t xml:space="preserve"> and asks</w:t>
      </w:r>
      <w:r w:rsidR="0080023E">
        <w:rPr>
          <w:lang w:bidi="he-IL"/>
        </w:rPr>
        <w:t>,</w:t>
      </w:r>
      <w:r w:rsidR="00CD2248">
        <w:rPr>
          <w:sz w:val="24"/>
          <w:szCs w:val="24"/>
          <w:lang w:bidi="he-IL"/>
        </w:rPr>
        <w:t xml:space="preserve"> </w:t>
      </w:r>
      <w:r w:rsidR="0080023E">
        <w:rPr>
          <w:sz w:val="24"/>
          <w:szCs w:val="24"/>
          <w:lang w:bidi="he-IL"/>
        </w:rPr>
        <w:t>‘</w:t>
      </w:r>
      <w:r w:rsidR="00DC2CFA">
        <w:rPr>
          <w:b/>
          <w:bCs/>
          <w:lang w:bidi="he-IL"/>
        </w:rPr>
        <w:t xml:space="preserve">and the </w:t>
      </w:r>
      <w:r w:rsidR="00DC2CFA">
        <w:rPr>
          <w:rFonts w:hint="cs"/>
          <w:b/>
          <w:bCs/>
          <w:rtl/>
          <w:lang w:bidi="he-IL"/>
        </w:rPr>
        <w:t>משנה</w:t>
      </w:r>
      <w:r w:rsidR="00DC2CFA">
        <w:rPr>
          <w:b/>
          <w:bCs/>
          <w:lang w:bidi="he-IL"/>
        </w:rPr>
        <w:t xml:space="preserve"> should </w:t>
      </w:r>
      <w:r w:rsidR="00BE4975">
        <w:rPr>
          <w:lang w:bidi="he-IL"/>
        </w:rPr>
        <w:t xml:space="preserve">rather </w:t>
      </w:r>
      <w:r w:rsidR="00DC2CFA">
        <w:rPr>
          <w:b/>
          <w:bCs/>
          <w:lang w:bidi="he-IL"/>
        </w:rPr>
        <w:t xml:space="preserve">have taught us </w:t>
      </w:r>
      <w:r w:rsidR="00DC2CFA" w:rsidRPr="00CD2248">
        <w:rPr>
          <w:lang w:bidi="he-IL"/>
        </w:rPr>
        <w:t xml:space="preserve">a case where the </w:t>
      </w:r>
      <w:r w:rsidR="00DC2CFA" w:rsidRPr="00CD2248">
        <w:rPr>
          <w:rFonts w:hint="cs"/>
          <w:rtl/>
          <w:lang w:bidi="he-IL"/>
        </w:rPr>
        <w:t>מחזיק</w:t>
      </w:r>
      <w:r w:rsidR="00DC2CFA" w:rsidRPr="00CD2248">
        <w:rPr>
          <w:lang w:bidi="he-IL"/>
        </w:rPr>
        <w:t xml:space="preserve"> says </w:t>
      </w:r>
      <w:r w:rsidR="00DC2CFA">
        <w:rPr>
          <w:b/>
          <w:bCs/>
          <w:lang w:bidi="he-IL"/>
        </w:rPr>
        <w:t>this field was once yours</w:t>
      </w:r>
      <w:r w:rsidR="00DC2CFA">
        <w:rPr>
          <w:lang w:bidi="he-IL"/>
        </w:rPr>
        <w:t xml:space="preserve">, </w:t>
      </w:r>
      <w:r w:rsidR="00DC2CFA" w:rsidRPr="00BE4975">
        <w:rPr>
          <w:sz w:val="24"/>
          <w:szCs w:val="24"/>
          <w:lang w:bidi="he-IL"/>
        </w:rPr>
        <w:t>etc.</w:t>
      </w:r>
      <w:r w:rsidR="0080023E">
        <w:rPr>
          <w:sz w:val="24"/>
          <w:szCs w:val="24"/>
          <w:lang w:bidi="he-IL"/>
        </w:rPr>
        <w:t xml:space="preserve">’ The </w:t>
      </w:r>
      <w:r w:rsidR="0080023E">
        <w:rPr>
          <w:rFonts w:hint="cs"/>
          <w:sz w:val="24"/>
          <w:szCs w:val="24"/>
          <w:rtl/>
          <w:lang w:bidi="he-IL"/>
        </w:rPr>
        <w:t>גמרא</w:t>
      </w:r>
      <w:r w:rsidR="0080023E">
        <w:rPr>
          <w:sz w:val="24"/>
          <w:szCs w:val="24"/>
          <w:lang w:bidi="he-IL"/>
        </w:rPr>
        <w:t xml:space="preserve"> asks that</w:t>
      </w:r>
      <w:r w:rsidR="00DC2CFA" w:rsidRPr="00BE4975">
        <w:rPr>
          <w:sz w:val="24"/>
          <w:szCs w:val="24"/>
          <w:lang w:bidi="he-IL"/>
        </w:rPr>
        <w:t xml:space="preserve"> </w:t>
      </w:r>
      <w:r w:rsidR="0080023E">
        <w:rPr>
          <w:sz w:val="24"/>
          <w:szCs w:val="24"/>
          <w:lang w:bidi="he-IL"/>
        </w:rPr>
        <w:t>i</w:t>
      </w:r>
      <w:r w:rsidR="00DC2CFA" w:rsidRPr="00BE4975">
        <w:rPr>
          <w:sz w:val="24"/>
          <w:szCs w:val="24"/>
          <w:lang w:bidi="he-IL"/>
        </w:rPr>
        <w:t xml:space="preserve">nstead of teaching us the </w:t>
      </w:r>
      <w:r w:rsidR="00DC2CFA" w:rsidRPr="00BE4975">
        <w:rPr>
          <w:rFonts w:hint="cs"/>
          <w:sz w:val="24"/>
          <w:szCs w:val="24"/>
          <w:rtl/>
          <w:lang w:bidi="he-IL"/>
        </w:rPr>
        <w:t>דין</w:t>
      </w:r>
      <w:r w:rsidR="00DC2CFA" w:rsidRPr="00BE4975">
        <w:rPr>
          <w:sz w:val="24"/>
          <w:szCs w:val="24"/>
          <w:lang w:bidi="he-IL"/>
        </w:rPr>
        <w:t xml:space="preserve"> </w:t>
      </w:r>
      <w:r w:rsidR="00C162A6" w:rsidRPr="00BE4975">
        <w:rPr>
          <w:sz w:val="24"/>
          <w:szCs w:val="24"/>
          <w:lang w:bidi="he-IL"/>
        </w:rPr>
        <w:t xml:space="preserve">of </w:t>
      </w:r>
      <w:r w:rsidR="00C162A6">
        <w:rPr>
          <w:sz w:val="24"/>
          <w:szCs w:val="24"/>
          <w:rtl/>
          <w:lang w:bidi="he-IL"/>
        </w:rPr>
        <w:t>שדה</w:t>
      </w:r>
      <w:r w:rsidR="00DC2CFA" w:rsidRPr="00BE4975">
        <w:rPr>
          <w:rFonts w:hint="cs"/>
          <w:sz w:val="24"/>
          <w:szCs w:val="24"/>
          <w:rtl/>
          <w:lang w:bidi="he-IL"/>
        </w:rPr>
        <w:t xml:space="preserve"> זו של אביך היתה</w:t>
      </w:r>
      <w:r w:rsidR="005A01CE">
        <w:rPr>
          <w:sz w:val="24"/>
          <w:szCs w:val="24"/>
          <w:lang w:bidi="he-IL"/>
        </w:rPr>
        <w:t xml:space="preserve"> (which is </w:t>
      </w:r>
      <w:r w:rsidR="005A01CE">
        <w:rPr>
          <w:sz w:val="24"/>
          <w:szCs w:val="24"/>
          <w:lang w:bidi="he-IL"/>
        </w:rPr>
        <w:lastRenderedPageBreak/>
        <w:t>somewhat more complicated)</w:t>
      </w:r>
      <w:r w:rsidR="00DC2CFA" w:rsidRPr="00BE4975">
        <w:rPr>
          <w:sz w:val="24"/>
          <w:szCs w:val="24"/>
          <w:lang w:bidi="he-IL"/>
        </w:rPr>
        <w:t xml:space="preserve">, the </w:t>
      </w:r>
      <w:r w:rsidR="00DC2CFA" w:rsidRPr="00BE4975">
        <w:rPr>
          <w:rFonts w:hint="cs"/>
          <w:sz w:val="24"/>
          <w:szCs w:val="24"/>
          <w:rtl/>
          <w:lang w:bidi="he-IL"/>
        </w:rPr>
        <w:t>משנה</w:t>
      </w:r>
      <w:r w:rsidR="00DC2CFA" w:rsidRPr="00BE4975">
        <w:rPr>
          <w:sz w:val="24"/>
          <w:szCs w:val="24"/>
          <w:lang w:bidi="he-IL"/>
        </w:rPr>
        <w:t xml:space="preserve"> </w:t>
      </w:r>
      <w:r w:rsidR="005A01CE">
        <w:rPr>
          <w:sz w:val="24"/>
          <w:szCs w:val="24"/>
          <w:lang w:bidi="he-IL"/>
        </w:rPr>
        <w:t>c</w:t>
      </w:r>
      <w:r w:rsidR="00DC2CFA" w:rsidRPr="00BE4975">
        <w:rPr>
          <w:sz w:val="24"/>
          <w:szCs w:val="24"/>
          <w:lang w:bidi="he-IL"/>
        </w:rPr>
        <w:t>ould have taught the</w:t>
      </w:r>
      <w:r w:rsidR="005A01CE">
        <w:rPr>
          <w:sz w:val="24"/>
          <w:szCs w:val="24"/>
          <w:lang w:bidi="he-IL"/>
        </w:rPr>
        <w:t xml:space="preserve"> same </w:t>
      </w:r>
      <w:r w:rsidR="00DC2CFA" w:rsidRPr="00BE4975">
        <w:rPr>
          <w:rFonts w:hint="cs"/>
          <w:sz w:val="24"/>
          <w:szCs w:val="24"/>
          <w:rtl/>
          <w:lang w:bidi="he-IL"/>
        </w:rPr>
        <w:t>דין</w:t>
      </w:r>
      <w:r w:rsidR="00DC2CFA" w:rsidRPr="00BE4975">
        <w:rPr>
          <w:sz w:val="24"/>
          <w:szCs w:val="24"/>
          <w:lang w:bidi="he-IL"/>
        </w:rPr>
        <w:t xml:space="preserve"> </w:t>
      </w:r>
      <w:r w:rsidR="005A01CE">
        <w:rPr>
          <w:sz w:val="24"/>
          <w:szCs w:val="24"/>
          <w:lang w:bidi="he-IL"/>
        </w:rPr>
        <w:t xml:space="preserve">in a case </w:t>
      </w:r>
      <w:r w:rsidR="00DC2CFA" w:rsidRPr="00BE4975">
        <w:rPr>
          <w:sz w:val="24"/>
          <w:szCs w:val="24"/>
          <w:lang w:bidi="he-IL"/>
        </w:rPr>
        <w:t xml:space="preserve">of </w:t>
      </w:r>
      <w:r w:rsidR="00DC2CFA" w:rsidRPr="00BE4975">
        <w:rPr>
          <w:rFonts w:hint="cs"/>
          <w:sz w:val="24"/>
          <w:szCs w:val="24"/>
          <w:rtl/>
          <w:lang w:bidi="he-IL"/>
        </w:rPr>
        <w:t>שדה זו שלך היתה ולקחתיה ממך</w:t>
      </w:r>
      <w:r w:rsidR="005A01CE">
        <w:rPr>
          <w:sz w:val="24"/>
          <w:szCs w:val="24"/>
          <w:lang w:bidi="he-IL"/>
        </w:rPr>
        <w:t xml:space="preserve"> (which is a simpler case)</w:t>
      </w:r>
      <w:r w:rsidR="00DC2CFA" w:rsidRPr="00BE4975">
        <w:rPr>
          <w:sz w:val="24"/>
          <w:szCs w:val="24"/>
          <w:lang w:bidi="he-IL"/>
        </w:rPr>
        <w:t xml:space="preserve">. This concludes the citation from the </w:t>
      </w:r>
      <w:r w:rsidR="00DC2CFA" w:rsidRPr="00BE4975">
        <w:rPr>
          <w:rFonts w:hint="cs"/>
          <w:sz w:val="24"/>
          <w:szCs w:val="24"/>
          <w:rtl/>
          <w:lang w:bidi="he-IL"/>
        </w:rPr>
        <w:t>גמרא</w:t>
      </w:r>
      <w:r w:rsidR="00DC2CFA" w:rsidRPr="00BE4975">
        <w:rPr>
          <w:sz w:val="24"/>
          <w:szCs w:val="24"/>
          <w:lang w:bidi="he-IL"/>
        </w:rPr>
        <w:t>.</w:t>
      </w:r>
    </w:p>
    <w:p w:rsidR="00DC2CFA" w:rsidRPr="00BE4975" w:rsidRDefault="00DC2CFA" w:rsidP="00A76ED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DC2CFA" w:rsidRPr="00BE4975" w:rsidRDefault="00DC2CFA" w:rsidP="00A76ED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BE4975">
        <w:rPr>
          <w:rFonts w:hint="cs"/>
          <w:sz w:val="24"/>
          <w:szCs w:val="24"/>
          <w:rtl/>
          <w:lang w:bidi="he-IL"/>
        </w:rPr>
        <w:t>תוספות</w:t>
      </w:r>
      <w:r w:rsidRPr="00BE4975">
        <w:rPr>
          <w:sz w:val="24"/>
          <w:szCs w:val="24"/>
          <w:lang w:bidi="he-IL"/>
        </w:rPr>
        <w:t xml:space="preserve"> continues with his proof. This question</w:t>
      </w:r>
      <w:r w:rsidR="003163D4">
        <w:rPr>
          <w:sz w:val="24"/>
          <w:szCs w:val="24"/>
          <w:lang w:bidi="he-IL"/>
        </w:rPr>
        <w:t xml:space="preserve"> of the </w:t>
      </w:r>
      <w:r w:rsidR="003163D4">
        <w:rPr>
          <w:rFonts w:hint="cs"/>
          <w:sz w:val="24"/>
          <w:szCs w:val="24"/>
          <w:rtl/>
          <w:lang w:bidi="he-IL"/>
        </w:rPr>
        <w:t>גמרא</w:t>
      </w:r>
      <w:r w:rsidRPr="00BE4975">
        <w:rPr>
          <w:sz w:val="24"/>
          <w:szCs w:val="24"/>
          <w:lang w:bidi="he-IL"/>
        </w:rPr>
        <w:t xml:space="preserve"> –</w:t>
      </w:r>
    </w:p>
    <w:p w:rsidR="00CD2248" w:rsidRPr="00281D9B" w:rsidRDefault="00DC2CFA" w:rsidP="00281D9B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281D9B">
        <w:rPr>
          <w:rFonts w:cs="David" w:hint="cs"/>
          <w:b/>
          <w:bCs/>
          <w:rtl/>
          <w:lang w:bidi="he-IL"/>
        </w:rPr>
        <w:t>משמע</w:t>
      </w:r>
      <w:r w:rsidR="00CD2248" w:rsidRPr="00281D9B">
        <w:rPr>
          <w:rFonts w:cs="David" w:hint="cs"/>
          <w:b/>
          <w:bCs/>
          <w:rtl/>
          <w:lang w:bidi="he-IL"/>
        </w:rPr>
        <w:t xml:space="preserve"> דבהלה תובעו איירי</w:t>
      </w:r>
      <w:r w:rsidRPr="00281D9B">
        <w:rPr>
          <w:rFonts w:cs="David"/>
          <w:b/>
          <w:bCs/>
          <w:lang w:bidi="he-IL"/>
        </w:rPr>
        <w:t xml:space="preserve"> </w:t>
      </w:r>
      <w:r w:rsidR="00281D9B">
        <w:rPr>
          <w:rFonts w:cs="David" w:hint="cs"/>
          <w:b/>
          <w:bCs/>
          <w:rtl/>
          <w:lang w:bidi="he-IL"/>
        </w:rPr>
        <w:t>-</w:t>
      </w:r>
      <w:r w:rsidRPr="00281D9B">
        <w:rPr>
          <w:rFonts w:cs="David"/>
          <w:b/>
          <w:bCs/>
          <w:lang w:bidi="he-IL"/>
        </w:rPr>
        <w:t xml:space="preserve"> </w:t>
      </w:r>
    </w:p>
    <w:p w:rsidR="00FE542C" w:rsidRDefault="00DC2CFA" w:rsidP="00CD2248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indicates that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 discussing </w:t>
      </w:r>
      <w:r>
        <w:rPr>
          <w:lang w:bidi="he-IL"/>
        </w:rPr>
        <w:t xml:space="preserve">a case </w:t>
      </w:r>
      <w:r>
        <w:rPr>
          <w:b/>
          <w:bCs/>
          <w:lang w:bidi="he-IL"/>
        </w:rPr>
        <w:t xml:space="preserve">where </w:t>
      </w:r>
      <w:r>
        <w:rPr>
          <w:lang w:bidi="he-IL"/>
        </w:rPr>
        <w:t xml:space="preserve">the son </w:t>
      </w:r>
      <w:r>
        <w:rPr>
          <w:b/>
          <w:bCs/>
          <w:lang w:bidi="he-IL"/>
        </w:rPr>
        <w:t xml:space="preserve">is accusing </w:t>
      </w:r>
      <w:r w:rsidR="00FE542C" w:rsidRPr="00FE542C">
        <w:rPr>
          <w:sz w:val="24"/>
          <w:szCs w:val="24"/>
          <w:lang w:bidi="he-IL"/>
        </w:rPr>
        <w:t xml:space="preserve">the </w:t>
      </w:r>
      <w:r w:rsidR="00FE542C" w:rsidRPr="00FE542C">
        <w:rPr>
          <w:rFonts w:hint="cs"/>
          <w:sz w:val="24"/>
          <w:szCs w:val="24"/>
          <w:rtl/>
          <w:lang w:bidi="he-IL"/>
        </w:rPr>
        <w:t>מוחזק</w:t>
      </w:r>
      <w:r w:rsidR="005611D3">
        <w:rPr>
          <w:lang w:bidi="he-IL"/>
        </w:rPr>
        <w:t xml:space="preserve"> </w:t>
      </w:r>
      <w:r w:rsidR="005611D3" w:rsidRPr="00BE4975">
        <w:rPr>
          <w:sz w:val="24"/>
          <w:szCs w:val="24"/>
          <w:lang w:bidi="he-IL"/>
        </w:rPr>
        <w:t xml:space="preserve">of occupying his field, which prompted the response of </w:t>
      </w:r>
      <w:r w:rsidR="005611D3" w:rsidRPr="00BE4975">
        <w:rPr>
          <w:rFonts w:hint="cs"/>
          <w:sz w:val="24"/>
          <w:szCs w:val="24"/>
          <w:rtl/>
          <w:lang w:bidi="he-IL"/>
        </w:rPr>
        <w:t>שדה זו שלך היתה ולקחתיה ממך</w:t>
      </w:r>
      <w:r w:rsidR="005611D3" w:rsidRPr="00BE4975">
        <w:rPr>
          <w:sz w:val="24"/>
          <w:szCs w:val="24"/>
          <w:lang w:bidi="he-IL"/>
        </w:rPr>
        <w:t xml:space="preserve">. </w:t>
      </w:r>
    </w:p>
    <w:p w:rsidR="00FE542C" w:rsidRDefault="00FE542C" w:rsidP="00A76ED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DC2CFA" w:rsidRPr="00BE4975" w:rsidRDefault="00FE542C" w:rsidP="00A76EDC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expounds; </w:t>
      </w:r>
      <w:r w:rsidR="005611D3" w:rsidRPr="00BE4975">
        <w:rPr>
          <w:sz w:val="24"/>
          <w:szCs w:val="24"/>
          <w:lang w:bidi="he-IL"/>
        </w:rPr>
        <w:t xml:space="preserve">If we assume that the case of </w:t>
      </w:r>
      <w:r w:rsidR="005611D3" w:rsidRPr="00BE4975">
        <w:rPr>
          <w:rFonts w:hint="cs"/>
          <w:sz w:val="24"/>
          <w:szCs w:val="24"/>
          <w:rtl/>
          <w:lang w:bidi="he-IL"/>
        </w:rPr>
        <w:t>שלך היתה</w:t>
      </w:r>
      <w:r w:rsidR="005611D3" w:rsidRPr="00BE4975">
        <w:rPr>
          <w:sz w:val="24"/>
          <w:szCs w:val="24"/>
          <w:lang w:bidi="he-IL"/>
        </w:rPr>
        <w:t xml:space="preserve"> is discussing a situation of </w:t>
      </w:r>
      <w:r w:rsidR="005611D3" w:rsidRPr="00BE4975">
        <w:rPr>
          <w:rFonts w:hint="cs"/>
          <w:sz w:val="24"/>
          <w:szCs w:val="24"/>
          <w:rtl/>
          <w:lang w:bidi="he-IL"/>
        </w:rPr>
        <w:t>הלה תובעו</w:t>
      </w:r>
      <w:r w:rsidR="005611D3" w:rsidRPr="00BE4975">
        <w:rPr>
          <w:sz w:val="24"/>
          <w:szCs w:val="24"/>
          <w:lang w:bidi="he-IL"/>
        </w:rPr>
        <w:t xml:space="preserve"> </w:t>
      </w:r>
      <w:r w:rsidR="005611D3" w:rsidRPr="00BE4975">
        <w:rPr>
          <w:b/>
          <w:bCs/>
          <w:sz w:val="24"/>
          <w:szCs w:val="24"/>
          <w:lang w:bidi="he-IL"/>
        </w:rPr>
        <w:t>–</w:t>
      </w:r>
    </w:p>
    <w:p w:rsidR="00CD2248" w:rsidRPr="00281D9B" w:rsidRDefault="005611D3" w:rsidP="00281D9B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281D9B">
        <w:rPr>
          <w:rFonts w:cs="David" w:hint="cs"/>
          <w:b/>
          <w:bCs/>
          <w:rtl/>
          <w:lang w:bidi="he-IL"/>
        </w:rPr>
        <w:t>ולכך משיב ודאי שלך היתה</w:t>
      </w:r>
      <w:r w:rsidR="00CD2248" w:rsidRPr="00281D9B">
        <w:rPr>
          <w:rFonts w:cs="David" w:hint="cs"/>
          <w:b/>
          <w:bCs/>
          <w:rtl/>
          <w:lang w:bidi="he-IL"/>
        </w:rPr>
        <w:t xml:space="preserve"> ולקחתיה ממך</w:t>
      </w:r>
      <w:r w:rsidRPr="00281D9B">
        <w:rPr>
          <w:rFonts w:cs="David"/>
          <w:b/>
          <w:bCs/>
          <w:lang w:bidi="he-IL"/>
        </w:rPr>
        <w:t xml:space="preserve"> </w:t>
      </w:r>
      <w:r w:rsidR="00281D9B">
        <w:rPr>
          <w:rFonts w:cs="David" w:hint="cs"/>
          <w:b/>
          <w:bCs/>
          <w:rtl/>
          <w:lang w:bidi="he-IL"/>
        </w:rPr>
        <w:t>-</w:t>
      </w:r>
      <w:r w:rsidRPr="00281D9B">
        <w:rPr>
          <w:b/>
          <w:bCs/>
          <w:lang w:bidi="he-IL"/>
        </w:rPr>
        <w:t xml:space="preserve"> </w:t>
      </w:r>
    </w:p>
    <w:p w:rsidR="005611D3" w:rsidRPr="00BE4975" w:rsidRDefault="00CD2248" w:rsidP="00CD2248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5611D3">
        <w:rPr>
          <w:b/>
          <w:bCs/>
          <w:lang w:bidi="he-IL"/>
        </w:rPr>
        <w:t>Therefore</w:t>
      </w:r>
      <w:r w:rsidR="005611D3">
        <w:rPr>
          <w:lang w:bidi="he-IL"/>
        </w:rPr>
        <w:t xml:space="preserve"> the </w:t>
      </w:r>
      <w:r w:rsidR="005611D3">
        <w:rPr>
          <w:rFonts w:hint="cs"/>
          <w:rtl/>
          <w:lang w:bidi="he-IL"/>
        </w:rPr>
        <w:t>מוחזק</w:t>
      </w:r>
      <w:r w:rsidR="005611D3">
        <w:rPr>
          <w:lang w:bidi="he-IL"/>
        </w:rPr>
        <w:t xml:space="preserve"> </w:t>
      </w:r>
      <w:r w:rsidR="005611D3">
        <w:rPr>
          <w:b/>
          <w:bCs/>
          <w:lang w:bidi="he-IL"/>
        </w:rPr>
        <w:t>responds to him; ‘certainly it was yours</w:t>
      </w:r>
      <w:r w:rsidR="005611D3">
        <w:rPr>
          <w:lang w:bidi="he-IL"/>
        </w:rPr>
        <w:t xml:space="preserve">, </w:t>
      </w:r>
      <w:r w:rsidR="005611D3" w:rsidRPr="00CD2248">
        <w:rPr>
          <w:lang w:bidi="he-IL"/>
        </w:rPr>
        <w:t>however</w:t>
      </w:r>
      <w:r w:rsidR="005611D3" w:rsidRPr="00BE4975">
        <w:rPr>
          <w:sz w:val="24"/>
          <w:szCs w:val="24"/>
          <w:lang w:bidi="he-IL"/>
        </w:rPr>
        <w:t xml:space="preserve"> </w:t>
      </w:r>
      <w:r w:rsidR="005611D3">
        <w:rPr>
          <w:b/>
          <w:bCs/>
          <w:lang w:bidi="he-IL"/>
        </w:rPr>
        <w:t xml:space="preserve">I </w:t>
      </w:r>
      <w:r w:rsidR="005611D3">
        <w:rPr>
          <w:lang w:bidi="he-IL"/>
        </w:rPr>
        <w:t xml:space="preserve">subsequently </w:t>
      </w:r>
      <w:r w:rsidR="005611D3" w:rsidRPr="005611D3">
        <w:rPr>
          <w:b/>
          <w:bCs/>
          <w:lang w:bidi="he-IL"/>
        </w:rPr>
        <w:t>bought it from you</w:t>
      </w:r>
      <w:r w:rsidR="006E3790">
        <w:rPr>
          <w:b/>
          <w:bCs/>
          <w:lang w:bidi="he-IL"/>
        </w:rPr>
        <w:t>’</w:t>
      </w:r>
      <w:r w:rsidR="005611D3">
        <w:rPr>
          <w:b/>
          <w:bCs/>
          <w:lang w:bidi="he-IL"/>
        </w:rPr>
        <w:t>.</w:t>
      </w:r>
      <w:r w:rsidR="005611D3">
        <w:rPr>
          <w:lang w:bidi="he-IL"/>
        </w:rPr>
        <w:t xml:space="preserve"> </w:t>
      </w:r>
      <w:r w:rsidR="005611D3" w:rsidRPr="00BE4975">
        <w:rPr>
          <w:sz w:val="24"/>
          <w:szCs w:val="24"/>
          <w:lang w:bidi="he-IL"/>
        </w:rPr>
        <w:t>This</w:t>
      </w:r>
      <w:r w:rsidR="00281D9B">
        <w:rPr>
          <w:sz w:val="24"/>
          <w:szCs w:val="24"/>
          <w:lang w:bidi="he-IL"/>
        </w:rPr>
        <w:t xml:space="preserve"> conversation is understandable -</w:t>
      </w:r>
    </w:p>
    <w:p w:rsidR="00CD2248" w:rsidRPr="00281D9B" w:rsidRDefault="005611D3" w:rsidP="001C5BD3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281D9B">
        <w:rPr>
          <w:rFonts w:cs="David" w:hint="cs"/>
          <w:b/>
          <w:bCs/>
          <w:rtl/>
          <w:lang w:bidi="he-IL"/>
        </w:rPr>
        <w:t>אבל אם לא תובעו</w:t>
      </w:r>
      <w:r w:rsidR="00CD2248" w:rsidRPr="00281D9B">
        <w:rPr>
          <w:rFonts w:cs="David" w:hint="cs"/>
          <w:b/>
          <w:bCs/>
          <w:rtl/>
          <w:lang w:bidi="he-IL"/>
        </w:rPr>
        <w:t xml:space="preserve"> אין שייך לומר שלך היתה כי מסתמא הוא יודע בעצמו דבר זה</w:t>
      </w:r>
      <w:r w:rsidR="001C5BD3" w:rsidRPr="00281D9B">
        <w:rPr>
          <w:rFonts w:cs="David" w:hint="cs"/>
          <w:b/>
          <w:bCs/>
          <w:rtl/>
          <w:lang w:bidi="he-IL"/>
        </w:rPr>
        <w:t>:</w:t>
      </w:r>
    </w:p>
    <w:p w:rsidR="00A9607D" w:rsidRDefault="00CD2248" w:rsidP="0080023E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However,</w:t>
      </w:r>
      <w:r w:rsidR="005611D3">
        <w:rPr>
          <w:b/>
          <w:bCs/>
          <w:lang w:bidi="he-IL"/>
        </w:rPr>
        <w:t xml:space="preserve"> if </w:t>
      </w:r>
      <w:r w:rsidR="005611D3">
        <w:rPr>
          <w:lang w:bidi="he-IL"/>
        </w:rPr>
        <w:t xml:space="preserve">we are discussing a case </w:t>
      </w:r>
      <w:r w:rsidR="005611D3">
        <w:rPr>
          <w:b/>
          <w:bCs/>
          <w:lang w:bidi="he-IL"/>
        </w:rPr>
        <w:t xml:space="preserve">where </w:t>
      </w:r>
      <w:r w:rsidR="0080023E">
        <w:rPr>
          <w:b/>
          <w:bCs/>
          <w:lang w:bidi="he-IL"/>
        </w:rPr>
        <w:t>t</w:t>
      </w:r>
      <w:r w:rsidR="005611D3">
        <w:rPr>
          <w:b/>
          <w:bCs/>
          <w:lang w:bidi="he-IL"/>
        </w:rPr>
        <w:t>he</w:t>
      </w:r>
      <w:r w:rsidR="0080023E">
        <w:rPr>
          <w:b/>
          <w:bCs/>
          <w:lang w:bidi="he-IL"/>
        </w:rPr>
        <w:t xml:space="preserve"> </w:t>
      </w:r>
      <w:r w:rsidR="0080023E">
        <w:rPr>
          <w:rFonts w:hint="cs"/>
          <w:rtl/>
          <w:lang w:bidi="he-IL"/>
        </w:rPr>
        <w:t>מחזיק</w:t>
      </w:r>
      <w:r w:rsidR="005611D3">
        <w:rPr>
          <w:b/>
          <w:bCs/>
          <w:lang w:bidi="he-IL"/>
        </w:rPr>
        <w:t xml:space="preserve"> is not being accused;</w:t>
      </w:r>
      <w:r w:rsidR="005611D3">
        <w:rPr>
          <w:lang w:bidi="he-IL"/>
        </w:rPr>
        <w:t xml:space="preserve"> </w:t>
      </w:r>
      <w:r w:rsidR="003163D4" w:rsidRPr="00CD2248">
        <w:rPr>
          <w:lang w:bidi="he-IL"/>
        </w:rPr>
        <w:t xml:space="preserve">rather </w:t>
      </w:r>
      <w:r w:rsidR="005611D3" w:rsidRPr="00CD2248">
        <w:rPr>
          <w:lang w:bidi="he-IL"/>
        </w:rPr>
        <w:t xml:space="preserve">the </w:t>
      </w:r>
      <w:r w:rsidR="005611D3" w:rsidRPr="00CD2248">
        <w:rPr>
          <w:rFonts w:hint="cs"/>
          <w:rtl/>
          <w:lang w:bidi="he-IL"/>
        </w:rPr>
        <w:t>מחזיק</w:t>
      </w:r>
      <w:r w:rsidR="005611D3" w:rsidRPr="00CD2248">
        <w:rPr>
          <w:lang w:bidi="he-IL"/>
        </w:rPr>
        <w:t xml:space="preserve"> is approaching the former owner (as </w:t>
      </w:r>
      <w:r w:rsidR="005611D3" w:rsidRPr="00CD2248">
        <w:rPr>
          <w:rFonts w:hint="cs"/>
          <w:rtl/>
          <w:lang w:bidi="he-IL"/>
        </w:rPr>
        <w:t>רש"י</w:t>
      </w:r>
      <w:r w:rsidR="005611D3" w:rsidRPr="00CD2248">
        <w:rPr>
          <w:lang w:bidi="he-IL"/>
        </w:rPr>
        <w:t xml:space="preserve"> would have us understand), then </w:t>
      </w:r>
      <w:r w:rsidR="005611D3">
        <w:rPr>
          <w:b/>
          <w:bCs/>
          <w:lang w:bidi="he-IL"/>
        </w:rPr>
        <w:t xml:space="preserve">it is not appropriate </w:t>
      </w:r>
      <w:r w:rsidR="005611D3">
        <w:rPr>
          <w:lang w:bidi="he-IL"/>
        </w:rPr>
        <w:t xml:space="preserve">for the </w:t>
      </w:r>
      <w:r w:rsidR="005611D3">
        <w:rPr>
          <w:rFonts w:hint="cs"/>
          <w:rtl/>
          <w:lang w:bidi="he-IL"/>
        </w:rPr>
        <w:t>מחזיק</w:t>
      </w:r>
      <w:r w:rsidR="005611D3">
        <w:rPr>
          <w:lang w:bidi="he-IL"/>
        </w:rPr>
        <w:t xml:space="preserve"> </w:t>
      </w:r>
      <w:r w:rsidR="005611D3">
        <w:rPr>
          <w:b/>
          <w:bCs/>
          <w:lang w:bidi="he-IL"/>
        </w:rPr>
        <w:t>to state</w:t>
      </w:r>
      <w:r w:rsidR="005611D3">
        <w:rPr>
          <w:lang w:bidi="he-IL"/>
        </w:rPr>
        <w:t xml:space="preserve"> to the original owner</w:t>
      </w:r>
      <w:r w:rsidR="005611D3">
        <w:rPr>
          <w:b/>
          <w:bCs/>
          <w:lang w:bidi="he-IL"/>
        </w:rPr>
        <w:t xml:space="preserve"> ‘it was yours’</w:t>
      </w:r>
      <w:r>
        <w:rPr>
          <w:b/>
          <w:bCs/>
          <w:lang w:bidi="he-IL"/>
        </w:rPr>
        <w:t>,</w:t>
      </w:r>
      <w:r w:rsidR="005611D3">
        <w:rPr>
          <w:b/>
          <w:bCs/>
          <w:lang w:bidi="he-IL"/>
        </w:rPr>
        <w:t xml:space="preserve"> for it is assumable that he himself </w:t>
      </w:r>
      <w:r w:rsidR="005611D3">
        <w:rPr>
          <w:lang w:bidi="he-IL"/>
        </w:rPr>
        <w:t xml:space="preserve">(the former owner) </w:t>
      </w:r>
      <w:r w:rsidR="005611D3">
        <w:rPr>
          <w:b/>
          <w:bCs/>
          <w:lang w:bidi="he-IL"/>
        </w:rPr>
        <w:t>knows of this</w:t>
      </w:r>
      <w:r>
        <w:rPr>
          <w:b/>
          <w:bCs/>
          <w:lang w:bidi="he-IL"/>
        </w:rPr>
        <w:t>.</w:t>
      </w:r>
      <w:r w:rsidR="00A9607D">
        <w:rPr>
          <w:rStyle w:val="FootnoteReference"/>
          <w:b/>
          <w:bCs/>
          <w:lang w:bidi="he-IL"/>
        </w:rPr>
        <w:footnoteReference w:id="6"/>
      </w:r>
      <w:r w:rsidR="005611D3">
        <w:rPr>
          <w:b/>
          <w:bCs/>
          <w:lang w:bidi="he-IL"/>
        </w:rPr>
        <w:t xml:space="preserve"> </w:t>
      </w:r>
      <w:r w:rsidR="005611D3" w:rsidRPr="00BE4975">
        <w:rPr>
          <w:sz w:val="24"/>
          <w:szCs w:val="24"/>
          <w:lang w:bidi="he-IL"/>
        </w:rPr>
        <w:t xml:space="preserve">The owner knows that he is an owner; what does the </w:t>
      </w:r>
      <w:r w:rsidR="005611D3" w:rsidRPr="00BE4975">
        <w:rPr>
          <w:rFonts w:hint="cs"/>
          <w:sz w:val="24"/>
          <w:szCs w:val="24"/>
          <w:rtl/>
          <w:lang w:bidi="he-IL"/>
        </w:rPr>
        <w:t>מוחזק</w:t>
      </w:r>
      <w:r w:rsidR="005611D3" w:rsidRPr="00BE4975">
        <w:rPr>
          <w:sz w:val="24"/>
          <w:szCs w:val="24"/>
          <w:lang w:bidi="he-IL"/>
        </w:rPr>
        <w:t xml:space="preserve"> accomplish by saying ‘this was once your field’.</w:t>
      </w:r>
      <w:r w:rsidR="006E3790">
        <w:rPr>
          <w:sz w:val="24"/>
          <w:szCs w:val="24"/>
          <w:lang w:bidi="he-IL"/>
        </w:rPr>
        <w:t xml:space="preserve"> He merely should have said </w:t>
      </w:r>
      <w:r w:rsidR="006E3790">
        <w:rPr>
          <w:rFonts w:hint="cs"/>
          <w:sz w:val="24"/>
          <w:szCs w:val="24"/>
          <w:rtl/>
          <w:lang w:bidi="he-IL"/>
        </w:rPr>
        <w:t>שדה זו לקחתיה ממך</w:t>
      </w:r>
      <w:r w:rsidR="006E3790">
        <w:rPr>
          <w:sz w:val="24"/>
          <w:szCs w:val="24"/>
          <w:lang w:bidi="he-IL"/>
        </w:rPr>
        <w:t>.</w:t>
      </w:r>
      <w:r w:rsidR="005611D3" w:rsidRPr="00BE4975">
        <w:rPr>
          <w:sz w:val="24"/>
          <w:szCs w:val="24"/>
          <w:lang w:bidi="he-IL"/>
        </w:rPr>
        <w:t xml:space="preserve"> The words</w:t>
      </w:r>
      <w:r w:rsidR="006E3790">
        <w:rPr>
          <w:sz w:val="24"/>
          <w:szCs w:val="24"/>
          <w:lang w:bidi="he-IL"/>
        </w:rPr>
        <w:t xml:space="preserve"> </w:t>
      </w:r>
      <w:r w:rsidR="006E3790">
        <w:rPr>
          <w:rFonts w:hint="cs"/>
          <w:sz w:val="24"/>
          <w:szCs w:val="24"/>
          <w:rtl/>
          <w:lang w:bidi="he-IL"/>
        </w:rPr>
        <w:t>שדה זו שלך היתה</w:t>
      </w:r>
      <w:r w:rsidR="006E3790">
        <w:rPr>
          <w:sz w:val="24"/>
          <w:szCs w:val="24"/>
          <w:lang w:bidi="he-IL"/>
        </w:rPr>
        <w:t>,</w:t>
      </w:r>
      <w:r w:rsidR="005611D3" w:rsidRPr="00BE4975">
        <w:rPr>
          <w:sz w:val="24"/>
          <w:szCs w:val="24"/>
          <w:lang w:bidi="he-IL"/>
        </w:rPr>
        <w:t xml:space="preserve"> make sense only if the </w:t>
      </w:r>
      <w:r w:rsidR="005611D3" w:rsidRPr="00BE4975">
        <w:rPr>
          <w:rFonts w:hint="cs"/>
          <w:sz w:val="24"/>
          <w:szCs w:val="24"/>
          <w:rtl/>
          <w:lang w:bidi="he-IL"/>
        </w:rPr>
        <w:t>מוחזק</w:t>
      </w:r>
      <w:r w:rsidR="005611D3" w:rsidRPr="00BE4975">
        <w:rPr>
          <w:sz w:val="24"/>
          <w:szCs w:val="24"/>
          <w:lang w:bidi="he-IL"/>
        </w:rPr>
        <w:t xml:space="preserve"> is acknowledging a claim made against him; not if he is merely informing the former owner of his own status</w:t>
      </w:r>
      <w:r w:rsidR="00281D9B">
        <w:rPr>
          <w:sz w:val="24"/>
          <w:szCs w:val="24"/>
          <w:lang w:bidi="he-IL"/>
        </w:rPr>
        <w:t xml:space="preserve"> </w:t>
      </w:r>
      <w:r w:rsidR="005611D3" w:rsidRPr="00BE4975">
        <w:rPr>
          <w:sz w:val="24"/>
          <w:szCs w:val="24"/>
          <w:lang w:bidi="he-IL"/>
        </w:rPr>
        <w:t xml:space="preserve">as a buyer. </w:t>
      </w:r>
      <w:r w:rsidR="00A9607D" w:rsidRPr="00BE4975">
        <w:rPr>
          <w:sz w:val="24"/>
          <w:szCs w:val="24"/>
          <w:lang w:bidi="he-IL"/>
        </w:rPr>
        <w:t xml:space="preserve">Once we assume that the question of </w:t>
      </w:r>
      <w:r w:rsidR="00A9607D" w:rsidRPr="00BE4975">
        <w:rPr>
          <w:rFonts w:hint="cs"/>
          <w:sz w:val="24"/>
          <w:szCs w:val="24"/>
          <w:rtl/>
          <w:lang w:bidi="he-IL"/>
        </w:rPr>
        <w:t>שלך היתה</w:t>
      </w:r>
      <w:r w:rsidR="00A9607D" w:rsidRPr="00BE4975">
        <w:rPr>
          <w:sz w:val="24"/>
          <w:szCs w:val="24"/>
          <w:lang w:bidi="he-IL"/>
        </w:rPr>
        <w:t xml:space="preserve"> is discussing </w:t>
      </w:r>
      <w:r w:rsidR="00A9607D" w:rsidRPr="00BE4975">
        <w:rPr>
          <w:rFonts w:hint="cs"/>
          <w:sz w:val="24"/>
          <w:szCs w:val="24"/>
          <w:rtl/>
          <w:lang w:bidi="he-IL"/>
        </w:rPr>
        <w:t>הלה תובעו</w:t>
      </w:r>
      <w:r w:rsidR="00A9607D" w:rsidRPr="00BE4975">
        <w:rPr>
          <w:sz w:val="24"/>
          <w:szCs w:val="24"/>
          <w:lang w:bidi="he-IL"/>
        </w:rPr>
        <w:t xml:space="preserve">, it is self understood that </w:t>
      </w:r>
      <w:r w:rsidR="00FE542C">
        <w:rPr>
          <w:sz w:val="24"/>
          <w:szCs w:val="24"/>
          <w:lang w:bidi="he-IL"/>
        </w:rPr>
        <w:t xml:space="preserve">the </w:t>
      </w:r>
      <w:r w:rsidR="00FE542C">
        <w:rPr>
          <w:rFonts w:hint="cs"/>
          <w:sz w:val="24"/>
          <w:szCs w:val="24"/>
          <w:rtl/>
          <w:lang w:bidi="he-IL"/>
        </w:rPr>
        <w:t>מיגו</w:t>
      </w:r>
      <w:r w:rsidR="00FE542C">
        <w:rPr>
          <w:sz w:val="24"/>
          <w:szCs w:val="24"/>
          <w:lang w:bidi="he-IL"/>
        </w:rPr>
        <w:t xml:space="preserve"> of </w:t>
      </w:r>
      <w:r w:rsidR="00FE542C">
        <w:rPr>
          <w:rFonts w:hint="cs"/>
          <w:sz w:val="24"/>
          <w:szCs w:val="24"/>
          <w:rtl/>
          <w:lang w:bidi="he-IL"/>
        </w:rPr>
        <w:t>להד"ם</w:t>
      </w:r>
      <w:r w:rsidR="00FE542C">
        <w:rPr>
          <w:sz w:val="24"/>
          <w:szCs w:val="24"/>
          <w:lang w:bidi="he-IL"/>
        </w:rPr>
        <w:t xml:space="preserve"> is sufficiently strong that the </w:t>
      </w:r>
      <w:r w:rsidR="00FE542C">
        <w:rPr>
          <w:rFonts w:hint="cs"/>
          <w:sz w:val="24"/>
          <w:szCs w:val="24"/>
          <w:rtl/>
          <w:lang w:bidi="he-IL"/>
        </w:rPr>
        <w:t>מוחזק</w:t>
      </w:r>
      <w:r w:rsidR="00FE542C">
        <w:rPr>
          <w:sz w:val="24"/>
          <w:szCs w:val="24"/>
          <w:lang w:bidi="he-IL"/>
        </w:rPr>
        <w:t xml:space="preserve"> retain the field.</w:t>
      </w:r>
    </w:p>
    <w:p w:rsidR="00336D0E" w:rsidRPr="00BE4975" w:rsidRDefault="00336D0E" w:rsidP="00281D9B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A9607D" w:rsidRDefault="00A9607D" w:rsidP="00A76ED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BE4975">
        <w:rPr>
          <w:rFonts w:hint="cs"/>
          <w:sz w:val="24"/>
          <w:szCs w:val="24"/>
          <w:rtl/>
          <w:lang w:bidi="he-IL"/>
        </w:rPr>
        <w:t>תוספות</w:t>
      </w:r>
      <w:r w:rsidRPr="00BE4975">
        <w:rPr>
          <w:sz w:val="24"/>
          <w:szCs w:val="24"/>
          <w:lang w:bidi="he-IL"/>
        </w:rPr>
        <w:t xml:space="preserve"> therefore maintains that the </w:t>
      </w:r>
      <w:r w:rsidR="00001886">
        <w:rPr>
          <w:sz w:val="24"/>
          <w:szCs w:val="24"/>
          <w:lang w:bidi="he-IL"/>
        </w:rPr>
        <w:t>ruling</w:t>
      </w:r>
      <w:r w:rsidRPr="00BE4975">
        <w:rPr>
          <w:sz w:val="24"/>
          <w:szCs w:val="24"/>
          <w:lang w:bidi="he-IL"/>
        </w:rPr>
        <w:t xml:space="preserve"> of </w:t>
      </w:r>
      <w:r w:rsidRPr="00BE4975">
        <w:rPr>
          <w:rFonts w:hint="cs"/>
          <w:sz w:val="24"/>
          <w:szCs w:val="24"/>
          <w:rtl/>
          <w:lang w:bidi="he-IL"/>
        </w:rPr>
        <w:t>ר"י</w:t>
      </w:r>
      <w:r w:rsidRPr="00BE4975">
        <w:rPr>
          <w:sz w:val="24"/>
          <w:szCs w:val="24"/>
          <w:lang w:bidi="he-IL"/>
        </w:rPr>
        <w:t xml:space="preserve"> is</w:t>
      </w:r>
      <w:r w:rsidR="00001886">
        <w:rPr>
          <w:sz w:val="24"/>
          <w:szCs w:val="24"/>
          <w:lang w:bidi="he-IL"/>
        </w:rPr>
        <w:t xml:space="preserve"> valid</w:t>
      </w:r>
      <w:r w:rsidRPr="00BE4975">
        <w:rPr>
          <w:sz w:val="24"/>
          <w:szCs w:val="24"/>
          <w:lang w:bidi="he-IL"/>
        </w:rPr>
        <w:t xml:space="preserve"> even if </w:t>
      </w:r>
      <w:r w:rsidRPr="00BE4975">
        <w:rPr>
          <w:rFonts w:hint="cs"/>
          <w:sz w:val="24"/>
          <w:szCs w:val="24"/>
          <w:rtl/>
          <w:lang w:bidi="he-IL"/>
        </w:rPr>
        <w:t>הלה תובעו</w:t>
      </w:r>
      <w:r w:rsidRPr="00BE4975">
        <w:rPr>
          <w:sz w:val="24"/>
          <w:szCs w:val="24"/>
          <w:lang w:bidi="he-IL"/>
        </w:rPr>
        <w:t xml:space="preserve">. The </w:t>
      </w:r>
      <w:r w:rsidRPr="00BE4975">
        <w:rPr>
          <w:rFonts w:hint="cs"/>
          <w:sz w:val="24"/>
          <w:szCs w:val="24"/>
          <w:rtl/>
          <w:lang w:bidi="he-IL"/>
        </w:rPr>
        <w:t>מוחזק</w:t>
      </w:r>
      <w:r w:rsidRPr="00BE4975">
        <w:rPr>
          <w:sz w:val="24"/>
          <w:szCs w:val="24"/>
          <w:lang w:bidi="he-IL"/>
        </w:rPr>
        <w:t xml:space="preserve"> is believed since he has a </w:t>
      </w:r>
      <w:r w:rsidRPr="00BE4975">
        <w:rPr>
          <w:rFonts w:hint="cs"/>
          <w:sz w:val="24"/>
          <w:szCs w:val="24"/>
          <w:rtl/>
          <w:lang w:bidi="he-IL"/>
        </w:rPr>
        <w:t>מיגו</w:t>
      </w:r>
      <w:r w:rsidRPr="00BE4975">
        <w:rPr>
          <w:sz w:val="24"/>
          <w:szCs w:val="24"/>
          <w:lang w:bidi="he-IL"/>
        </w:rPr>
        <w:t xml:space="preserve"> of </w:t>
      </w:r>
      <w:r w:rsidRPr="00BE4975">
        <w:rPr>
          <w:rFonts w:hint="cs"/>
          <w:sz w:val="24"/>
          <w:szCs w:val="24"/>
          <w:rtl/>
          <w:lang w:bidi="he-IL"/>
        </w:rPr>
        <w:t>לא היתה של אביך מעולם</w:t>
      </w:r>
      <w:r w:rsidRPr="00BE4975">
        <w:rPr>
          <w:sz w:val="24"/>
          <w:szCs w:val="24"/>
          <w:lang w:bidi="he-IL"/>
        </w:rPr>
        <w:t>.</w:t>
      </w:r>
      <w:r w:rsidRPr="00BE4975">
        <w:rPr>
          <w:rStyle w:val="FootnoteReference"/>
          <w:sz w:val="24"/>
          <w:szCs w:val="24"/>
          <w:lang w:bidi="he-IL"/>
        </w:rPr>
        <w:footnoteReference w:id="7"/>
      </w:r>
    </w:p>
    <w:p w:rsidR="00001886" w:rsidRDefault="00001886" w:rsidP="00A76ED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001886" w:rsidRPr="00CD2248" w:rsidRDefault="00001886" w:rsidP="00A76EDC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CD2248">
        <w:rPr>
          <w:rFonts w:ascii="Copperplate Gothic Bold" w:hAnsi="Copperplate Gothic Bold"/>
          <w:u w:val="double"/>
          <w:lang w:bidi="he-IL"/>
        </w:rPr>
        <w:t>Summary</w:t>
      </w:r>
    </w:p>
    <w:p w:rsidR="00001886" w:rsidRDefault="00001886" w:rsidP="00CD2248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There is a dispute between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in a case where a </w:t>
      </w:r>
      <w:r>
        <w:rPr>
          <w:rFonts w:hint="cs"/>
          <w:rtl/>
          <w:lang w:bidi="he-IL"/>
        </w:rPr>
        <w:t>מערער</w:t>
      </w:r>
      <w:r>
        <w:rPr>
          <w:lang w:bidi="he-IL"/>
        </w:rPr>
        <w:t xml:space="preserve"> claims that the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 is occupying his (deceased) father’s field; and the </w:t>
      </w:r>
      <w:r>
        <w:rPr>
          <w:rFonts w:hint="cs"/>
          <w:rtl/>
          <w:lang w:bidi="he-IL"/>
        </w:rPr>
        <w:t>מחזיק</w:t>
      </w:r>
      <w:r>
        <w:rPr>
          <w:lang w:bidi="he-IL"/>
        </w:rPr>
        <w:t xml:space="preserve"> </w:t>
      </w:r>
      <w:r>
        <w:rPr>
          <w:lang w:bidi="he-IL"/>
        </w:rPr>
        <w:lastRenderedPageBreak/>
        <w:t>responds that he bought it from the father</w:t>
      </w:r>
      <w:r w:rsidR="00CD2248">
        <w:rPr>
          <w:lang w:bidi="he-IL"/>
        </w:rPr>
        <w:t>.</w:t>
      </w:r>
      <w:r>
        <w:rPr>
          <w:rStyle w:val="FootnoteReference"/>
          <w:lang w:bidi="he-IL"/>
        </w:rPr>
        <w:footnoteReference w:id="8"/>
      </w:r>
      <w:r>
        <w:rPr>
          <w:lang w:bidi="he-IL"/>
        </w:rPr>
        <w:t xml:space="preserve"> According to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מערער</w:t>
      </w:r>
      <w:r>
        <w:rPr>
          <w:lang w:bidi="he-IL"/>
        </w:rPr>
        <w:t xml:space="preserve"> receives the field; according to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 retains the field.</w:t>
      </w:r>
    </w:p>
    <w:p w:rsidR="00001886" w:rsidRPr="00281D9B" w:rsidRDefault="00001886" w:rsidP="00A76ED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001886" w:rsidRPr="00BE4CB9" w:rsidRDefault="00001886" w:rsidP="00A76EDC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BE4CB9">
        <w:rPr>
          <w:rFonts w:ascii="Copperplate Gothic Bold" w:hAnsi="Copperplate Gothic Bold"/>
          <w:u w:val="double"/>
          <w:lang w:bidi="he-IL"/>
        </w:rPr>
        <w:t>Thinking it over</w:t>
      </w:r>
    </w:p>
    <w:p w:rsidR="00001886" w:rsidRDefault="00FE542C" w:rsidP="00A76EDC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001886">
        <w:rPr>
          <w:lang w:bidi="he-IL"/>
        </w:rPr>
        <w:t xml:space="preserve">What would be the respective views of </w:t>
      </w:r>
      <w:r w:rsidR="00001886">
        <w:rPr>
          <w:rFonts w:hint="cs"/>
          <w:rtl/>
          <w:lang w:bidi="he-IL"/>
        </w:rPr>
        <w:t>רש"י ותוספות</w:t>
      </w:r>
      <w:r w:rsidR="00001886">
        <w:rPr>
          <w:lang w:bidi="he-IL"/>
        </w:rPr>
        <w:t xml:space="preserve"> in a similar case where there is no mention of a father; rather the </w:t>
      </w:r>
      <w:r w:rsidR="00001886">
        <w:rPr>
          <w:rFonts w:hint="cs"/>
          <w:rtl/>
          <w:lang w:bidi="he-IL"/>
        </w:rPr>
        <w:t>מחזיק</w:t>
      </w:r>
      <w:r w:rsidR="00001886">
        <w:rPr>
          <w:lang w:bidi="he-IL"/>
        </w:rPr>
        <w:t xml:space="preserve"> claims he bought it from the </w:t>
      </w:r>
      <w:r w:rsidR="00001886">
        <w:rPr>
          <w:rFonts w:hint="cs"/>
          <w:rtl/>
          <w:lang w:bidi="he-IL"/>
        </w:rPr>
        <w:t>מערער</w:t>
      </w:r>
      <w:r w:rsidR="00001886">
        <w:rPr>
          <w:lang w:bidi="he-IL"/>
        </w:rPr>
        <w:t xml:space="preserve">?  </w:t>
      </w:r>
    </w:p>
    <w:p w:rsidR="00FE542C" w:rsidRDefault="00FE542C" w:rsidP="00A76EDC">
      <w:pPr>
        <w:widowControl w:val="0"/>
        <w:spacing w:line="276" w:lineRule="auto"/>
        <w:jc w:val="both"/>
        <w:rPr>
          <w:lang w:bidi="he-IL"/>
        </w:rPr>
      </w:pPr>
    </w:p>
    <w:p w:rsidR="00FE542C" w:rsidRPr="00001886" w:rsidRDefault="006E3790" w:rsidP="00A76EDC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>2.</w:t>
      </w:r>
      <w:r w:rsidR="00FE542C">
        <w:rPr>
          <w:lang w:bidi="he-IL"/>
        </w:rPr>
        <w:t xml:space="preserve"> Wh</w:t>
      </w:r>
      <w:r>
        <w:rPr>
          <w:lang w:bidi="he-IL"/>
        </w:rPr>
        <w:t>ere</w:t>
      </w:r>
      <w:r w:rsidR="00FE542C">
        <w:rPr>
          <w:lang w:bidi="he-IL"/>
        </w:rPr>
        <w:t xml:space="preserve"> is</w:t>
      </w:r>
      <w:r>
        <w:rPr>
          <w:lang w:bidi="he-IL"/>
        </w:rPr>
        <w:t xml:space="preserve"> there</w:t>
      </w:r>
      <w:r w:rsidR="00FE542C">
        <w:rPr>
          <w:lang w:bidi="he-IL"/>
        </w:rPr>
        <w:t xml:space="preserve"> a greater </w:t>
      </w:r>
      <w:r w:rsidR="00FE542C">
        <w:rPr>
          <w:rFonts w:hint="cs"/>
          <w:rtl/>
          <w:lang w:bidi="he-IL"/>
        </w:rPr>
        <w:t>חידוש</w:t>
      </w:r>
      <w:r w:rsidR="00FE542C">
        <w:rPr>
          <w:lang w:bidi="he-IL"/>
        </w:rPr>
        <w:t xml:space="preserve"> that the </w:t>
      </w:r>
      <w:r w:rsidR="00FE542C">
        <w:rPr>
          <w:rFonts w:hint="cs"/>
          <w:rtl/>
          <w:lang w:bidi="he-IL"/>
        </w:rPr>
        <w:t>מוחזק</w:t>
      </w:r>
      <w:r w:rsidR="00FE542C">
        <w:rPr>
          <w:lang w:bidi="he-IL"/>
        </w:rPr>
        <w:t xml:space="preserve"> is </w:t>
      </w:r>
      <w:r w:rsidR="00FE542C">
        <w:rPr>
          <w:rFonts w:hint="cs"/>
          <w:rtl/>
          <w:lang w:bidi="he-IL"/>
        </w:rPr>
        <w:t>נאמן</w:t>
      </w:r>
      <w:r w:rsidR="00FE542C">
        <w:rPr>
          <w:lang w:bidi="he-IL"/>
        </w:rPr>
        <w:t xml:space="preserve">; in a case of </w:t>
      </w:r>
      <w:r w:rsidR="00FE542C">
        <w:rPr>
          <w:rFonts w:hint="cs"/>
          <w:rtl/>
          <w:lang w:bidi="he-IL"/>
        </w:rPr>
        <w:t>הלה תובעו</w:t>
      </w:r>
      <w:r w:rsidR="00FE542C">
        <w:rPr>
          <w:lang w:bidi="he-IL"/>
        </w:rPr>
        <w:t xml:space="preserve"> without </w:t>
      </w:r>
      <w:r w:rsidR="00FE542C">
        <w:rPr>
          <w:rFonts w:hint="cs"/>
          <w:rtl/>
          <w:lang w:bidi="he-IL"/>
        </w:rPr>
        <w:t>עדים</w:t>
      </w:r>
      <w:r w:rsidR="0080399F">
        <w:rPr>
          <w:lang w:bidi="he-IL"/>
        </w:rPr>
        <w:t>,</w:t>
      </w:r>
      <w:r w:rsidR="00FE542C">
        <w:rPr>
          <w:lang w:bidi="he-IL"/>
        </w:rPr>
        <w:t xml:space="preserve"> or </w:t>
      </w:r>
      <w:r w:rsidR="00FE542C">
        <w:rPr>
          <w:rFonts w:hint="cs"/>
          <w:rtl/>
          <w:lang w:bidi="he-IL"/>
        </w:rPr>
        <w:t>אין הלה תובעו</w:t>
      </w:r>
      <w:r w:rsidR="00FE542C">
        <w:rPr>
          <w:lang w:bidi="he-IL"/>
        </w:rPr>
        <w:t xml:space="preserve"> with </w:t>
      </w:r>
      <w:r w:rsidR="00FE542C">
        <w:rPr>
          <w:rFonts w:hint="cs"/>
          <w:rtl/>
          <w:lang w:bidi="he-IL"/>
        </w:rPr>
        <w:t>עדים</w:t>
      </w:r>
      <w:r w:rsidR="00FE542C">
        <w:rPr>
          <w:lang w:bidi="he-IL"/>
        </w:rPr>
        <w:t>?</w:t>
      </w:r>
      <w:r w:rsidR="003163D4">
        <w:rPr>
          <w:rStyle w:val="FootnoteReference"/>
          <w:lang w:bidi="he-IL"/>
        </w:rPr>
        <w:footnoteReference w:id="9"/>
      </w:r>
    </w:p>
    <w:sectPr w:rsidR="00FE542C" w:rsidRPr="00001886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BD1" w:rsidRDefault="00A14BD1">
      <w:r>
        <w:separator/>
      </w:r>
    </w:p>
  </w:endnote>
  <w:endnote w:type="continuationSeparator" w:id="0">
    <w:p w:rsidR="00A14BD1" w:rsidRDefault="00A14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3D4" w:rsidRDefault="003163D4" w:rsidP="00800E2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163D4" w:rsidRDefault="003163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EDC" w:rsidRDefault="00A76EDC">
    <w:pPr>
      <w:pStyle w:val="Footer"/>
      <w:jc w:val="center"/>
      <w:rPr>
        <w:noProof/>
        <w:sz w:val="16"/>
        <w:szCs w:val="16"/>
      </w:rPr>
    </w:pPr>
    <w:r w:rsidRPr="00A76EDC">
      <w:rPr>
        <w:sz w:val="20"/>
        <w:szCs w:val="20"/>
      </w:rPr>
      <w:fldChar w:fldCharType="begin"/>
    </w:r>
    <w:r w:rsidRPr="00A76EDC">
      <w:rPr>
        <w:sz w:val="20"/>
        <w:szCs w:val="20"/>
      </w:rPr>
      <w:instrText xml:space="preserve"> PAGE   \* MERGEFORMAT </w:instrText>
    </w:r>
    <w:r w:rsidRPr="00A76EDC">
      <w:rPr>
        <w:sz w:val="20"/>
        <w:szCs w:val="20"/>
      </w:rPr>
      <w:fldChar w:fldCharType="separate"/>
    </w:r>
    <w:r w:rsidR="001359FA">
      <w:rPr>
        <w:noProof/>
        <w:sz w:val="20"/>
        <w:szCs w:val="20"/>
      </w:rPr>
      <w:t>3</w:t>
    </w:r>
    <w:r w:rsidRPr="00A76EDC">
      <w:rPr>
        <w:noProof/>
        <w:sz w:val="20"/>
        <w:szCs w:val="20"/>
      </w:rPr>
      <w:fldChar w:fldCharType="end"/>
    </w:r>
  </w:p>
  <w:p w:rsidR="00A76EDC" w:rsidRPr="00A76EDC" w:rsidRDefault="00A76EDC">
    <w:pPr>
      <w:pStyle w:val="Footer"/>
      <w:jc w:val="center"/>
      <w:rPr>
        <w:sz w:val="14"/>
        <w:szCs w:val="14"/>
      </w:rPr>
    </w:pPr>
    <w:r>
      <w:rPr>
        <w:noProof/>
        <w:sz w:val="16"/>
        <w:szCs w:val="16"/>
      </w:rPr>
      <w:t>TosfosI</w:t>
    </w:r>
    <w:r>
      <w:rPr>
        <w:noProof/>
        <w:sz w:val="14"/>
        <w:szCs w:val="14"/>
      </w:rPr>
      <w:t>nEnglish.com</w:t>
    </w:r>
  </w:p>
  <w:p w:rsidR="003163D4" w:rsidRPr="00262199" w:rsidRDefault="003163D4" w:rsidP="00262199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BD1" w:rsidRDefault="00A14BD1">
      <w:r>
        <w:separator/>
      </w:r>
    </w:p>
  </w:footnote>
  <w:footnote w:type="continuationSeparator" w:id="0">
    <w:p w:rsidR="00A14BD1" w:rsidRDefault="00A14BD1">
      <w:r>
        <w:continuationSeparator/>
      </w:r>
    </w:p>
  </w:footnote>
  <w:footnote w:id="1">
    <w:p w:rsidR="003163D4" w:rsidRPr="00BE4975" w:rsidRDefault="003163D4" w:rsidP="001C5BD3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is discussing a case where there is no proof that it ever belonged to the father, and the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 has neither a </w:t>
      </w:r>
      <w:r>
        <w:rPr>
          <w:rtl/>
          <w:lang w:bidi="he-IL"/>
        </w:rPr>
        <w:t>שטר</w:t>
      </w:r>
      <w:r>
        <w:rPr>
          <w:lang w:bidi="he-IL"/>
        </w:rPr>
        <w:t xml:space="preserve"> nor a </w:t>
      </w:r>
      <w:r>
        <w:rPr>
          <w:rFonts w:hint="cs"/>
          <w:rtl/>
          <w:lang w:bidi="he-IL"/>
        </w:rPr>
        <w:t>חזקת ג' שנים</w:t>
      </w:r>
      <w:r>
        <w:rPr>
          <w:lang w:bidi="he-IL"/>
        </w:rPr>
        <w:t>.</w:t>
      </w:r>
    </w:p>
  </w:footnote>
  <w:footnote w:id="2">
    <w:p w:rsidR="001C5BD3" w:rsidRDefault="001C5BD3">
      <w:pPr>
        <w:pStyle w:val="FootnoteText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רש"י טז,א ד"ה שהפה</w:t>
      </w:r>
      <w:r>
        <w:rPr>
          <w:lang w:bidi="he-IL"/>
        </w:rPr>
        <w:t xml:space="preserve">, where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clearly states </w:t>
      </w:r>
      <w:r>
        <w:rPr>
          <w:rFonts w:hint="cs"/>
          <w:rtl/>
          <w:lang w:bidi="he-IL"/>
        </w:rPr>
        <w:t>זה אינו יודע שהיתה של אביו אלא על פיו של זה</w:t>
      </w:r>
      <w:r>
        <w:rPr>
          <w:lang w:bidi="he-IL"/>
        </w:rPr>
        <w:t xml:space="preserve">. See also, </w:t>
      </w:r>
      <w:r>
        <w:rPr>
          <w:rFonts w:hint="cs"/>
          <w:rtl/>
          <w:lang w:bidi="he-IL"/>
        </w:rPr>
        <w:t>רש"י ד"ה הכא</w:t>
      </w:r>
      <w:r>
        <w:rPr>
          <w:lang w:bidi="he-IL"/>
        </w:rPr>
        <w:t xml:space="preserve"> where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states </w:t>
      </w:r>
      <w:r>
        <w:rPr>
          <w:rFonts w:hint="cs"/>
          <w:rtl/>
          <w:lang w:bidi="he-IL"/>
        </w:rPr>
        <w:t>אם שתק זה לא היה לו עוררים</w:t>
      </w:r>
      <w:r>
        <w:rPr>
          <w:lang w:bidi="he-IL"/>
        </w:rPr>
        <w:t>.</w:t>
      </w:r>
    </w:p>
  </w:footnote>
  <w:footnote w:id="3">
    <w:p w:rsidR="00BE4CB9" w:rsidRPr="00BE4CB9" w:rsidRDefault="00BE4CB9" w:rsidP="001C5BD3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If the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 would have responded that it never belonged to your father; the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 would retain the field. However now that he admits </w:t>
      </w:r>
      <w:r>
        <w:rPr>
          <w:rFonts w:hint="cs"/>
          <w:rtl/>
          <w:lang w:bidi="he-IL"/>
        </w:rPr>
        <w:t>של אביך היתה</w:t>
      </w:r>
      <w:r>
        <w:rPr>
          <w:lang w:bidi="he-IL"/>
        </w:rPr>
        <w:t xml:space="preserve">, he is not believed that </w:t>
      </w:r>
      <w:r>
        <w:rPr>
          <w:rFonts w:hint="cs"/>
          <w:rtl/>
          <w:lang w:bidi="he-IL"/>
        </w:rPr>
        <w:t>לקחתיה הימנו</w:t>
      </w:r>
      <w:r>
        <w:rPr>
          <w:lang w:bidi="he-IL"/>
        </w:rPr>
        <w:t xml:space="preserve"> with the </w:t>
      </w:r>
      <w:r>
        <w:rPr>
          <w:rFonts w:hint="cs"/>
          <w:rtl/>
          <w:lang w:bidi="he-IL"/>
        </w:rPr>
        <w:t>מיגו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לא היתה של אביך מעולם</w:t>
      </w:r>
      <w:r>
        <w:rPr>
          <w:lang w:bidi="he-IL"/>
        </w:rPr>
        <w:t xml:space="preserve">. </w:t>
      </w:r>
      <w:r>
        <w:t xml:space="preserve">It would seem that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maintains that only a </w:t>
      </w:r>
      <w:r>
        <w:rPr>
          <w:rFonts w:hint="cs"/>
          <w:rtl/>
          <w:lang w:bidi="he-IL"/>
        </w:rPr>
        <w:t>מיגו דאי בעי שתיק</w:t>
      </w:r>
      <w:r>
        <w:rPr>
          <w:lang w:bidi="he-IL"/>
        </w:rPr>
        <w:t xml:space="preserve"> is sufficiently strong to allow the current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 to retain the field. However, the </w:t>
      </w:r>
      <w:r>
        <w:rPr>
          <w:rFonts w:hint="cs"/>
          <w:rtl/>
          <w:lang w:bidi="he-IL"/>
        </w:rPr>
        <w:t>מיגו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להד"ם</w:t>
      </w:r>
      <w:r>
        <w:rPr>
          <w:lang w:bidi="he-IL"/>
        </w:rPr>
        <w:t xml:space="preserve">, is not sufficient. Once the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 admits that the father was the </w:t>
      </w:r>
      <w:r>
        <w:rPr>
          <w:rFonts w:hint="cs"/>
          <w:rtl/>
          <w:lang w:bidi="he-IL"/>
        </w:rPr>
        <w:t>מרא קמא</w:t>
      </w:r>
      <w:r>
        <w:rPr>
          <w:lang w:bidi="he-IL"/>
        </w:rPr>
        <w:t xml:space="preserve">, a regular </w:t>
      </w:r>
      <w:r>
        <w:rPr>
          <w:rFonts w:hint="cs"/>
          <w:rtl/>
          <w:lang w:bidi="he-IL"/>
        </w:rPr>
        <w:t>מיגו</w:t>
      </w:r>
      <w:r>
        <w:rPr>
          <w:lang w:bidi="he-IL"/>
        </w:rPr>
        <w:t xml:space="preserve"> cannot be </w:t>
      </w:r>
      <w:r>
        <w:rPr>
          <w:rFonts w:hint="cs"/>
          <w:rtl/>
          <w:lang w:bidi="he-IL"/>
        </w:rPr>
        <w:t>מוציא</w:t>
      </w:r>
      <w:r>
        <w:rPr>
          <w:lang w:bidi="he-IL"/>
        </w:rPr>
        <w:t xml:space="preserve"> from a </w:t>
      </w:r>
      <w:r>
        <w:rPr>
          <w:rFonts w:hint="cs"/>
          <w:rtl/>
          <w:lang w:bidi="he-IL"/>
        </w:rPr>
        <w:t>מרא קמא</w:t>
      </w:r>
      <w:r>
        <w:rPr>
          <w:lang w:bidi="he-IL"/>
        </w:rPr>
        <w:t xml:space="preserve">; only a </w:t>
      </w:r>
      <w:r>
        <w:rPr>
          <w:rFonts w:hint="cs"/>
          <w:rtl/>
          <w:lang w:bidi="he-IL"/>
        </w:rPr>
        <w:t>מיגו דאי בעי שתיק</w:t>
      </w:r>
      <w:r>
        <w:rPr>
          <w:lang w:bidi="he-IL"/>
        </w:rPr>
        <w:t xml:space="preserve">, which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refers to as </w:t>
      </w:r>
      <w:r>
        <w:rPr>
          <w:rFonts w:hint="cs"/>
          <w:rtl/>
          <w:lang w:bidi="he-IL"/>
        </w:rPr>
        <w:t>הפה שאסר הוא הפה שהתיר</w:t>
      </w:r>
      <w:r>
        <w:rPr>
          <w:lang w:bidi="he-IL"/>
        </w:rPr>
        <w:t xml:space="preserve">, can be </w:t>
      </w:r>
      <w:r>
        <w:rPr>
          <w:rFonts w:hint="cs"/>
          <w:rtl/>
          <w:lang w:bidi="he-IL"/>
        </w:rPr>
        <w:t>מוציא</w:t>
      </w:r>
      <w:r>
        <w:rPr>
          <w:lang w:bidi="he-IL"/>
        </w:rPr>
        <w:t xml:space="preserve"> from the </w:t>
      </w:r>
      <w:r>
        <w:rPr>
          <w:rFonts w:hint="cs"/>
          <w:rtl/>
          <w:lang w:bidi="he-IL"/>
        </w:rPr>
        <w:t>מ"ק</w:t>
      </w:r>
      <w:r>
        <w:rPr>
          <w:lang w:bidi="he-IL"/>
        </w:rPr>
        <w:t>.</w:t>
      </w:r>
    </w:p>
  </w:footnote>
  <w:footnote w:id="4">
    <w:p w:rsidR="003163D4" w:rsidRDefault="003163D4" w:rsidP="001C5BD3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assumes that it is a greater </w:t>
      </w:r>
      <w:r>
        <w:rPr>
          <w:rFonts w:hint="cs"/>
          <w:rtl/>
          <w:lang w:bidi="he-IL"/>
        </w:rPr>
        <w:t>חידוש</w:t>
      </w:r>
      <w:r>
        <w:rPr>
          <w:lang w:bidi="he-IL"/>
        </w:rPr>
        <w:t xml:space="preserve"> that the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 is not believed </w:t>
      </w:r>
      <w:r>
        <w:rPr>
          <w:rFonts w:hint="cs"/>
          <w:rtl/>
          <w:lang w:bidi="he-IL"/>
        </w:rPr>
        <w:t>בהלה תובעו</w:t>
      </w:r>
      <w:r>
        <w:rPr>
          <w:lang w:bidi="he-IL"/>
        </w:rPr>
        <w:t xml:space="preserve"> without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, than that the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 is not believed if there are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that the father owned the field. Therefore if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is correct, that </w:t>
      </w:r>
      <w:r>
        <w:rPr>
          <w:rFonts w:hint="cs"/>
          <w:rtl/>
          <w:lang w:bidi="he-IL"/>
        </w:rPr>
        <w:t>בהלה תובעו אינו נאמן</w:t>
      </w:r>
      <w:r>
        <w:rPr>
          <w:lang w:bidi="he-IL"/>
        </w:rPr>
        <w:t xml:space="preserve">, then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should have taught us the greater </w:t>
      </w:r>
      <w:r>
        <w:rPr>
          <w:rFonts w:hint="cs"/>
          <w:rtl/>
          <w:lang w:bidi="he-IL"/>
        </w:rPr>
        <w:t>חידוש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הלה תובעו</w:t>
      </w:r>
      <w:r>
        <w:rPr>
          <w:lang w:bidi="he-IL"/>
        </w:rPr>
        <w:t>. See ‘Thinking it over’ # 2.</w:t>
      </w:r>
    </w:p>
  </w:footnote>
  <w:footnote w:id="5">
    <w:p w:rsidR="00CD2248" w:rsidRPr="00CD2248" w:rsidRDefault="00CD2248" w:rsidP="001C5BD3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יז,ב</w:t>
      </w:r>
      <w:r>
        <w:rPr>
          <w:lang w:bidi="he-IL"/>
        </w:rPr>
        <w:t>.</w:t>
      </w:r>
    </w:p>
  </w:footnote>
  <w:footnote w:id="6">
    <w:p w:rsidR="003163D4" w:rsidRDefault="003163D4" w:rsidP="001C5BD3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could not have proven this from the case in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שדה זו של אביך היתה</w:t>
      </w:r>
      <w:r>
        <w:rPr>
          <w:lang w:bidi="he-IL"/>
        </w:rPr>
        <w:t xml:space="preserve">; for there the phrase </w:t>
      </w:r>
      <w:r>
        <w:rPr>
          <w:rFonts w:hint="cs"/>
          <w:rtl/>
          <w:lang w:bidi="he-IL"/>
        </w:rPr>
        <w:t>שדה זו של אביך היתה</w:t>
      </w:r>
      <w:r>
        <w:rPr>
          <w:lang w:bidi="he-IL"/>
        </w:rPr>
        <w:t xml:space="preserve"> is appropriate even if </w:t>
      </w:r>
      <w:r>
        <w:rPr>
          <w:rFonts w:hint="cs"/>
          <w:rtl/>
          <w:lang w:bidi="he-IL"/>
        </w:rPr>
        <w:t>אין הלה תובעו</w:t>
      </w:r>
      <w:r>
        <w:rPr>
          <w:lang w:bidi="he-IL"/>
        </w:rPr>
        <w:t>. He is informing the son, who may not be aware, that this field once belonged to your father. However in the s</w:t>
      </w:r>
      <w:r>
        <w:rPr>
          <w:rFonts w:hint="cs"/>
          <w:rtl/>
          <w:lang w:bidi="he-IL"/>
        </w:rPr>
        <w:t>גמרא'</w:t>
      </w:r>
      <w:r>
        <w:rPr>
          <w:lang w:bidi="he-IL"/>
        </w:rPr>
        <w:t xml:space="preserve"> question where he is stating </w:t>
      </w:r>
      <w:r>
        <w:rPr>
          <w:rFonts w:hint="cs"/>
          <w:rtl/>
          <w:lang w:bidi="he-IL"/>
        </w:rPr>
        <w:t>שלך היתה</w:t>
      </w:r>
      <w:r>
        <w:rPr>
          <w:lang w:bidi="he-IL"/>
        </w:rPr>
        <w:t xml:space="preserve">, that statement is only appropriate if it is </w:t>
      </w:r>
      <w:r>
        <w:rPr>
          <w:rFonts w:hint="cs"/>
          <w:rtl/>
          <w:lang w:bidi="he-IL"/>
        </w:rPr>
        <w:t>הלה תובעו</w:t>
      </w:r>
      <w:r>
        <w:rPr>
          <w:lang w:bidi="he-IL"/>
        </w:rPr>
        <w:t>.</w:t>
      </w:r>
    </w:p>
  </w:footnote>
  <w:footnote w:id="7">
    <w:p w:rsidR="003163D4" w:rsidRDefault="003163D4" w:rsidP="001C5BD3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previous footnote # 3.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assume that since the son has no proof that it ever belonged to his father. His only claim is based on the admission of the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, that </w:t>
      </w:r>
      <w:r>
        <w:rPr>
          <w:rFonts w:hint="cs"/>
          <w:rtl/>
          <w:lang w:bidi="he-IL"/>
        </w:rPr>
        <w:t>של אביך היתה</w:t>
      </w:r>
      <w:r>
        <w:rPr>
          <w:lang w:bidi="he-IL"/>
        </w:rPr>
        <w:t xml:space="preserve">; therefore the </w:t>
      </w:r>
      <w:r>
        <w:rPr>
          <w:rFonts w:hint="cs"/>
          <w:rtl/>
          <w:lang w:bidi="he-IL"/>
        </w:rPr>
        <w:t>מיגו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להד"ם</w:t>
      </w:r>
      <w:r>
        <w:rPr>
          <w:lang w:bidi="he-IL"/>
        </w:rPr>
        <w:t xml:space="preserve"> is sufficiently effective for the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 to retain the field. According to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this type of </w:t>
      </w:r>
      <w:r>
        <w:rPr>
          <w:rFonts w:hint="cs"/>
          <w:rtl/>
          <w:lang w:bidi="he-IL"/>
        </w:rPr>
        <w:t>מיגו</w:t>
      </w:r>
      <w:r>
        <w:rPr>
          <w:lang w:bidi="he-IL"/>
        </w:rPr>
        <w:t xml:space="preserve"> is also considered </w:t>
      </w:r>
      <w:r>
        <w:rPr>
          <w:rFonts w:hint="cs"/>
          <w:rtl/>
          <w:lang w:bidi="he-IL"/>
        </w:rPr>
        <w:t>הפה שאסר הוא הפה שהתיר</w:t>
      </w:r>
      <w:r>
        <w:rPr>
          <w:lang w:bidi="he-IL"/>
        </w:rPr>
        <w:t xml:space="preserve">.  </w:t>
      </w:r>
    </w:p>
  </w:footnote>
  <w:footnote w:id="8">
    <w:p w:rsidR="003163D4" w:rsidRDefault="003163D4" w:rsidP="001C5BD3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There are no other witnesses, documents or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>.</w:t>
      </w:r>
    </w:p>
  </w:footnote>
  <w:footnote w:id="9">
    <w:p w:rsidR="003163D4" w:rsidRDefault="003163D4" w:rsidP="001C5BD3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3D4" w:rsidRPr="00262199" w:rsidRDefault="003163D4" w:rsidP="00262199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טו,ב תוס' ד"ה ומודה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2199"/>
    <w:rsid w:val="00001886"/>
    <w:rsid w:val="001359FA"/>
    <w:rsid w:val="00137219"/>
    <w:rsid w:val="00184D2E"/>
    <w:rsid w:val="001C5BD3"/>
    <w:rsid w:val="001C7EE9"/>
    <w:rsid w:val="0020216B"/>
    <w:rsid w:val="00210A1E"/>
    <w:rsid w:val="00262199"/>
    <w:rsid w:val="0026798A"/>
    <w:rsid w:val="0027102B"/>
    <w:rsid w:val="00281D9B"/>
    <w:rsid w:val="002B6019"/>
    <w:rsid w:val="003163D4"/>
    <w:rsid w:val="00336D0E"/>
    <w:rsid w:val="003F6705"/>
    <w:rsid w:val="0041270A"/>
    <w:rsid w:val="0047061A"/>
    <w:rsid w:val="00501654"/>
    <w:rsid w:val="005611D3"/>
    <w:rsid w:val="005A01CE"/>
    <w:rsid w:val="005B34C7"/>
    <w:rsid w:val="005E005B"/>
    <w:rsid w:val="006E3790"/>
    <w:rsid w:val="007552E7"/>
    <w:rsid w:val="0080023E"/>
    <w:rsid w:val="00800E20"/>
    <w:rsid w:val="0080399F"/>
    <w:rsid w:val="0089054C"/>
    <w:rsid w:val="008A35DC"/>
    <w:rsid w:val="00A14BD1"/>
    <w:rsid w:val="00A76EDC"/>
    <w:rsid w:val="00A9607D"/>
    <w:rsid w:val="00BE4975"/>
    <w:rsid w:val="00BE4CB9"/>
    <w:rsid w:val="00C162A6"/>
    <w:rsid w:val="00C16F2E"/>
    <w:rsid w:val="00CD2248"/>
    <w:rsid w:val="00D80DE2"/>
    <w:rsid w:val="00DC2CFA"/>
    <w:rsid w:val="00E3458F"/>
    <w:rsid w:val="00E43B7D"/>
    <w:rsid w:val="00F77B09"/>
    <w:rsid w:val="00FB795C"/>
    <w:rsid w:val="00FE542C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DC7936A-4519-44F6-BEC9-879122B9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621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1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16F2E"/>
    <w:rPr>
      <w:sz w:val="20"/>
      <w:szCs w:val="20"/>
    </w:rPr>
  </w:style>
  <w:style w:type="character" w:styleId="FootnoteReference">
    <w:name w:val="footnote reference"/>
    <w:semiHidden/>
    <w:rsid w:val="00C16F2E"/>
    <w:rPr>
      <w:vertAlign w:val="superscript"/>
    </w:rPr>
  </w:style>
  <w:style w:type="character" w:styleId="PageNumber">
    <w:name w:val="page number"/>
    <w:basedOn w:val="DefaultParagraphFont"/>
    <w:rsid w:val="001C7EE9"/>
  </w:style>
  <w:style w:type="paragraph" w:styleId="BalloonText">
    <w:name w:val="Balloon Text"/>
    <w:basedOn w:val="Normal"/>
    <w:semiHidden/>
    <w:rsid w:val="0080399F"/>
    <w:rPr>
      <w:rFonts w:ascii="Tahoma" w:hAnsi="Tahoma"/>
      <w:sz w:val="16"/>
      <w:szCs w:val="16"/>
    </w:rPr>
  </w:style>
  <w:style w:type="character" w:customStyle="1" w:styleId="FooterChar">
    <w:name w:val="Footer Char"/>
    <w:link w:val="Footer"/>
    <w:uiPriority w:val="99"/>
    <w:rsid w:val="00A76EDC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ומודה רבי יהושע באומר שדה כולי דנאמן – And ר"י admits in the case where one says this field, etc</vt:lpstr>
    </vt:vector>
  </TitlesOfParts>
  <Company> </Company>
  <LinksUpToDate>false</LinksUpToDate>
  <CharactersWithSpaces>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ומודה רבי יהושע באומר שדה כולי דנאמן – And ר"י admits in the case where one says this field, etc</dc:title>
  <dc:subject/>
  <dc:creator> </dc:creator>
  <cp:keywords/>
  <dc:description/>
  <cp:lastModifiedBy>Microsoft account</cp:lastModifiedBy>
  <cp:revision>2</cp:revision>
  <cp:lastPrinted>2008-08-01T04:56:00Z</cp:lastPrinted>
  <dcterms:created xsi:type="dcterms:W3CDTF">2022-04-05T10:48:00Z</dcterms:created>
  <dcterms:modified xsi:type="dcterms:W3CDTF">2022-04-05T10:48:00Z</dcterms:modified>
</cp:coreProperties>
</file>