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E2" w:rsidRDefault="00523A2B" w:rsidP="00134AE2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התם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שור שחוט לפניך</w:t>
      </w:r>
      <w:r w:rsidR="00134AE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134AE2">
        <w:rPr>
          <w:b/>
          <w:bCs/>
          <w:sz w:val="32"/>
          <w:szCs w:val="32"/>
          <w:rtl/>
          <w:lang w:bidi="he-IL"/>
        </w:rPr>
        <w:t>–</w:t>
      </w:r>
      <w:r w:rsidR="00134AE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134AE2">
        <w:rPr>
          <w:b/>
          <w:bCs/>
          <w:sz w:val="32"/>
          <w:szCs w:val="32"/>
          <w:lang w:bidi="he-IL"/>
        </w:rPr>
        <w:t xml:space="preserve">There, an ox is slaughtered  before you      </w:t>
      </w:r>
    </w:p>
    <w:p w:rsidR="00523A2B" w:rsidRDefault="00523A2B" w:rsidP="00134AE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23A2B" w:rsidRPr="00134AE2" w:rsidRDefault="00E2592E" w:rsidP="00134AE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34AE2">
        <w:rPr>
          <w:rFonts w:ascii="Copperplate Gothic Bold" w:hAnsi="Copperplate Gothic Bold"/>
          <w:u w:val="double"/>
          <w:lang w:bidi="he-IL"/>
        </w:rPr>
        <w:t>Overview</w:t>
      </w:r>
    </w:p>
    <w:p w:rsidR="00E2592E" w:rsidRPr="00E2592E" w:rsidRDefault="00E2592E" w:rsidP="00134AE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offers an explanation as to why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differentiates between the cases of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in the first </w:t>
      </w:r>
      <w:r>
        <w:rPr>
          <w:rFonts w:hint="cs"/>
          <w:rtl/>
          <w:lang w:bidi="he-IL"/>
        </w:rPr>
        <w:t>פרק</w:t>
      </w:r>
      <w:r>
        <w:rPr>
          <w:lang w:bidi="he-IL"/>
        </w:rPr>
        <w:t xml:space="preserve"> (where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ineffective), as opposed to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שדה זו</w:t>
      </w:r>
      <w:r>
        <w:rPr>
          <w:lang w:bidi="he-IL"/>
        </w:rPr>
        <w:t xml:space="preserve"> in this </w:t>
      </w:r>
      <w:r>
        <w:rPr>
          <w:rFonts w:hint="cs"/>
          <w:rtl/>
          <w:lang w:bidi="he-IL"/>
        </w:rPr>
        <w:t>פרק</w:t>
      </w:r>
      <w:r>
        <w:rPr>
          <w:lang w:bidi="he-IL"/>
        </w:rPr>
        <w:t xml:space="preserve"> (which is effective). </w:t>
      </w:r>
      <w:r w:rsidR="003E46DC">
        <w:rPr>
          <w:lang w:bidi="he-IL"/>
        </w:rPr>
        <w:t xml:space="preserve">The </w:t>
      </w:r>
      <w:r w:rsidR="003E46DC">
        <w:rPr>
          <w:rFonts w:hint="cs"/>
          <w:rtl/>
          <w:lang w:bidi="he-IL"/>
        </w:rPr>
        <w:t>גמרא</w:t>
      </w:r>
      <w:r w:rsidR="003E46DC">
        <w:rPr>
          <w:lang w:bidi="he-IL"/>
        </w:rPr>
        <w:t xml:space="preserve"> compares the </w:t>
      </w:r>
      <w:r w:rsidR="003E46DC">
        <w:rPr>
          <w:rFonts w:hint="cs"/>
          <w:rtl/>
          <w:lang w:bidi="he-IL"/>
        </w:rPr>
        <w:t>מגו</w:t>
      </w:r>
      <w:r w:rsidR="003E46DC">
        <w:rPr>
          <w:lang w:bidi="he-IL"/>
        </w:rPr>
        <w:t xml:space="preserve"> of </w:t>
      </w:r>
      <w:r w:rsidR="003E46DC">
        <w:rPr>
          <w:rFonts w:hint="cs"/>
          <w:rtl/>
          <w:lang w:bidi="he-IL"/>
        </w:rPr>
        <w:t>פרק ראשון</w:t>
      </w:r>
      <w:r w:rsidR="003E46DC">
        <w:rPr>
          <w:lang w:bidi="he-IL"/>
        </w:rPr>
        <w:t xml:space="preserve"> to a </w:t>
      </w:r>
      <w:r w:rsidR="003E46DC">
        <w:rPr>
          <w:rFonts w:hint="cs"/>
          <w:rtl/>
          <w:lang w:bidi="he-IL"/>
        </w:rPr>
        <w:t>שור שחוט</w:t>
      </w:r>
      <w:r w:rsidR="003E46DC">
        <w:rPr>
          <w:lang w:bidi="he-IL"/>
        </w:rPr>
        <w:t xml:space="preserve"> and the </w:t>
      </w:r>
      <w:r w:rsidR="003E46DC">
        <w:rPr>
          <w:rFonts w:hint="cs"/>
          <w:rtl/>
          <w:lang w:bidi="he-IL"/>
        </w:rPr>
        <w:t>מגו</w:t>
      </w:r>
      <w:r w:rsidR="003E46DC">
        <w:rPr>
          <w:lang w:bidi="he-IL"/>
        </w:rPr>
        <w:t xml:space="preserve"> of </w:t>
      </w:r>
      <w:r w:rsidR="003E46DC">
        <w:rPr>
          <w:rFonts w:hint="cs"/>
          <w:rtl/>
          <w:lang w:bidi="he-IL"/>
        </w:rPr>
        <w:t>פרק שני</w:t>
      </w:r>
      <w:r w:rsidR="003E46DC">
        <w:rPr>
          <w:lang w:bidi="he-IL"/>
        </w:rPr>
        <w:t xml:space="preserve"> to </w:t>
      </w:r>
      <w:r w:rsidR="003E46DC">
        <w:rPr>
          <w:rFonts w:hint="cs"/>
          <w:rtl/>
          <w:lang w:bidi="he-IL"/>
        </w:rPr>
        <w:t>אין שור שחוט</w:t>
      </w:r>
      <w:r w:rsidR="003E46DC">
        <w:rPr>
          <w:lang w:bidi="he-IL"/>
        </w:rPr>
        <w:t xml:space="preserve">. There is a dispute between </w:t>
      </w:r>
      <w:r w:rsidR="003E46DC">
        <w:rPr>
          <w:rFonts w:hint="cs"/>
          <w:rtl/>
          <w:lang w:bidi="he-IL"/>
        </w:rPr>
        <w:t>רש"י</w:t>
      </w:r>
      <w:r w:rsidR="003E46DC">
        <w:rPr>
          <w:lang w:bidi="he-IL"/>
        </w:rPr>
        <w:t xml:space="preserve"> and </w:t>
      </w:r>
      <w:r w:rsidR="003E46DC">
        <w:rPr>
          <w:rFonts w:hint="cs"/>
          <w:rtl/>
          <w:lang w:bidi="he-IL"/>
        </w:rPr>
        <w:t>תוספות</w:t>
      </w:r>
      <w:r w:rsidR="003E46DC">
        <w:rPr>
          <w:lang w:bidi="he-IL"/>
        </w:rPr>
        <w:t xml:space="preserve"> as to the interpretation of this answer; based on their dispute concerning the actual litigation in the case of </w:t>
      </w:r>
      <w:r w:rsidR="003E46DC">
        <w:rPr>
          <w:rFonts w:hint="cs"/>
          <w:rtl/>
          <w:lang w:bidi="he-IL"/>
        </w:rPr>
        <w:t>שדה זו</w:t>
      </w:r>
      <w:r w:rsidR="003E46DC">
        <w:rPr>
          <w:lang w:bidi="he-IL"/>
        </w:rPr>
        <w:t>.</w:t>
      </w:r>
    </w:p>
    <w:p w:rsidR="00523A2B" w:rsidRPr="00FD3580" w:rsidRDefault="00FD3580" w:rsidP="00134AE2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134AE2" w:rsidRPr="00884909" w:rsidRDefault="00523A2B" w:rsidP="00134AE2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פירש בקונטרס</w:t>
      </w:r>
      <w:r w:rsidR="00134AE2" w:rsidRPr="00884909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134AE2" w:rsidRPr="00884909">
        <w:rPr>
          <w:rFonts w:cs="David" w:hint="cs"/>
          <w:b/>
          <w:bCs/>
          <w:rtl/>
          <w:lang w:bidi="he-IL"/>
        </w:rPr>
        <w:t xml:space="preserve"> שהוא טוען עד שלא אירסתיך נאנסת -</w:t>
      </w:r>
    </w:p>
    <w:p w:rsidR="00523A2B" w:rsidRPr="001F1FEF" w:rsidRDefault="00884909" w:rsidP="00134AE2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1F1FEF">
        <w:rPr>
          <w:b/>
          <w:bCs/>
          <w:lang w:bidi="he-IL"/>
        </w:rPr>
        <w:t>It</w:t>
      </w:r>
      <w:r w:rsidR="00523A2B" w:rsidRPr="001F1FEF">
        <w:rPr>
          <w:b/>
          <w:bCs/>
          <w:lang w:bidi="he-IL"/>
        </w:rPr>
        <w:t xml:space="preserve"> is explained in </w:t>
      </w:r>
      <w:r w:rsidR="00523A2B" w:rsidRPr="001F1FEF">
        <w:rPr>
          <w:rFonts w:hint="cs"/>
          <w:b/>
          <w:bCs/>
          <w:rtl/>
          <w:lang w:bidi="he-IL"/>
        </w:rPr>
        <w:t>רש"י</w:t>
      </w:r>
      <w:r w:rsidR="00523A2B" w:rsidRPr="001F1FEF">
        <w:rPr>
          <w:b/>
          <w:bCs/>
          <w:lang w:bidi="he-IL"/>
        </w:rPr>
        <w:t xml:space="preserve">, </w:t>
      </w:r>
      <w:r w:rsidR="00523A2B" w:rsidRPr="001F1FEF">
        <w:rPr>
          <w:lang w:bidi="he-IL"/>
        </w:rPr>
        <w:t xml:space="preserve">that the </w:t>
      </w:r>
      <w:r w:rsidR="00E2592E" w:rsidRPr="001F1FEF">
        <w:rPr>
          <w:lang w:bidi="he-IL"/>
        </w:rPr>
        <w:t xml:space="preserve">reason </w:t>
      </w:r>
      <w:r w:rsidR="00596D33" w:rsidRPr="001F1FEF">
        <w:rPr>
          <w:lang w:bidi="he-IL"/>
        </w:rPr>
        <w:t xml:space="preserve">the cases in </w:t>
      </w:r>
      <w:r w:rsidR="00596D33" w:rsidRPr="001F1FEF">
        <w:rPr>
          <w:rFonts w:hint="cs"/>
          <w:rtl/>
          <w:lang w:bidi="he-IL"/>
        </w:rPr>
        <w:t>פרק ראשון</w:t>
      </w:r>
      <w:r w:rsidR="00E2592E" w:rsidRPr="001F1FEF">
        <w:rPr>
          <w:lang w:bidi="he-IL"/>
        </w:rPr>
        <w:t xml:space="preserve"> </w:t>
      </w:r>
      <w:r w:rsidR="00596D33" w:rsidRPr="001F1FEF">
        <w:rPr>
          <w:lang w:bidi="he-IL"/>
        </w:rPr>
        <w:t>are</w:t>
      </w:r>
      <w:r w:rsidR="00E2592E" w:rsidRPr="001F1FEF">
        <w:rPr>
          <w:lang w:bidi="he-IL"/>
        </w:rPr>
        <w:t xml:space="preserve"> compared to a</w:t>
      </w:r>
      <w:r w:rsidR="00523A2B" w:rsidRPr="001F1FEF">
        <w:rPr>
          <w:lang w:bidi="he-IL"/>
        </w:rPr>
        <w:t xml:space="preserve"> </w:t>
      </w:r>
      <w:r w:rsidR="00523A2B" w:rsidRPr="001F1FEF">
        <w:rPr>
          <w:rFonts w:hint="cs"/>
          <w:rtl/>
          <w:lang w:bidi="he-IL"/>
        </w:rPr>
        <w:t>שור שחוט</w:t>
      </w:r>
      <w:r w:rsidR="00523A2B" w:rsidRPr="001F1FEF">
        <w:rPr>
          <w:lang w:bidi="he-IL"/>
        </w:rPr>
        <w:t xml:space="preserve"> is</w:t>
      </w:r>
      <w:r w:rsidR="00E2592E" w:rsidRPr="001F1FEF">
        <w:rPr>
          <w:lang w:bidi="he-IL"/>
        </w:rPr>
        <w:t>, since</w:t>
      </w:r>
      <w:r w:rsidR="00523A2B" w:rsidRPr="001F1FEF">
        <w:rPr>
          <w:lang w:bidi="he-IL"/>
        </w:rPr>
        <w:t xml:space="preserve"> the husband </w:t>
      </w:r>
      <w:r w:rsidR="00523A2B" w:rsidRPr="001F1FEF">
        <w:rPr>
          <w:b/>
          <w:bCs/>
          <w:lang w:bidi="he-IL"/>
        </w:rPr>
        <w:t>claims you were forced before I betrothed you</w:t>
      </w:r>
      <w:r w:rsidR="00E2592E" w:rsidRPr="001F1FEF">
        <w:rPr>
          <w:lang w:bidi="he-IL"/>
        </w:rPr>
        <w:t>.</w:t>
      </w:r>
      <w:r w:rsidR="000878F4" w:rsidRPr="001F1FEF">
        <w:rPr>
          <w:lang w:bidi="he-IL"/>
        </w:rPr>
        <w:t xml:space="preserve"> </w:t>
      </w:r>
      <w:r w:rsidR="00E2592E" w:rsidRPr="001F1FEF">
        <w:rPr>
          <w:sz w:val="24"/>
          <w:szCs w:val="24"/>
          <w:lang w:bidi="he-IL"/>
        </w:rPr>
        <w:t>T</w:t>
      </w:r>
      <w:r w:rsidR="000878F4" w:rsidRPr="001F1FEF">
        <w:rPr>
          <w:sz w:val="24"/>
          <w:szCs w:val="24"/>
          <w:lang w:bidi="he-IL"/>
        </w:rPr>
        <w:t>he husband</w:t>
      </w:r>
      <w:r w:rsidR="00E2592E" w:rsidRPr="001F1FEF">
        <w:rPr>
          <w:sz w:val="24"/>
          <w:szCs w:val="24"/>
          <w:lang w:bidi="he-IL"/>
        </w:rPr>
        <w:t>’s</w:t>
      </w:r>
      <w:r w:rsidR="000878F4" w:rsidRPr="001F1FEF">
        <w:rPr>
          <w:sz w:val="24"/>
          <w:szCs w:val="24"/>
          <w:lang w:bidi="he-IL"/>
        </w:rPr>
        <w:t xml:space="preserve"> claim against his </w:t>
      </w:r>
      <w:r w:rsidR="00E2592E" w:rsidRPr="001F1FEF">
        <w:rPr>
          <w:sz w:val="24"/>
          <w:szCs w:val="24"/>
          <w:lang w:bidi="he-IL"/>
        </w:rPr>
        <w:t>wife</w:t>
      </w:r>
      <w:r w:rsidR="000878F4" w:rsidRPr="001F1FEF">
        <w:rPr>
          <w:sz w:val="24"/>
          <w:szCs w:val="24"/>
          <w:lang w:bidi="he-IL"/>
        </w:rPr>
        <w:t xml:space="preserve"> is compared to a </w:t>
      </w:r>
      <w:r w:rsidR="000878F4" w:rsidRPr="001F1FEF">
        <w:rPr>
          <w:rFonts w:hint="cs"/>
          <w:sz w:val="24"/>
          <w:szCs w:val="24"/>
          <w:rtl/>
          <w:lang w:bidi="he-IL"/>
        </w:rPr>
        <w:t>שור שחוט</w:t>
      </w:r>
      <w:r w:rsidR="00E2592E" w:rsidRPr="001F1FEF">
        <w:rPr>
          <w:sz w:val="24"/>
          <w:szCs w:val="24"/>
          <w:lang w:bidi="he-IL"/>
        </w:rPr>
        <w:t>;</w:t>
      </w:r>
      <w:r w:rsidR="000878F4" w:rsidRPr="001F1FEF">
        <w:rPr>
          <w:sz w:val="24"/>
          <w:szCs w:val="24"/>
          <w:lang w:bidi="he-IL"/>
        </w:rPr>
        <w:t xml:space="preserve"> t</w:t>
      </w:r>
      <w:r w:rsidR="00FD3580" w:rsidRPr="001F1FEF">
        <w:rPr>
          <w:sz w:val="24"/>
          <w:szCs w:val="24"/>
          <w:lang w:bidi="he-IL"/>
        </w:rPr>
        <w:t>here is a need for a response</w:t>
      </w:r>
      <w:r w:rsidR="003E46DC" w:rsidRPr="001F1FEF">
        <w:rPr>
          <w:sz w:val="24"/>
          <w:szCs w:val="24"/>
          <w:lang w:bidi="he-IL"/>
        </w:rPr>
        <w:t xml:space="preserve"> here</w:t>
      </w:r>
      <w:r w:rsidR="00E2592E" w:rsidRPr="001F1FEF">
        <w:rPr>
          <w:sz w:val="24"/>
          <w:szCs w:val="24"/>
          <w:lang w:bidi="he-IL"/>
        </w:rPr>
        <w:t xml:space="preserve">, just as a </w:t>
      </w:r>
      <w:r w:rsidR="00E2592E" w:rsidRPr="001F1FEF">
        <w:rPr>
          <w:rFonts w:hint="cs"/>
          <w:sz w:val="24"/>
          <w:szCs w:val="24"/>
          <w:rtl/>
          <w:lang w:bidi="he-IL"/>
        </w:rPr>
        <w:t>שור שחוט</w:t>
      </w:r>
      <w:r w:rsidR="00596D33" w:rsidRPr="001F1FEF">
        <w:rPr>
          <w:sz w:val="24"/>
          <w:szCs w:val="24"/>
          <w:lang w:bidi="he-IL"/>
        </w:rPr>
        <w:t xml:space="preserve"> necessitates a response as to</w:t>
      </w:r>
      <w:r w:rsidR="00E2592E" w:rsidRPr="001F1FEF">
        <w:rPr>
          <w:sz w:val="24"/>
          <w:szCs w:val="24"/>
          <w:lang w:bidi="he-IL"/>
        </w:rPr>
        <w:t xml:space="preserve"> who slaughtered it.</w:t>
      </w:r>
    </w:p>
    <w:p w:rsidR="00134AE2" w:rsidRPr="00884909" w:rsidRDefault="00523A2B" w:rsidP="00884909">
      <w:pPr>
        <w:bidi/>
        <w:spacing w:line="276" w:lineRule="auto"/>
        <w:jc w:val="both"/>
        <w:rPr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והכא</w:t>
      </w:r>
      <w:r w:rsidR="00134AE2" w:rsidRPr="00884909">
        <w:rPr>
          <w:rFonts w:cs="David" w:hint="cs"/>
          <w:b/>
          <w:bCs/>
          <w:rtl/>
          <w:lang w:bidi="he-IL"/>
        </w:rPr>
        <w:t xml:space="preserve"> אין שור שחוט לפניך דאין הלה תובעו</w:t>
      </w:r>
      <w:r w:rsidRPr="00884909">
        <w:rPr>
          <w:rFonts w:cs="David"/>
          <w:b/>
          <w:bCs/>
          <w:lang w:bidi="he-IL"/>
        </w:rPr>
        <w:t xml:space="preserve"> </w:t>
      </w:r>
      <w:r w:rsidR="00884909">
        <w:rPr>
          <w:rFonts w:cs="David" w:hint="cs"/>
          <w:b/>
          <w:bCs/>
          <w:rtl/>
          <w:lang w:bidi="he-IL"/>
        </w:rPr>
        <w:t>-</w:t>
      </w:r>
      <w:r w:rsidRPr="00884909">
        <w:rPr>
          <w:b/>
          <w:bCs/>
          <w:lang w:bidi="he-IL"/>
        </w:rPr>
        <w:t xml:space="preserve"> </w:t>
      </w:r>
    </w:p>
    <w:p w:rsidR="00523A2B" w:rsidRPr="003E2389" w:rsidRDefault="00134AE2" w:rsidP="00134AE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523A2B">
        <w:rPr>
          <w:b/>
          <w:bCs/>
          <w:lang w:bidi="he-IL"/>
        </w:rPr>
        <w:t xml:space="preserve"> here </w:t>
      </w:r>
      <w:r w:rsidR="00523A2B" w:rsidRPr="00134AE2">
        <w:rPr>
          <w:lang w:bidi="he-IL"/>
        </w:rPr>
        <w:t xml:space="preserve">in the case of </w:t>
      </w:r>
      <w:r w:rsidR="00523A2B" w:rsidRPr="00134AE2">
        <w:rPr>
          <w:rFonts w:hint="cs"/>
          <w:rtl/>
          <w:lang w:bidi="he-IL"/>
        </w:rPr>
        <w:t>שדה זו וכו'</w:t>
      </w:r>
      <w:r w:rsidR="00523A2B" w:rsidRPr="00134AE2">
        <w:rPr>
          <w:lang w:bidi="he-IL"/>
        </w:rPr>
        <w:t xml:space="preserve"> </w:t>
      </w:r>
      <w:r w:rsidR="00523A2B">
        <w:rPr>
          <w:b/>
          <w:bCs/>
          <w:lang w:bidi="he-IL"/>
        </w:rPr>
        <w:t>there is no ‘ox slaughtered before you’</w:t>
      </w:r>
      <w:r w:rsidR="000878F4">
        <w:rPr>
          <w:b/>
          <w:bCs/>
          <w:lang w:bidi="he-IL"/>
        </w:rPr>
        <w:t xml:space="preserve">; </w:t>
      </w:r>
      <w:r w:rsidR="000878F4" w:rsidRPr="00134AE2">
        <w:rPr>
          <w:lang w:bidi="he-IL"/>
        </w:rPr>
        <w:t xml:space="preserve">there is no need for </w:t>
      </w:r>
      <w:r w:rsidR="00FD3580" w:rsidRPr="00134AE2">
        <w:rPr>
          <w:lang w:bidi="he-IL"/>
        </w:rPr>
        <w:t>a response</w:t>
      </w:r>
      <w:r w:rsidR="00523A2B" w:rsidRPr="00134AE2">
        <w:rPr>
          <w:b/>
          <w:bCs/>
          <w:lang w:bidi="he-IL"/>
        </w:rPr>
        <w:t xml:space="preserve"> </w:t>
      </w:r>
      <w:r w:rsidR="00523A2B">
        <w:rPr>
          <w:b/>
          <w:bCs/>
          <w:lang w:bidi="he-IL"/>
        </w:rPr>
        <w:t xml:space="preserve">since </w:t>
      </w:r>
      <w:r w:rsidR="00523A2B">
        <w:rPr>
          <w:lang w:bidi="he-IL"/>
        </w:rPr>
        <w:t xml:space="preserve">the son </w:t>
      </w:r>
      <w:r w:rsidR="00523A2B">
        <w:rPr>
          <w:b/>
          <w:bCs/>
          <w:lang w:bidi="he-IL"/>
        </w:rPr>
        <w:t xml:space="preserve">is not demanding </w:t>
      </w:r>
      <w:r w:rsidR="00523A2B" w:rsidRPr="003E2389">
        <w:rPr>
          <w:sz w:val="24"/>
          <w:szCs w:val="24"/>
          <w:lang w:bidi="he-IL"/>
        </w:rPr>
        <w:t>anything</w:t>
      </w:r>
      <w:r w:rsidR="00523A2B" w:rsidRPr="003E2389">
        <w:rPr>
          <w:b/>
          <w:bCs/>
          <w:sz w:val="24"/>
          <w:szCs w:val="24"/>
          <w:lang w:bidi="he-IL"/>
        </w:rPr>
        <w:t xml:space="preserve"> </w:t>
      </w:r>
      <w:r w:rsidR="00523A2B" w:rsidRPr="003E2389">
        <w:rPr>
          <w:sz w:val="24"/>
          <w:szCs w:val="24"/>
          <w:lang w:bidi="he-IL"/>
        </w:rPr>
        <w:t>from the buyer.</w:t>
      </w:r>
      <w:r w:rsidR="003E46DC" w:rsidRPr="003E2389">
        <w:rPr>
          <w:rStyle w:val="FootnoteReference"/>
          <w:sz w:val="24"/>
          <w:szCs w:val="24"/>
          <w:lang w:bidi="he-IL"/>
        </w:rPr>
        <w:footnoteReference w:id="2"/>
      </w:r>
      <w:r w:rsidR="000878F4" w:rsidRPr="003E2389">
        <w:rPr>
          <w:sz w:val="24"/>
          <w:szCs w:val="24"/>
          <w:lang w:bidi="he-IL"/>
        </w:rPr>
        <w:t xml:space="preserve"> </w:t>
      </w:r>
    </w:p>
    <w:p w:rsidR="00523A2B" w:rsidRPr="003E2389" w:rsidRDefault="00523A2B" w:rsidP="00134AE2">
      <w:pPr>
        <w:spacing w:line="276" w:lineRule="auto"/>
        <w:jc w:val="both"/>
        <w:rPr>
          <w:sz w:val="24"/>
          <w:szCs w:val="24"/>
          <w:lang w:bidi="he-IL"/>
        </w:rPr>
      </w:pPr>
    </w:p>
    <w:p w:rsidR="00523A2B" w:rsidRPr="003E2389" w:rsidRDefault="00523A2B" w:rsidP="00134AE2">
      <w:pPr>
        <w:spacing w:line="276" w:lineRule="auto"/>
        <w:jc w:val="both"/>
        <w:rPr>
          <w:sz w:val="24"/>
          <w:szCs w:val="24"/>
          <w:lang w:bidi="he-IL"/>
        </w:rPr>
      </w:pPr>
      <w:r w:rsidRPr="003E2389">
        <w:rPr>
          <w:rFonts w:hint="cs"/>
          <w:sz w:val="24"/>
          <w:szCs w:val="24"/>
          <w:rtl/>
          <w:lang w:bidi="he-IL"/>
        </w:rPr>
        <w:t>תוספות</w:t>
      </w:r>
      <w:r w:rsidRPr="003E2389">
        <w:rPr>
          <w:sz w:val="24"/>
          <w:szCs w:val="24"/>
          <w:lang w:bidi="he-IL"/>
        </w:rPr>
        <w:t xml:space="preserve"> has a different interpretation:</w:t>
      </w:r>
    </w:p>
    <w:p w:rsidR="00134AE2" w:rsidRPr="00884909" w:rsidRDefault="00523A2B" w:rsidP="0088490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ורבינו יצחק מפרש</w:t>
      </w:r>
      <w:r w:rsidR="00134AE2" w:rsidRPr="00884909">
        <w:rPr>
          <w:rFonts w:cs="David" w:hint="cs"/>
          <w:b/>
          <w:bCs/>
          <w:rtl/>
          <w:lang w:bidi="he-IL"/>
        </w:rPr>
        <w:t xml:space="preserve"> דהכא נמי איירי בהלה תובעו כדפירישית</w:t>
      </w:r>
      <w:r w:rsidR="00884909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134AE2" w:rsidRPr="00884909">
        <w:rPr>
          <w:rFonts w:cs="David" w:hint="cs"/>
          <w:b/>
          <w:bCs/>
          <w:rtl/>
          <w:lang w:bidi="he-IL"/>
        </w:rPr>
        <w:t xml:space="preserve"> -</w:t>
      </w:r>
    </w:p>
    <w:p w:rsidR="00134AE2" w:rsidRDefault="00884909" w:rsidP="00134AE2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523A2B">
        <w:rPr>
          <w:b/>
          <w:bCs/>
          <w:lang w:bidi="he-IL"/>
        </w:rPr>
        <w:t xml:space="preserve"> the </w:t>
      </w:r>
      <w:r w:rsidR="00523A2B">
        <w:rPr>
          <w:rFonts w:hint="cs"/>
          <w:b/>
          <w:bCs/>
          <w:rtl/>
          <w:lang w:bidi="he-IL"/>
        </w:rPr>
        <w:t>ר"י</w:t>
      </w:r>
      <w:r w:rsidR="00523A2B">
        <w:rPr>
          <w:b/>
          <w:bCs/>
          <w:lang w:bidi="he-IL"/>
        </w:rPr>
        <w:t xml:space="preserve"> explains that here too; </w:t>
      </w:r>
      <w:r w:rsidR="00523A2B" w:rsidRPr="00134AE2">
        <w:rPr>
          <w:lang w:bidi="he-IL"/>
        </w:rPr>
        <w:t xml:space="preserve">in the case of </w:t>
      </w:r>
      <w:r w:rsidR="00523A2B" w:rsidRPr="00134AE2">
        <w:rPr>
          <w:rFonts w:hint="cs"/>
          <w:rtl/>
          <w:lang w:bidi="he-IL"/>
        </w:rPr>
        <w:t>שדה זו וכו'</w:t>
      </w:r>
      <w:r w:rsidR="00523A2B" w:rsidRPr="00134AE2">
        <w:rPr>
          <w:lang w:bidi="he-IL"/>
        </w:rPr>
        <w:t xml:space="preserve"> </w:t>
      </w:r>
      <w:r w:rsidR="00721E9E">
        <w:rPr>
          <w:b/>
          <w:bCs/>
          <w:lang w:bidi="he-IL"/>
        </w:rPr>
        <w:t xml:space="preserve">it is discussing </w:t>
      </w:r>
      <w:r w:rsidR="00721E9E">
        <w:rPr>
          <w:lang w:bidi="he-IL"/>
        </w:rPr>
        <w:t xml:space="preserve">a case </w:t>
      </w:r>
      <w:r w:rsidR="00721E9E">
        <w:rPr>
          <w:b/>
          <w:bCs/>
          <w:lang w:bidi="he-IL"/>
        </w:rPr>
        <w:t xml:space="preserve">where </w:t>
      </w:r>
      <w:r w:rsidR="00721E9E">
        <w:rPr>
          <w:lang w:bidi="he-IL"/>
        </w:rPr>
        <w:t xml:space="preserve">the son </w:t>
      </w:r>
      <w:r w:rsidR="00721E9E">
        <w:rPr>
          <w:b/>
          <w:bCs/>
          <w:lang w:bidi="he-IL"/>
        </w:rPr>
        <w:t xml:space="preserve">is claiming </w:t>
      </w:r>
      <w:r w:rsidR="00721E9E">
        <w:rPr>
          <w:lang w:bidi="he-IL"/>
        </w:rPr>
        <w:t>ownership of the field</w:t>
      </w:r>
      <w:r>
        <w:rPr>
          <w:lang w:bidi="he-IL"/>
        </w:rPr>
        <w:t>,</w:t>
      </w:r>
      <w:r w:rsidR="00721E9E">
        <w:rPr>
          <w:lang w:bidi="he-IL"/>
        </w:rPr>
        <w:t xml:space="preserve"> </w:t>
      </w:r>
      <w:r w:rsidR="00721E9E">
        <w:rPr>
          <w:b/>
          <w:bCs/>
          <w:lang w:bidi="he-IL"/>
        </w:rPr>
        <w:t>as I explained.</w:t>
      </w:r>
    </w:p>
    <w:p w:rsidR="00134AE2" w:rsidRPr="006C0892" w:rsidRDefault="00721E9E" w:rsidP="00134AE2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  <w:r w:rsidRPr="006C0892">
        <w:rPr>
          <w:b/>
          <w:bCs/>
          <w:sz w:val="24"/>
          <w:szCs w:val="24"/>
          <w:lang w:bidi="he-IL"/>
        </w:rPr>
        <w:t xml:space="preserve"> </w:t>
      </w:r>
    </w:p>
    <w:p w:rsidR="00523A2B" w:rsidRPr="003E2389" w:rsidRDefault="00721E9E" w:rsidP="00134AE2">
      <w:pPr>
        <w:spacing w:line="276" w:lineRule="auto"/>
        <w:jc w:val="both"/>
        <w:rPr>
          <w:sz w:val="24"/>
          <w:szCs w:val="24"/>
          <w:lang w:bidi="he-IL"/>
        </w:rPr>
      </w:pPr>
      <w:r w:rsidRPr="003E2389">
        <w:rPr>
          <w:rFonts w:hint="cs"/>
          <w:sz w:val="24"/>
          <w:szCs w:val="24"/>
          <w:rtl/>
          <w:lang w:bidi="he-IL"/>
        </w:rPr>
        <w:t>תוספות</w:t>
      </w:r>
      <w:r w:rsidRPr="003E2389">
        <w:rPr>
          <w:sz w:val="24"/>
          <w:szCs w:val="24"/>
          <w:lang w:bidi="he-IL"/>
        </w:rPr>
        <w:t xml:space="preserve"> will now clarify what is meant by </w:t>
      </w:r>
      <w:r w:rsidRPr="003E2389">
        <w:rPr>
          <w:rFonts w:hint="cs"/>
          <w:sz w:val="24"/>
          <w:szCs w:val="24"/>
          <w:rtl/>
          <w:lang w:bidi="he-IL"/>
        </w:rPr>
        <w:t>שור שחוט</w:t>
      </w:r>
      <w:r w:rsidRPr="003E2389">
        <w:rPr>
          <w:sz w:val="24"/>
          <w:szCs w:val="24"/>
          <w:lang w:bidi="he-IL"/>
        </w:rPr>
        <w:t xml:space="preserve"> and </w:t>
      </w:r>
      <w:r w:rsidRPr="003E2389">
        <w:rPr>
          <w:rFonts w:hint="cs"/>
          <w:sz w:val="24"/>
          <w:szCs w:val="24"/>
          <w:rtl/>
          <w:lang w:bidi="he-IL"/>
        </w:rPr>
        <w:t>אין שור שחוט</w:t>
      </w:r>
      <w:r w:rsidRPr="003E2389">
        <w:rPr>
          <w:sz w:val="24"/>
          <w:szCs w:val="24"/>
          <w:lang w:bidi="he-IL"/>
        </w:rPr>
        <w:t>:</w:t>
      </w:r>
    </w:p>
    <w:p w:rsidR="00134AE2" w:rsidRPr="00884909" w:rsidRDefault="00721E9E" w:rsidP="00884909">
      <w:pPr>
        <w:bidi/>
        <w:spacing w:line="276" w:lineRule="auto"/>
        <w:jc w:val="both"/>
        <w:rPr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והכי פירושו</w:t>
      </w:r>
      <w:r w:rsidR="00134AE2" w:rsidRPr="00884909">
        <w:rPr>
          <w:rFonts w:cs="David" w:hint="cs"/>
          <w:b/>
          <w:bCs/>
          <w:rtl/>
          <w:lang w:bidi="he-IL"/>
        </w:rPr>
        <w:t xml:space="preserve"> התם שור שחוט לפניך דהרי אין לה בתולים</w:t>
      </w:r>
      <w:r w:rsidR="00884909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884909">
        <w:rPr>
          <w:b/>
          <w:bCs/>
          <w:lang w:bidi="he-IL"/>
        </w:rPr>
        <w:t xml:space="preserve"> </w:t>
      </w:r>
    </w:p>
    <w:p w:rsidR="00721E9E" w:rsidRDefault="00134AE2" w:rsidP="003459B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721E9E">
        <w:rPr>
          <w:b/>
          <w:bCs/>
          <w:lang w:bidi="he-IL"/>
        </w:rPr>
        <w:t xml:space="preserve"> this is the explanation </w:t>
      </w:r>
      <w:r w:rsidR="00721E9E" w:rsidRPr="00134AE2">
        <w:rPr>
          <w:lang w:bidi="he-IL"/>
        </w:rPr>
        <w:t xml:space="preserve">of the </w:t>
      </w:r>
      <w:r w:rsidR="00721E9E" w:rsidRPr="00134AE2">
        <w:rPr>
          <w:rFonts w:hint="cs"/>
          <w:rtl/>
          <w:lang w:bidi="he-IL"/>
        </w:rPr>
        <w:t>גמרא</w:t>
      </w:r>
      <w:r w:rsidR="00884909">
        <w:rPr>
          <w:lang w:bidi="he-IL"/>
        </w:rPr>
        <w:t>;</w:t>
      </w:r>
      <w:r w:rsidR="00721E9E" w:rsidRPr="00134AE2">
        <w:rPr>
          <w:lang w:bidi="he-IL"/>
        </w:rPr>
        <w:t xml:space="preserve"> </w:t>
      </w:r>
      <w:r w:rsidR="00721E9E">
        <w:rPr>
          <w:b/>
          <w:bCs/>
          <w:lang w:bidi="he-IL"/>
        </w:rPr>
        <w:t>there</w:t>
      </w:r>
      <w:r w:rsidR="00E609BC">
        <w:rPr>
          <w:b/>
          <w:bCs/>
          <w:lang w:bidi="he-IL"/>
        </w:rPr>
        <w:t>,</w:t>
      </w:r>
      <w:r w:rsidR="00721E9E">
        <w:rPr>
          <w:b/>
          <w:bCs/>
          <w:lang w:bidi="he-IL"/>
        </w:rPr>
        <w:t xml:space="preserve"> </w:t>
      </w:r>
      <w:r w:rsidR="00E609BC">
        <w:rPr>
          <w:lang w:bidi="he-IL"/>
        </w:rPr>
        <w:t>i</w:t>
      </w:r>
      <w:r w:rsidR="00721E9E">
        <w:rPr>
          <w:lang w:bidi="he-IL"/>
        </w:rPr>
        <w:t>n the case</w:t>
      </w:r>
      <w:r w:rsidR="00D831F0">
        <w:rPr>
          <w:lang w:bidi="he-IL"/>
        </w:rPr>
        <w:t>s</w:t>
      </w:r>
      <w:r w:rsidR="00721E9E">
        <w:rPr>
          <w:lang w:bidi="he-IL"/>
        </w:rPr>
        <w:t xml:space="preserve"> of </w:t>
      </w:r>
      <w:r w:rsidR="00721E9E">
        <w:rPr>
          <w:rFonts w:hint="cs"/>
          <w:rtl/>
          <w:lang w:bidi="he-IL"/>
        </w:rPr>
        <w:t>פרק ראשון</w:t>
      </w:r>
      <w:r w:rsidR="00721E9E">
        <w:rPr>
          <w:lang w:bidi="he-IL"/>
        </w:rPr>
        <w:t xml:space="preserve">, there is a </w:t>
      </w:r>
      <w:r w:rsidR="00721E9E">
        <w:rPr>
          <w:rFonts w:hint="cs"/>
          <w:b/>
          <w:bCs/>
          <w:rtl/>
          <w:lang w:bidi="he-IL"/>
        </w:rPr>
        <w:t>שור שחוט לפניך</w:t>
      </w:r>
      <w:r w:rsidR="00721E9E">
        <w:rPr>
          <w:b/>
          <w:bCs/>
          <w:lang w:bidi="he-IL"/>
        </w:rPr>
        <w:t xml:space="preserve"> for she has no </w:t>
      </w:r>
      <w:r w:rsidR="00721E9E">
        <w:rPr>
          <w:rFonts w:hint="cs"/>
          <w:rtl/>
          <w:lang w:bidi="he-IL"/>
        </w:rPr>
        <w:t xml:space="preserve">דם </w:t>
      </w:r>
      <w:r w:rsidR="00721E9E">
        <w:rPr>
          <w:rFonts w:hint="cs"/>
          <w:b/>
          <w:bCs/>
          <w:rtl/>
          <w:lang w:bidi="he-IL"/>
        </w:rPr>
        <w:t>בתולים</w:t>
      </w:r>
      <w:r w:rsidR="00721E9E">
        <w:rPr>
          <w:b/>
          <w:bCs/>
          <w:lang w:bidi="he-IL"/>
        </w:rPr>
        <w:t xml:space="preserve"> –</w:t>
      </w:r>
    </w:p>
    <w:p w:rsidR="003459B9" w:rsidRPr="00884909" w:rsidRDefault="00721E9E" w:rsidP="006C089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ואינה יכולה לומר בתולה אני</w:t>
      </w:r>
      <w:r w:rsidR="003459B9" w:rsidRPr="00884909">
        <w:rPr>
          <w:rFonts w:cs="David" w:hint="cs"/>
          <w:b/>
          <w:bCs/>
          <w:rtl/>
          <w:lang w:bidi="he-IL"/>
        </w:rPr>
        <w:t xml:space="preserve"> כמו בשור שחוט שאין יכול לומר חי הוא</w:t>
      </w:r>
      <w:r w:rsidRPr="00884909">
        <w:rPr>
          <w:rFonts w:cs="David"/>
          <w:b/>
          <w:bCs/>
          <w:lang w:bidi="he-IL"/>
        </w:rPr>
        <w:t xml:space="preserve"> – </w:t>
      </w:r>
    </w:p>
    <w:p w:rsidR="00721E9E" w:rsidRPr="003E2389" w:rsidRDefault="003459B9" w:rsidP="006C089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And</w:t>
      </w:r>
      <w:r w:rsidR="00721E9E">
        <w:rPr>
          <w:b/>
          <w:bCs/>
          <w:lang w:bidi="he-IL"/>
        </w:rPr>
        <w:t xml:space="preserve"> she cannot claim I was a </w:t>
      </w:r>
      <w:r w:rsidR="00721E9E">
        <w:rPr>
          <w:rFonts w:hint="cs"/>
          <w:b/>
          <w:bCs/>
          <w:rtl/>
          <w:lang w:bidi="he-IL"/>
        </w:rPr>
        <w:t>בתולה</w:t>
      </w:r>
      <w:r w:rsidR="00721E9E">
        <w:rPr>
          <w:lang w:bidi="he-IL"/>
        </w:rPr>
        <w:t xml:space="preserve"> </w:t>
      </w:r>
      <w:r w:rsidR="00721E9E" w:rsidRPr="003459B9">
        <w:rPr>
          <w:lang w:bidi="he-IL"/>
        </w:rPr>
        <w:t xml:space="preserve">by the </w:t>
      </w:r>
      <w:r w:rsidR="00721E9E" w:rsidRPr="003459B9">
        <w:rPr>
          <w:rFonts w:hint="cs"/>
          <w:rtl/>
          <w:lang w:bidi="he-IL"/>
        </w:rPr>
        <w:t>נישואין</w:t>
      </w:r>
      <w:r w:rsidR="00721E9E" w:rsidRPr="003459B9">
        <w:rPr>
          <w:lang w:bidi="he-IL"/>
        </w:rPr>
        <w:t xml:space="preserve">; </w:t>
      </w:r>
      <w:r w:rsidR="00D831F0" w:rsidRPr="003459B9">
        <w:rPr>
          <w:lang w:bidi="he-IL"/>
        </w:rPr>
        <w:t xml:space="preserve">therefore </w:t>
      </w:r>
      <w:r w:rsidR="00721E9E" w:rsidRPr="003459B9">
        <w:rPr>
          <w:lang w:bidi="he-IL"/>
        </w:rPr>
        <w:t xml:space="preserve">her status is </w:t>
      </w:r>
      <w:r w:rsidR="00721E9E">
        <w:rPr>
          <w:b/>
          <w:bCs/>
          <w:lang w:bidi="he-IL"/>
        </w:rPr>
        <w:t xml:space="preserve">just as by a </w:t>
      </w:r>
      <w:r w:rsidR="00721E9E">
        <w:rPr>
          <w:rFonts w:hint="cs"/>
          <w:b/>
          <w:bCs/>
          <w:rtl/>
          <w:lang w:bidi="he-IL"/>
        </w:rPr>
        <w:t>שור שחוט</w:t>
      </w:r>
      <w:r w:rsidR="00721E9E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>where</w:t>
      </w:r>
      <w:r w:rsidR="00721E9E">
        <w:rPr>
          <w:b/>
          <w:bCs/>
          <w:lang w:bidi="he-IL"/>
        </w:rPr>
        <w:t xml:space="preserve"> no one can say he is alive</w:t>
      </w:r>
      <w:r w:rsidR="00721E9E">
        <w:rPr>
          <w:lang w:bidi="he-IL"/>
        </w:rPr>
        <w:t xml:space="preserve">; </w:t>
      </w:r>
      <w:r w:rsidR="00721E9E" w:rsidRPr="003E2389">
        <w:rPr>
          <w:sz w:val="24"/>
          <w:szCs w:val="24"/>
          <w:lang w:bidi="he-IL"/>
        </w:rPr>
        <w:t xml:space="preserve">similarly she cannot deny the fact, that </w:t>
      </w:r>
      <w:r w:rsidR="00E25BD0" w:rsidRPr="003E2389">
        <w:rPr>
          <w:sz w:val="24"/>
          <w:szCs w:val="24"/>
          <w:lang w:bidi="he-IL"/>
        </w:rPr>
        <w:t xml:space="preserve">she is not a </w:t>
      </w:r>
      <w:r w:rsidR="00E25BD0" w:rsidRPr="003E2389">
        <w:rPr>
          <w:rFonts w:hint="cs"/>
          <w:sz w:val="24"/>
          <w:szCs w:val="24"/>
          <w:rtl/>
          <w:lang w:bidi="he-IL"/>
        </w:rPr>
        <w:t>בתולה</w:t>
      </w:r>
      <w:r w:rsidR="003E2389" w:rsidRPr="003E2389">
        <w:rPr>
          <w:rStyle w:val="FootnoteReference"/>
          <w:sz w:val="24"/>
          <w:szCs w:val="24"/>
          <w:rtl/>
          <w:lang w:bidi="he-IL"/>
        </w:rPr>
        <w:footnoteReference w:id="5"/>
      </w:r>
      <w:r w:rsidR="00721E9E" w:rsidRPr="003E2389">
        <w:rPr>
          <w:sz w:val="24"/>
          <w:szCs w:val="24"/>
          <w:lang w:bidi="he-IL"/>
        </w:rPr>
        <w:t xml:space="preserve"> –</w:t>
      </w:r>
    </w:p>
    <w:p w:rsidR="003459B9" w:rsidRPr="00884909" w:rsidRDefault="00721E9E" w:rsidP="006C089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ולהכי בין אומרת משארסתני נאנסתי</w:t>
      </w:r>
      <w:r w:rsidR="003459B9" w:rsidRPr="00884909">
        <w:rPr>
          <w:rFonts w:cs="David" w:hint="cs"/>
          <w:b/>
          <w:bCs/>
          <w:rtl/>
          <w:lang w:bidi="he-IL"/>
        </w:rPr>
        <w:t xml:space="preserve"> בין אומרת מוכת עץ אני תחתיך לא מהימנא</w:t>
      </w:r>
      <w:r w:rsidRPr="00884909">
        <w:rPr>
          <w:rFonts w:cs="David"/>
          <w:b/>
          <w:bCs/>
          <w:lang w:bidi="he-IL"/>
        </w:rPr>
        <w:t xml:space="preserve"> </w:t>
      </w:r>
      <w:r w:rsidR="00884909">
        <w:rPr>
          <w:rFonts w:cs="David" w:hint="cs"/>
          <w:b/>
          <w:bCs/>
          <w:rtl/>
          <w:lang w:bidi="he-IL"/>
        </w:rPr>
        <w:t xml:space="preserve"> -</w:t>
      </w:r>
    </w:p>
    <w:p w:rsidR="00721E9E" w:rsidRPr="006C0892" w:rsidRDefault="003459B9" w:rsidP="006C089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6C0892">
        <w:rPr>
          <w:b/>
          <w:bCs/>
          <w:lang w:bidi="he-IL"/>
        </w:rPr>
        <w:t>And</w:t>
      </w:r>
      <w:r w:rsidR="00721E9E" w:rsidRPr="006C0892">
        <w:rPr>
          <w:b/>
          <w:bCs/>
          <w:lang w:bidi="he-IL"/>
        </w:rPr>
        <w:t xml:space="preserve"> therefore whether she claims I was forced after the </w:t>
      </w:r>
      <w:r w:rsidR="00721E9E" w:rsidRPr="006C0892">
        <w:rPr>
          <w:rFonts w:hint="cs"/>
          <w:b/>
          <w:bCs/>
          <w:rtl/>
          <w:lang w:bidi="he-IL"/>
        </w:rPr>
        <w:t>אירוסין</w:t>
      </w:r>
      <w:r w:rsidR="00721E9E" w:rsidRPr="006C0892">
        <w:rPr>
          <w:b/>
          <w:bCs/>
          <w:lang w:bidi="he-IL"/>
        </w:rPr>
        <w:t xml:space="preserve">, </w:t>
      </w:r>
      <w:r w:rsidR="00721E9E" w:rsidRPr="006C0892">
        <w:rPr>
          <w:lang w:bidi="he-IL"/>
        </w:rPr>
        <w:t>or</w:t>
      </w:r>
      <w:r w:rsidR="00721E9E" w:rsidRPr="006C0892">
        <w:rPr>
          <w:b/>
          <w:bCs/>
          <w:sz w:val="24"/>
          <w:szCs w:val="24"/>
          <w:lang w:bidi="he-IL"/>
        </w:rPr>
        <w:t xml:space="preserve"> </w:t>
      </w:r>
      <w:r w:rsidR="00721E9E" w:rsidRPr="006C0892">
        <w:rPr>
          <w:b/>
          <w:bCs/>
          <w:lang w:bidi="he-IL"/>
        </w:rPr>
        <w:t xml:space="preserve">whether she claims I was struck by wood </w:t>
      </w:r>
      <w:r w:rsidR="00721E9E" w:rsidRPr="006C0892">
        <w:rPr>
          <w:lang w:bidi="he-IL"/>
        </w:rPr>
        <w:t xml:space="preserve">while I was an </w:t>
      </w:r>
      <w:r w:rsidR="00721E9E" w:rsidRPr="006C0892">
        <w:rPr>
          <w:rFonts w:hint="cs"/>
          <w:rtl/>
          <w:lang w:bidi="he-IL"/>
        </w:rPr>
        <w:t>ארוסה</w:t>
      </w:r>
      <w:r w:rsidR="00721E9E" w:rsidRPr="006C0892">
        <w:rPr>
          <w:lang w:bidi="he-IL"/>
        </w:rPr>
        <w:t xml:space="preserve"> </w:t>
      </w:r>
      <w:r w:rsidR="00721E9E" w:rsidRPr="006C0892">
        <w:rPr>
          <w:b/>
          <w:bCs/>
          <w:lang w:bidi="he-IL"/>
        </w:rPr>
        <w:t>she is not believed</w:t>
      </w:r>
      <w:r w:rsidRPr="006C0892">
        <w:rPr>
          <w:b/>
          <w:bCs/>
          <w:lang w:bidi="he-IL"/>
        </w:rPr>
        <w:t>.</w:t>
      </w:r>
      <w:r w:rsidR="00D831F0" w:rsidRPr="006C0892">
        <w:rPr>
          <w:rStyle w:val="FootnoteReference"/>
          <w:b/>
          <w:bCs/>
          <w:lang w:bidi="he-IL"/>
        </w:rPr>
        <w:footnoteReference w:id="6"/>
      </w:r>
      <w:r w:rsidR="003E2389" w:rsidRPr="006C0892">
        <w:rPr>
          <w:lang w:bidi="he-IL"/>
        </w:rPr>
        <w:t xml:space="preserve"> </w:t>
      </w:r>
      <w:r w:rsidR="003E2389" w:rsidRPr="006C0892">
        <w:rPr>
          <w:sz w:val="24"/>
          <w:szCs w:val="24"/>
          <w:lang w:bidi="he-IL"/>
        </w:rPr>
        <w:t>However -</w:t>
      </w:r>
    </w:p>
    <w:p w:rsidR="003459B9" w:rsidRPr="00884909" w:rsidRDefault="00D831F0" w:rsidP="006C089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884909">
        <w:rPr>
          <w:rFonts w:cs="David" w:hint="cs"/>
          <w:b/>
          <w:bCs/>
          <w:rtl/>
          <w:lang w:bidi="he-IL"/>
        </w:rPr>
        <w:t>הכא</w:t>
      </w:r>
      <w:r w:rsidR="003459B9" w:rsidRPr="00884909">
        <w:rPr>
          <w:rFonts w:cs="David" w:hint="cs"/>
          <w:b/>
          <w:bCs/>
          <w:rtl/>
          <w:lang w:bidi="he-IL"/>
        </w:rPr>
        <w:t xml:space="preserve"> אין שור שחוט לפניך ונאמן במגו דאי בעי אמר לא היתה של אביך מעולם</w:t>
      </w:r>
      <w:r w:rsidRPr="00884909">
        <w:rPr>
          <w:rFonts w:cs="David"/>
          <w:b/>
          <w:bCs/>
          <w:lang w:bidi="he-IL"/>
        </w:rPr>
        <w:t xml:space="preserve"> </w:t>
      </w:r>
      <w:r w:rsidR="00884909">
        <w:rPr>
          <w:rFonts w:cs="David" w:hint="cs"/>
          <w:b/>
          <w:bCs/>
          <w:rtl/>
          <w:lang w:bidi="he-IL"/>
        </w:rPr>
        <w:t>-</w:t>
      </w:r>
      <w:r w:rsidRPr="00884909">
        <w:rPr>
          <w:rFonts w:cs="David"/>
          <w:b/>
          <w:bCs/>
          <w:lang w:bidi="he-IL"/>
        </w:rPr>
        <w:t xml:space="preserve"> </w:t>
      </w:r>
    </w:p>
    <w:p w:rsidR="00721E9E" w:rsidRPr="001F1FEF" w:rsidRDefault="003459B9" w:rsidP="001F1FEF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1F1FEF">
        <w:rPr>
          <w:b/>
          <w:bCs/>
          <w:spacing w:val="-2"/>
          <w:lang w:bidi="he-IL"/>
        </w:rPr>
        <w:t>Here</w:t>
      </w:r>
      <w:r w:rsidR="00D831F0" w:rsidRPr="001F1FEF">
        <w:rPr>
          <w:b/>
          <w:bCs/>
          <w:spacing w:val="-2"/>
          <w:lang w:bidi="he-IL"/>
        </w:rPr>
        <w:t xml:space="preserve"> </w:t>
      </w:r>
      <w:r w:rsidR="00D831F0" w:rsidRPr="001F1FEF">
        <w:rPr>
          <w:spacing w:val="-2"/>
          <w:lang w:bidi="he-IL"/>
        </w:rPr>
        <w:t xml:space="preserve">in the case of </w:t>
      </w:r>
      <w:r w:rsidR="00D831F0" w:rsidRPr="001F1FEF">
        <w:rPr>
          <w:rFonts w:hint="cs"/>
          <w:spacing w:val="-2"/>
          <w:rtl/>
          <w:lang w:bidi="he-IL"/>
        </w:rPr>
        <w:t>שדה זו</w:t>
      </w:r>
      <w:r w:rsidR="00D831F0" w:rsidRPr="001F1FEF">
        <w:rPr>
          <w:spacing w:val="-2"/>
          <w:lang w:bidi="he-IL"/>
        </w:rPr>
        <w:t xml:space="preserve"> </w:t>
      </w:r>
      <w:r w:rsidR="00D831F0" w:rsidRPr="001F1FEF">
        <w:rPr>
          <w:b/>
          <w:bCs/>
          <w:spacing w:val="-2"/>
          <w:lang w:bidi="he-IL"/>
        </w:rPr>
        <w:t xml:space="preserve">there is no </w:t>
      </w:r>
      <w:r w:rsidR="00D831F0" w:rsidRPr="001F1FEF">
        <w:rPr>
          <w:rFonts w:hint="cs"/>
          <w:b/>
          <w:bCs/>
          <w:spacing w:val="-2"/>
          <w:rtl/>
          <w:lang w:bidi="he-IL"/>
        </w:rPr>
        <w:t>שור שחוט לפניך</w:t>
      </w:r>
      <w:r w:rsidR="00D831F0" w:rsidRPr="001F1FEF">
        <w:rPr>
          <w:b/>
          <w:bCs/>
          <w:spacing w:val="-2"/>
          <w:lang w:bidi="he-IL"/>
        </w:rPr>
        <w:t xml:space="preserve">; </w:t>
      </w:r>
      <w:r w:rsidR="00D831F0" w:rsidRPr="001F1FEF">
        <w:rPr>
          <w:spacing w:val="-2"/>
          <w:lang w:bidi="he-IL"/>
        </w:rPr>
        <w:t>we do not know</w:t>
      </w:r>
      <w:r w:rsidR="006755A5" w:rsidRPr="001F1FEF">
        <w:rPr>
          <w:spacing w:val="-2"/>
          <w:lang w:bidi="he-IL"/>
        </w:rPr>
        <w:t xml:space="preserve">, </w:t>
      </w:r>
      <w:r w:rsidR="006755A5" w:rsidRPr="001F1FEF">
        <w:rPr>
          <w:lang w:bidi="he-IL"/>
        </w:rPr>
        <w:t xml:space="preserve">independent of the </w:t>
      </w:r>
      <w:r w:rsidR="0055301F" w:rsidRPr="001F1FEF">
        <w:rPr>
          <w:lang w:bidi="he-IL"/>
        </w:rPr>
        <w:t>buyer’s admission</w:t>
      </w:r>
      <w:r w:rsidR="006755A5" w:rsidRPr="001F1FEF">
        <w:rPr>
          <w:lang w:bidi="he-IL"/>
        </w:rPr>
        <w:t>,</w:t>
      </w:r>
      <w:r w:rsidR="00D831F0" w:rsidRPr="001F1FEF">
        <w:rPr>
          <w:lang w:bidi="he-IL"/>
        </w:rPr>
        <w:t xml:space="preserve"> that it once belonged to the</w:t>
      </w:r>
      <w:r w:rsidR="001F1FEF" w:rsidRPr="001F1FEF">
        <w:rPr>
          <w:lang w:bidi="he-IL"/>
        </w:rPr>
        <w:t xml:space="preserve"> claimant’s</w:t>
      </w:r>
      <w:r w:rsidR="00D831F0" w:rsidRPr="001F1FEF">
        <w:rPr>
          <w:lang w:bidi="he-IL"/>
        </w:rPr>
        <w:t xml:space="preserve"> father</w:t>
      </w:r>
      <w:r w:rsidR="00884909" w:rsidRPr="001F1FEF">
        <w:rPr>
          <w:lang w:bidi="he-IL"/>
        </w:rPr>
        <w:t>,</w:t>
      </w:r>
      <w:r w:rsidR="00E0496A" w:rsidRPr="001F1FEF">
        <w:rPr>
          <w:rStyle w:val="FootnoteReference"/>
          <w:lang w:bidi="he-IL"/>
        </w:rPr>
        <w:footnoteReference w:id="7"/>
      </w:r>
      <w:r w:rsidR="00D831F0" w:rsidRPr="001F1FEF">
        <w:rPr>
          <w:lang w:bidi="he-IL"/>
        </w:rPr>
        <w:t xml:space="preserve"> </w:t>
      </w:r>
      <w:r w:rsidR="00D831F0" w:rsidRPr="001F1FEF">
        <w:rPr>
          <w:b/>
          <w:bCs/>
          <w:lang w:bidi="he-IL"/>
        </w:rPr>
        <w:t xml:space="preserve">so </w:t>
      </w:r>
      <w:r w:rsidR="00D831F0" w:rsidRPr="001F1FEF">
        <w:rPr>
          <w:lang w:bidi="he-IL"/>
        </w:rPr>
        <w:t xml:space="preserve">therefore the buyer </w:t>
      </w:r>
      <w:r w:rsidR="00D831F0" w:rsidRPr="001F1FEF">
        <w:rPr>
          <w:b/>
          <w:bCs/>
          <w:lang w:bidi="he-IL"/>
        </w:rPr>
        <w:t xml:space="preserve">is believed </w:t>
      </w:r>
      <w:r w:rsidR="00D831F0" w:rsidRPr="001F1FEF">
        <w:rPr>
          <w:lang w:bidi="he-IL"/>
        </w:rPr>
        <w:t xml:space="preserve">that he purchased it from the father, since he has </w:t>
      </w:r>
      <w:r w:rsidR="00D831F0" w:rsidRPr="001F1FEF">
        <w:rPr>
          <w:b/>
          <w:bCs/>
          <w:lang w:bidi="he-IL"/>
        </w:rPr>
        <w:t xml:space="preserve">a </w:t>
      </w:r>
      <w:r w:rsidR="00D831F0" w:rsidRPr="001F1FEF">
        <w:rPr>
          <w:rFonts w:hint="cs"/>
          <w:b/>
          <w:bCs/>
          <w:rtl/>
          <w:lang w:bidi="he-IL"/>
        </w:rPr>
        <w:t>מגו</w:t>
      </w:r>
      <w:r w:rsidR="00D831F0" w:rsidRPr="001F1FEF">
        <w:rPr>
          <w:b/>
          <w:bCs/>
          <w:lang w:bidi="he-IL"/>
        </w:rPr>
        <w:t xml:space="preserve"> for he could have claimed it never belonged to your father</w:t>
      </w:r>
      <w:r w:rsidRPr="001F1FEF">
        <w:rPr>
          <w:b/>
          <w:bCs/>
          <w:lang w:bidi="he-IL"/>
        </w:rPr>
        <w:t>.</w:t>
      </w:r>
      <w:r w:rsidR="00E0496A" w:rsidRPr="001F1FEF">
        <w:rPr>
          <w:rStyle w:val="FootnoteReference"/>
          <w:b/>
          <w:bCs/>
          <w:lang w:bidi="he-IL"/>
        </w:rPr>
        <w:footnoteReference w:id="8"/>
      </w:r>
      <w:r w:rsidR="00D831F0" w:rsidRPr="001F1FEF">
        <w:rPr>
          <w:lang w:bidi="he-IL"/>
        </w:rPr>
        <w:t xml:space="preserve"> </w:t>
      </w:r>
      <w:r w:rsidR="00721E9E" w:rsidRPr="001F1FEF">
        <w:rPr>
          <w:lang w:bidi="he-IL"/>
        </w:rPr>
        <w:t xml:space="preserve">  </w:t>
      </w:r>
    </w:p>
    <w:p w:rsidR="003E2389" w:rsidRPr="001F1FEF" w:rsidRDefault="003E2389" w:rsidP="00134AE2">
      <w:pPr>
        <w:spacing w:line="276" w:lineRule="auto"/>
        <w:jc w:val="both"/>
        <w:rPr>
          <w:sz w:val="22"/>
          <w:szCs w:val="22"/>
          <w:lang w:bidi="he-IL"/>
        </w:rPr>
      </w:pPr>
    </w:p>
    <w:p w:rsidR="003E2389" w:rsidRPr="003459B9" w:rsidRDefault="003E2389" w:rsidP="00134AE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459B9">
        <w:rPr>
          <w:rFonts w:ascii="Copperplate Gothic Bold" w:hAnsi="Copperplate Gothic Bold"/>
          <w:u w:val="double"/>
          <w:lang w:bidi="he-IL"/>
        </w:rPr>
        <w:t>Summary</w:t>
      </w:r>
    </w:p>
    <w:p w:rsidR="003E2389" w:rsidRDefault="003E2389" w:rsidP="00134AE2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difference between </w:t>
      </w:r>
      <w:r>
        <w:rPr>
          <w:rFonts w:hint="cs"/>
          <w:rtl/>
          <w:lang w:bidi="he-IL"/>
        </w:rPr>
        <w:t>שור שחוט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אין שור שחוט</w:t>
      </w:r>
      <w:r>
        <w:rPr>
          <w:lang w:bidi="he-IL"/>
        </w:rPr>
        <w:t xml:space="preserve"> is if there is a claim or not.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difference is whether the </w:t>
      </w:r>
      <w:r w:rsidR="00E609BC">
        <w:rPr>
          <w:lang w:bidi="he-IL"/>
        </w:rPr>
        <w:t xml:space="preserve">counter claim to the </w:t>
      </w:r>
      <w:r w:rsidR="00E609BC">
        <w:rPr>
          <w:rFonts w:hint="cs"/>
          <w:rtl/>
          <w:lang w:bidi="he-IL"/>
        </w:rPr>
        <w:t>מיגו</w:t>
      </w:r>
      <w:r w:rsidR="00E609BC">
        <w:rPr>
          <w:lang w:bidi="he-IL"/>
        </w:rPr>
        <w:t xml:space="preserve"> </w:t>
      </w:r>
      <w:r>
        <w:rPr>
          <w:lang w:bidi="he-IL"/>
        </w:rPr>
        <w:t xml:space="preserve">is (basically) substantiated (as by </w:t>
      </w:r>
      <w:r>
        <w:rPr>
          <w:rFonts w:hint="cs"/>
          <w:rtl/>
          <w:lang w:bidi="he-IL"/>
        </w:rPr>
        <w:t>טענת בתולים</w:t>
      </w:r>
      <w:r>
        <w:rPr>
          <w:lang w:bidi="he-IL"/>
        </w:rPr>
        <w:t>) or</w:t>
      </w:r>
      <w:r w:rsidR="00470904">
        <w:rPr>
          <w:lang w:bidi="he-IL"/>
        </w:rPr>
        <w:t xml:space="preserve"> whether</w:t>
      </w:r>
      <w:r>
        <w:rPr>
          <w:lang w:bidi="he-IL"/>
        </w:rPr>
        <w:t xml:space="preserve"> it remains unsubstantiated (as by </w:t>
      </w:r>
      <w:r>
        <w:rPr>
          <w:rFonts w:hint="cs"/>
          <w:rtl/>
          <w:lang w:bidi="he-IL"/>
        </w:rPr>
        <w:t>שדה זו</w:t>
      </w:r>
      <w:r>
        <w:rPr>
          <w:lang w:bidi="he-IL"/>
        </w:rPr>
        <w:t>).</w:t>
      </w:r>
    </w:p>
    <w:p w:rsidR="00470904" w:rsidRPr="001F1FEF" w:rsidRDefault="00470904" w:rsidP="00134AE2">
      <w:pPr>
        <w:spacing w:line="276" w:lineRule="auto"/>
        <w:jc w:val="both"/>
        <w:rPr>
          <w:sz w:val="22"/>
          <w:szCs w:val="22"/>
          <w:lang w:bidi="he-IL"/>
        </w:rPr>
      </w:pPr>
    </w:p>
    <w:p w:rsidR="00470904" w:rsidRPr="003459B9" w:rsidRDefault="00470904" w:rsidP="00134AE2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459B9">
        <w:rPr>
          <w:rFonts w:ascii="Copperplate Gothic Bold" w:hAnsi="Copperplate Gothic Bold"/>
          <w:u w:val="double"/>
          <w:lang w:bidi="he-IL"/>
        </w:rPr>
        <w:t>Thinking it over</w:t>
      </w:r>
    </w:p>
    <w:p w:rsidR="00470904" w:rsidRDefault="00A36A4E" w:rsidP="003459B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470904">
        <w:rPr>
          <w:lang w:bidi="he-IL"/>
        </w:rPr>
        <w:t xml:space="preserve">According to </w:t>
      </w:r>
      <w:r w:rsidR="00470904">
        <w:rPr>
          <w:rFonts w:hint="cs"/>
          <w:rtl/>
          <w:lang w:bidi="he-IL"/>
        </w:rPr>
        <w:t>תוספות</w:t>
      </w:r>
      <w:r w:rsidR="00470904">
        <w:rPr>
          <w:lang w:bidi="he-IL"/>
        </w:rPr>
        <w:t>,</w:t>
      </w:r>
      <w:r w:rsidR="003459B9">
        <w:rPr>
          <w:rStyle w:val="FootnoteReference"/>
          <w:lang w:bidi="he-IL"/>
        </w:rPr>
        <w:footnoteReference w:id="9"/>
      </w:r>
      <w:r w:rsidR="00470904">
        <w:rPr>
          <w:lang w:bidi="he-IL"/>
        </w:rPr>
        <w:t xml:space="preserve"> is the claim of the son (merely) that it once belonged to my father; or does he additionally</w:t>
      </w:r>
      <w:r w:rsidR="004462A4" w:rsidRPr="004462A4">
        <w:rPr>
          <w:lang w:bidi="he-IL"/>
        </w:rPr>
        <w:t xml:space="preserve"> </w:t>
      </w:r>
      <w:r w:rsidR="004462A4">
        <w:rPr>
          <w:lang w:bidi="he-IL"/>
        </w:rPr>
        <w:t>claim</w:t>
      </w:r>
      <w:r w:rsidR="00470904">
        <w:rPr>
          <w:lang w:bidi="he-IL"/>
        </w:rPr>
        <w:t xml:space="preserve"> that I know he never sold it to you?</w:t>
      </w:r>
    </w:p>
    <w:p w:rsidR="004462A4" w:rsidRPr="001F1FEF" w:rsidRDefault="004462A4" w:rsidP="00134AE2">
      <w:pPr>
        <w:spacing w:line="276" w:lineRule="auto"/>
        <w:jc w:val="both"/>
        <w:rPr>
          <w:sz w:val="24"/>
          <w:szCs w:val="24"/>
          <w:lang w:bidi="he-IL"/>
        </w:rPr>
      </w:pPr>
    </w:p>
    <w:p w:rsidR="004462A4" w:rsidRPr="00470904" w:rsidRDefault="00A36A4E" w:rsidP="00434CD3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4462A4">
        <w:rPr>
          <w:lang w:bidi="he-IL"/>
        </w:rPr>
        <w:t xml:space="preserve">Is the </w:t>
      </w:r>
      <w:r w:rsidR="004462A4">
        <w:rPr>
          <w:rFonts w:hint="cs"/>
          <w:rtl/>
          <w:lang w:bidi="he-IL"/>
        </w:rPr>
        <w:t>אין שור שחוט</w:t>
      </w:r>
      <w:r w:rsidR="004462A4">
        <w:rPr>
          <w:lang w:bidi="he-IL"/>
        </w:rPr>
        <w:t xml:space="preserve"> by </w:t>
      </w:r>
      <w:r w:rsidR="004462A4">
        <w:rPr>
          <w:rFonts w:hint="cs"/>
          <w:rtl/>
          <w:lang w:bidi="he-IL"/>
        </w:rPr>
        <w:t>שדה זו</w:t>
      </w:r>
      <w:r w:rsidR="004462A4">
        <w:rPr>
          <w:lang w:bidi="he-IL"/>
        </w:rPr>
        <w:t xml:space="preserve">, caused by the weakness of the claim </w:t>
      </w:r>
      <w:r w:rsidR="00AB5145">
        <w:rPr>
          <w:lang w:bidi="he-IL"/>
        </w:rPr>
        <w:t>(</w:t>
      </w:r>
      <w:r w:rsidR="00AB5145">
        <w:rPr>
          <w:rFonts w:hint="cs"/>
          <w:rtl/>
          <w:lang w:bidi="he-IL"/>
        </w:rPr>
        <w:t>שדה זו</w:t>
      </w:r>
      <w:r w:rsidR="00434CD3">
        <w:rPr>
          <w:lang w:bidi="he-IL"/>
        </w:rPr>
        <w:t xml:space="preserve"> </w:t>
      </w:r>
      <w:r w:rsidR="00AB5145">
        <w:rPr>
          <w:rFonts w:hint="cs"/>
          <w:rtl/>
          <w:lang w:bidi="he-IL"/>
        </w:rPr>
        <w:t>של אבי</w:t>
      </w:r>
      <w:r w:rsidR="00AB5145">
        <w:rPr>
          <w:lang w:bidi="he-IL"/>
        </w:rPr>
        <w:t>)</w:t>
      </w:r>
      <w:r w:rsidR="004462A4">
        <w:rPr>
          <w:lang w:bidi="he-IL"/>
        </w:rPr>
        <w:t xml:space="preserve">; or by the strength of the </w:t>
      </w:r>
      <w:r w:rsidR="004462A4">
        <w:rPr>
          <w:rFonts w:hint="cs"/>
          <w:rtl/>
          <w:lang w:bidi="he-IL"/>
        </w:rPr>
        <w:t>מגו</w:t>
      </w:r>
      <w:r w:rsidR="004462A4">
        <w:rPr>
          <w:lang w:bidi="he-IL"/>
        </w:rPr>
        <w:t xml:space="preserve"> (that </w:t>
      </w:r>
      <w:r w:rsidR="004462A4">
        <w:rPr>
          <w:rFonts w:hint="cs"/>
          <w:rtl/>
          <w:lang w:bidi="he-IL"/>
        </w:rPr>
        <w:t>לא היתה של אביך מעולם</w:t>
      </w:r>
      <w:r w:rsidR="004462A4">
        <w:rPr>
          <w:lang w:bidi="he-IL"/>
        </w:rPr>
        <w:t>)?</w:t>
      </w:r>
      <w:r w:rsidR="00596D33">
        <w:rPr>
          <w:rStyle w:val="FootnoteReference"/>
          <w:lang w:bidi="he-IL"/>
        </w:rPr>
        <w:footnoteReference w:id="10"/>
      </w:r>
    </w:p>
    <w:sectPr w:rsidR="004462A4" w:rsidRPr="00470904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BB9" w:rsidRDefault="00860BB9">
      <w:r>
        <w:separator/>
      </w:r>
    </w:p>
  </w:endnote>
  <w:endnote w:type="continuationSeparator" w:id="0">
    <w:p w:rsidR="00860BB9" w:rsidRDefault="0086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9BC" w:rsidRDefault="00E609BC" w:rsidP="004A56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09BC" w:rsidRDefault="00E609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AE2" w:rsidRDefault="00134AE2">
    <w:pPr>
      <w:pStyle w:val="Footer"/>
      <w:jc w:val="center"/>
      <w:rPr>
        <w:noProof/>
        <w:sz w:val="16"/>
        <w:szCs w:val="16"/>
      </w:rPr>
    </w:pPr>
    <w:r w:rsidRPr="00134AE2">
      <w:rPr>
        <w:sz w:val="20"/>
        <w:szCs w:val="20"/>
      </w:rPr>
      <w:fldChar w:fldCharType="begin"/>
    </w:r>
    <w:r w:rsidRPr="00134AE2">
      <w:rPr>
        <w:sz w:val="20"/>
        <w:szCs w:val="20"/>
      </w:rPr>
      <w:instrText xml:space="preserve"> PAGE   \* MERGEFORMAT </w:instrText>
    </w:r>
    <w:r w:rsidRPr="00134AE2">
      <w:rPr>
        <w:sz w:val="20"/>
        <w:szCs w:val="20"/>
      </w:rPr>
      <w:fldChar w:fldCharType="separate"/>
    </w:r>
    <w:r w:rsidR="008A47F5">
      <w:rPr>
        <w:noProof/>
        <w:sz w:val="20"/>
        <w:szCs w:val="20"/>
      </w:rPr>
      <w:t>2</w:t>
    </w:r>
    <w:r w:rsidRPr="00134AE2">
      <w:rPr>
        <w:noProof/>
        <w:sz w:val="20"/>
        <w:szCs w:val="20"/>
      </w:rPr>
      <w:fldChar w:fldCharType="end"/>
    </w:r>
  </w:p>
  <w:p w:rsidR="00134AE2" w:rsidRPr="00134AE2" w:rsidRDefault="00134AE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E609BC" w:rsidRPr="00523A2B" w:rsidRDefault="00E609BC" w:rsidP="00523A2B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BB9" w:rsidRDefault="00860BB9">
      <w:r>
        <w:separator/>
      </w:r>
    </w:p>
  </w:footnote>
  <w:footnote w:type="continuationSeparator" w:id="0">
    <w:p w:rsidR="00860BB9" w:rsidRDefault="00860BB9">
      <w:r>
        <w:continuationSeparator/>
      </w:r>
    </w:p>
  </w:footnote>
  <w:footnote w:id="1">
    <w:p w:rsidR="00134AE2" w:rsidRDefault="00134AE2" w:rsidP="006C089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See, </w:t>
      </w:r>
      <w:r>
        <w:rPr>
          <w:rFonts w:hint="cs"/>
          <w:rtl/>
          <w:lang w:bidi="he-IL"/>
        </w:rPr>
        <w:t>רש"י ד"ה הכא</w:t>
      </w:r>
      <w:r>
        <w:rPr>
          <w:lang w:bidi="he-IL"/>
        </w:rPr>
        <w:t>, for a more complete rendition of s</w:t>
      </w:r>
      <w:r>
        <w:rPr>
          <w:rFonts w:hint="cs"/>
          <w:rtl/>
          <w:lang w:bidi="he-IL"/>
        </w:rPr>
        <w:t>רש"י'</w:t>
      </w:r>
      <w:r>
        <w:rPr>
          <w:lang w:bidi="he-IL"/>
        </w:rPr>
        <w:t xml:space="preserve"> view.</w:t>
      </w:r>
    </w:p>
  </w:footnote>
  <w:footnote w:id="2">
    <w:p w:rsidR="00E609BC" w:rsidRDefault="00E609BC" w:rsidP="006C08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If there is a need for a response </w:t>
      </w:r>
      <w:r>
        <w:rPr>
          <w:rFonts w:hint="cs"/>
          <w:rtl/>
          <w:lang w:bidi="he-IL"/>
        </w:rPr>
        <w:t>(שור שחוט)</w:t>
      </w:r>
      <w:r>
        <w:t xml:space="preserve">, then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 (certain type of)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insufficient to substantiate her claim; however when there is no need for a response </w:t>
      </w:r>
      <w:r>
        <w:rPr>
          <w:rFonts w:hint="cs"/>
          <w:rtl/>
          <w:lang w:bidi="he-IL"/>
        </w:rPr>
        <w:t>(אין שור שחוט)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effective.</w:t>
      </w:r>
      <w:r>
        <w:t xml:space="preserve"> </w:t>
      </w:r>
    </w:p>
  </w:footnote>
  <w:footnote w:id="3">
    <w:p w:rsidR="00884909" w:rsidRPr="00884909" w:rsidRDefault="00884909" w:rsidP="006C089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טו,ב ד"ה ומודה</w:t>
      </w:r>
      <w:r>
        <w:rPr>
          <w:lang w:bidi="he-IL"/>
        </w:rPr>
        <w:t xml:space="preserve"> [see ‘Thinking it over’ # 1].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 meaning of </w:t>
      </w:r>
      <w:r>
        <w:rPr>
          <w:rFonts w:hint="cs"/>
          <w:rtl/>
          <w:lang w:bidi="he-IL"/>
        </w:rPr>
        <w:t>שור שחוט וכו'</w:t>
      </w:r>
      <w:r>
        <w:rPr>
          <w:lang w:bidi="he-IL"/>
        </w:rPr>
        <w:t xml:space="preserve"> cannot be that a response is required; for in all cases a response is required, since it is </w:t>
      </w:r>
      <w:r>
        <w:rPr>
          <w:rFonts w:hint="cs"/>
          <w:rtl/>
          <w:lang w:bidi="he-IL"/>
        </w:rPr>
        <w:t>הלה תובעו</w:t>
      </w:r>
      <w:r>
        <w:rPr>
          <w:lang w:bidi="he-IL"/>
        </w:rPr>
        <w:t>.</w:t>
      </w:r>
    </w:p>
  </w:footnote>
  <w:footnote w:id="4">
    <w:p w:rsidR="00884909" w:rsidRPr="00884909" w:rsidRDefault="00884909" w:rsidP="006C0892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husband is always believed if he claims that his wife has no </w:t>
      </w:r>
      <w:r>
        <w:rPr>
          <w:rFonts w:hint="cs"/>
          <w:rtl/>
          <w:lang w:bidi="he-IL"/>
        </w:rPr>
        <w:t>דם בתולים</w:t>
      </w:r>
      <w:r>
        <w:rPr>
          <w:lang w:bidi="he-IL"/>
        </w:rPr>
        <w:t xml:space="preserve"> (see </w:t>
      </w:r>
      <w:r>
        <w:rPr>
          <w:rFonts w:hint="cs"/>
          <w:rtl/>
          <w:lang w:bidi="he-IL"/>
        </w:rPr>
        <w:t>כתובות י,א</w:t>
      </w:r>
      <w:r>
        <w:rPr>
          <w:lang w:bidi="he-IL"/>
        </w:rPr>
        <w:t xml:space="preserve">) [in addition, that </w:t>
      </w:r>
      <w:r>
        <w:t xml:space="preserve">presently she is certainly not a </w:t>
      </w:r>
      <w:r>
        <w:rPr>
          <w:rFonts w:hint="cs"/>
          <w:rtl/>
          <w:lang w:bidi="he-IL"/>
        </w:rPr>
        <w:t>בתולה</w:t>
      </w:r>
      <w:r>
        <w:t xml:space="preserve">]. Alternately it is a case where there was no </w:t>
      </w:r>
      <w:r>
        <w:rPr>
          <w:rFonts w:hint="cs"/>
          <w:rtl/>
          <w:lang w:bidi="he-IL"/>
        </w:rPr>
        <w:t>דם</w:t>
      </w:r>
      <w:r>
        <w:rPr>
          <w:lang w:bidi="he-IL"/>
        </w:rPr>
        <w:t xml:space="preserve"> on the</w:t>
      </w:r>
      <w:r w:rsidR="00434CD3">
        <w:rPr>
          <w:lang w:bidi="he-IL"/>
        </w:rPr>
        <w:t xml:space="preserve"> (cloth)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</w:p>
  </w:footnote>
  <w:footnote w:id="5">
    <w:p w:rsidR="00E609BC" w:rsidRDefault="00E609BC" w:rsidP="006C08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not necessary for her to admit that </w:t>
      </w:r>
      <w:r>
        <w:rPr>
          <w:rFonts w:hint="cs"/>
          <w:rtl/>
          <w:lang w:bidi="he-IL"/>
        </w:rPr>
        <w:t>משארסתני נאנסתי</w:t>
      </w:r>
      <w:r>
        <w:rPr>
          <w:lang w:bidi="he-IL"/>
        </w:rPr>
        <w:t xml:space="preserve">, in order to establish that she was not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at the </w:t>
      </w:r>
      <w:r>
        <w:rPr>
          <w:rFonts w:hint="cs"/>
          <w:rtl/>
          <w:lang w:bidi="he-IL"/>
        </w:rPr>
        <w:t>נישואין</w:t>
      </w:r>
      <w:r>
        <w:rPr>
          <w:lang w:bidi="he-IL"/>
        </w:rPr>
        <w:t xml:space="preserve">. See previous footnote # 4. Therefore it is considered a </w:t>
      </w:r>
      <w:r>
        <w:rPr>
          <w:rFonts w:hint="cs"/>
          <w:rtl/>
          <w:lang w:bidi="he-IL"/>
        </w:rPr>
        <w:t>שור שחוט</w:t>
      </w:r>
      <w:r>
        <w:rPr>
          <w:lang w:bidi="he-IL"/>
        </w:rPr>
        <w:t>.</w:t>
      </w:r>
    </w:p>
  </w:footnote>
  <w:footnote w:id="6">
    <w:p w:rsidR="00E609BC" w:rsidRDefault="00E609BC" w:rsidP="006C08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lack of </w:t>
      </w:r>
      <w:r>
        <w:rPr>
          <w:rFonts w:hint="cs"/>
          <w:rtl/>
          <w:lang w:bidi="he-IL"/>
        </w:rPr>
        <w:t>דם בתולים</w:t>
      </w:r>
      <w:r>
        <w:rPr>
          <w:lang w:bidi="he-IL"/>
        </w:rPr>
        <w:t xml:space="preserve"> disqualifies the woman from receiving the full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; unless she can prove that she was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 (or a </w:t>
      </w:r>
      <w:r>
        <w:rPr>
          <w:rFonts w:hint="cs"/>
          <w:rtl/>
          <w:lang w:bidi="he-IL"/>
        </w:rPr>
        <w:t>מוכת עץ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) at the time of </w:t>
      </w:r>
      <w:r>
        <w:rPr>
          <w:rFonts w:hint="cs"/>
          <w:rtl/>
          <w:lang w:bidi="he-IL"/>
        </w:rPr>
        <w:t>אירוסין</w:t>
      </w:r>
      <w:r>
        <w:rPr>
          <w:lang w:bidi="he-IL"/>
        </w:rPr>
        <w:t xml:space="preserve">. There is no real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here; the claim of </w:t>
      </w:r>
      <w:r>
        <w:rPr>
          <w:rFonts w:hint="cs"/>
          <w:rtl/>
          <w:lang w:bidi="he-IL"/>
        </w:rPr>
        <w:t>מוכת עץ אני תחתיך</w:t>
      </w:r>
      <w:r>
        <w:rPr>
          <w:lang w:bidi="he-IL"/>
        </w:rPr>
        <w:t xml:space="preserve">, cannot effectively challenge the fact the she is not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. </w:t>
      </w:r>
    </w:p>
  </w:footnote>
  <w:footnote w:id="7">
    <w:p w:rsidR="00E609BC" w:rsidRDefault="00E609BC" w:rsidP="006C08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claim of the son, does not establish it as fact that it once belonged to his father. Therefore it is considered as </w:t>
      </w:r>
      <w:r>
        <w:rPr>
          <w:rFonts w:hint="cs"/>
          <w:rtl/>
          <w:lang w:bidi="he-IL"/>
        </w:rPr>
        <w:t>אין שור שחוט</w:t>
      </w:r>
      <w:r>
        <w:rPr>
          <w:lang w:bidi="he-IL"/>
        </w:rPr>
        <w:t>. See ‘Thinking it over’ # 2.</w:t>
      </w:r>
    </w:p>
  </w:footnote>
  <w:footnote w:id="8">
    <w:p w:rsidR="00E609BC" w:rsidRDefault="00E609BC" w:rsidP="006C089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buyer would have claimed </w:t>
      </w:r>
      <w:r>
        <w:rPr>
          <w:rFonts w:hint="cs"/>
          <w:rtl/>
          <w:lang w:bidi="he-IL"/>
        </w:rPr>
        <w:t>לא היה של אביך מעולם</w:t>
      </w:r>
      <w:r>
        <w:rPr>
          <w:lang w:bidi="he-IL"/>
        </w:rPr>
        <w:t xml:space="preserve"> he would certainly be believed, since the son has no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, that it once belonged to his father; and the buyer is currently occupying the field (albeit without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).</w:t>
      </w:r>
    </w:p>
  </w:footnote>
  <w:footnote w:id="9">
    <w:p w:rsidR="003459B9" w:rsidRDefault="003459B9" w:rsidP="006C08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0">
    <w:p w:rsidR="00E609BC" w:rsidRDefault="00E609BC" w:rsidP="006C089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9BC" w:rsidRPr="00523A2B" w:rsidRDefault="00E609BC" w:rsidP="00523A2B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טז,א תוס' ד"ה התם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A2B"/>
    <w:rsid w:val="000878F4"/>
    <w:rsid w:val="00134AE2"/>
    <w:rsid w:val="00184D2E"/>
    <w:rsid w:val="001F1FEF"/>
    <w:rsid w:val="0020216B"/>
    <w:rsid w:val="00210A1E"/>
    <w:rsid w:val="003459B9"/>
    <w:rsid w:val="003D6B88"/>
    <w:rsid w:val="003E2389"/>
    <w:rsid w:val="003E46DC"/>
    <w:rsid w:val="003F6705"/>
    <w:rsid w:val="00434CD3"/>
    <w:rsid w:val="004462A4"/>
    <w:rsid w:val="00470904"/>
    <w:rsid w:val="004A5672"/>
    <w:rsid w:val="00507AF5"/>
    <w:rsid w:val="00523A2B"/>
    <w:rsid w:val="0055301F"/>
    <w:rsid w:val="00596D33"/>
    <w:rsid w:val="006755A5"/>
    <w:rsid w:val="006C0892"/>
    <w:rsid w:val="00721E9E"/>
    <w:rsid w:val="007552E7"/>
    <w:rsid w:val="00860BB9"/>
    <w:rsid w:val="00884909"/>
    <w:rsid w:val="0089054C"/>
    <w:rsid w:val="008A47F5"/>
    <w:rsid w:val="00A36A4E"/>
    <w:rsid w:val="00AB5145"/>
    <w:rsid w:val="00D80DE2"/>
    <w:rsid w:val="00D831F0"/>
    <w:rsid w:val="00E0496A"/>
    <w:rsid w:val="00E145C0"/>
    <w:rsid w:val="00E2592E"/>
    <w:rsid w:val="00E25BD0"/>
    <w:rsid w:val="00E609BC"/>
    <w:rsid w:val="00FD3580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C276F0-EACE-46EF-B1D2-CD91061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23A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23A2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21E9E"/>
    <w:rPr>
      <w:sz w:val="20"/>
      <w:szCs w:val="20"/>
    </w:rPr>
  </w:style>
  <w:style w:type="character" w:styleId="FootnoteReference">
    <w:name w:val="footnote reference"/>
    <w:semiHidden/>
    <w:rsid w:val="00721E9E"/>
    <w:rPr>
      <w:vertAlign w:val="superscript"/>
    </w:rPr>
  </w:style>
  <w:style w:type="character" w:styleId="PageNumber">
    <w:name w:val="page number"/>
    <w:basedOn w:val="DefaultParagraphFont"/>
    <w:rsid w:val="00D831F0"/>
  </w:style>
  <w:style w:type="character" w:customStyle="1" w:styleId="FooterChar">
    <w:name w:val="Footer Char"/>
    <w:link w:val="Footer"/>
    <w:uiPriority w:val="99"/>
    <w:rsid w:val="00134AE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התם שור שחוט לפניך – There, an ox is slaughtered before you</vt:lpstr>
    </vt:vector>
  </TitlesOfParts>
  <Company> 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התם שור שחוט לפניך – There, an ox is slaughtered before you</dc:title>
  <dc:subject/>
  <dc:creator> 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