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182" w:rsidRDefault="00C849DF" w:rsidP="00C25182">
      <w:pPr>
        <w:widowControl w:val="0"/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כיון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דרוב נשים בתולות נישאות כי ליכא עדים מאי הוי</w:t>
      </w:r>
      <w:r w:rsidR="00C25182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C25182">
        <w:rPr>
          <w:b/>
          <w:bCs/>
          <w:sz w:val="32"/>
          <w:szCs w:val="32"/>
          <w:rtl/>
          <w:lang w:bidi="he-IL"/>
        </w:rPr>
        <w:t>–</w:t>
      </w:r>
      <w:r w:rsidR="00C25182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C25182">
        <w:rPr>
          <w:b/>
          <w:bCs/>
          <w:sz w:val="32"/>
          <w:szCs w:val="32"/>
          <w:lang w:bidi="he-IL"/>
        </w:rPr>
        <w:t>Since most</w:t>
      </w:r>
      <w:r w:rsidR="002B0C3E">
        <w:rPr>
          <w:b/>
          <w:bCs/>
          <w:sz w:val="32"/>
          <w:szCs w:val="32"/>
          <w:lang w:bidi="he-IL"/>
        </w:rPr>
        <w:t xml:space="preserve">        </w:t>
      </w:r>
    </w:p>
    <w:p w:rsidR="00D80DE2" w:rsidRDefault="00C849DF" w:rsidP="00C25182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wom</w:t>
      </w:r>
      <w:r w:rsidR="00C25182">
        <w:rPr>
          <w:b/>
          <w:bCs/>
          <w:sz w:val="32"/>
          <w:szCs w:val="32"/>
          <w:lang w:bidi="he-IL"/>
        </w:rPr>
        <w:t>e</w:t>
      </w:r>
      <w:r>
        <w:rPr>
          <w:b/>
          <w:bCs/>
          <w:sz w:val="32"/>
          <w:szCs w:val="32"/>
          <w:lang w:bidi="he-IL"/>
        </w:rPr>
        <w:t xml:space="preserve">n get married as </w:t>
      </w:r>
      <w:r>
        <w:rPr>
          <w:rFonts w:hint="cs"/>
          <w:b/>
          <w:bCs/>
          <w:sz w:val="32"/>
          <w:szCs w:val="32"/>
          <w:rtl/>
          <w:lang w:bidi="he-IL"/>
        </w:rPr>
        <w:t>בתולות</w:t>
      </w:r>
      <w:r>
        <w:rPr>
          <w:b/>
          <w:bCs/>
          <w:sz w:val="32"/>
          <w:szCs w:val="32"/>
          <w:lang w:bidi="he-IL"/>
        </w:rPr>
        <w:t xml:space="preserve">, what of it that there are no </w:t>
      </w:r>
      <w:r>
        <w:rPr>
          <w:rFonts w:hint="cs"/>
          <w:b/>
          <w:bCs/>
          <w:sz w:val="32"/>
          <w:szCs w:val="32"/>
          <w:rtl/>
          <w:lang w:bidi="he-IL"/>
        </w:rPr>
        <w:t>עדים</w:t>
      </w:r>
      <w:r>
        <w:rPr>
          <w:b/>
          <w:bCs/>
          <w:sz w:val="32"/>
          <w:szCs w:val="32"/>
          <w:lang w:bidi="he-IL"/>
        </w:rPr>
        <w:t>!</w:t>
      </w:r>
    </w:p>
    <w:p w:rsidR="00C849DF" w:rsidRDefault="00C849DF" w:rsidP="00C25182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C849DF" w:rsidRPr="002B0C3E" w:rsidRDefault="00C849DF" w:rsidP="00C25182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2B0C3E">
        <w:rPr>
          <w:rFonts w:ascii="Copperplate Gothic Bold" w:hAnsi="Copperplate Gothic Bold"/>
          <w:u w:val="double"/>
          <w:lang w:bidi="he-IL"/>
        </w:rPr>
        <w:t>Overview</w:t>
      </w:r>
    </w:p>
    <w:p w:rsidR="000673CD" w:rsidRPr="000673CD" w:rsidRDefault="000673CD" w:rsidP="002B0C3E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There is a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between </w:t>
      </w:r>
      <w:r>
        <w:rPr>
          <w:rFonts w:hint="cs"/>
          <w:rtl/>
          <w:lang w:bidi="he-IL"/>
        </w:rPr>
        <w:t>רב ושמואל</w:t>
      </w:r>
      <w:r w:rsidR="00EF4EF9">
        <w:rPr>
          <w:rStyle w:val="FootnoteReference"/>
          <w:rtl/>
          <w:lang w:bidi="he-IL"/>
        </w:rPr>
        <w:footnoteReference w:id="1"/>
      </w:r>
      <w:r>
        <w:rPr>
          <w:lang w:bidi="he-IL"/>
        </w:rPr>
        <w:t xml:space="preserve"> whether we </w:t>
      </w:r>
      <w:r w:rsidR="00AC213E">
        <w:rPr>
          <w:lang w:bidi="he-IL"/>
        </w:rPr>
        <w:t xml:space="preserve">can </w:t>
      </w:r>
      <w:r>
        <w:rPr>
          <w:lang w:bidi="he-IL"/>
        </w:rPr>
        <w:t xml:space="preserve">decide monetary rulings on the basis of majority (as is the case in other areas of </w:t>
      </w:r>
      <w:r>
        <w:rPr>
          <w:rFonts w:hint="cs"/>
          <w:rtl/>
          <w:lang w:bidi="he-IL"/>
        </w:rPr>
        <w:t>הלכה</w:t>
      </w:r>
      <w:r>
        <w:rPr>
          <w:lang w:bidi="he-IL"/>
        </w:rPr>
        <w:t>)</w:t>
      </w:r>
      <w:r w:rsidR="002B0C3E">
        <w:rPr>
          <w:lang w:bidi="he-IL"/>
        </w:rPr>
        <w:t>.</w:t>
      </w:r>
      <w:r>
        <w:rPr>
          <w:rStyle w:val="FootnoteReference"/>
          <w:lang w:bidi="he-IL"/>
        </w:rPr>
        <w:footnoteReference w:id="2"/>
      </w:r>
      <w:r>
        <w:rPr>
          <w:lang w:bidi="he-IL"/>
        </w:rPr>
        <w:t xml:space="preserve">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contends that in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we should follow the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, regardless if there are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or not.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qualify this </w:t>
      </w:r>
      <w:r w:rsidR="005C66AB">
        <w:rPr>
          <w:lang w:bidi="he-IL"/>
        </w:rPr>
        <w:t>challenge.</w:t>
      </w:r>
    </w:p>
    <w:p w:rsidR="00C849DF" w:rsidRPr="005C66AB" w:rsidRDefault="005C66AB" w:rsidP="00C25182">
      <w:pPr>
        <w:widowControl w:val="0"/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</w:t>
      </w:r>
    </w:p>
    <w:p w:rsidR="002B0C3E" w:rsidRPr="00033FA9" w:rsidRDefault="00C849DF" w:rsidP="002B0C3E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033FA9">
        <w:rPr>
          <w:rFonts w:cs="David" w:hint="cs"/>
          <w:b/>
          <w:bCs/>
          <w:rtl/>
          <w:lang w:bidi="he-IL"/>
        </w:rPr>
        <w:t>לרב פריך</w:t>
      </w:r>
      <w:r w:rsidR="002B0C3E" w:rsidRPr="00033FA9">
        <w:rPr>
          <w:rFonts w:cs="David" w:hint="cs"/>
          <w:b/>
          <w:bCs/>
          <w:rtl/>
          <w:lang w:bidi="he-IL"/>
        </w:rPr>
        <w:t xml:space="preserve"> דאית ליה הולכין בממון אחר הרוב:</w:t>
      </w:r>
    </w:p>
    <w:p w:rsidR="00C849DF" w:rsidRPr="005C66AB" w:rsidRDefault="005C66AB" w:rsidP="002B0C3E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The contention</w:t>
      </w:r>
      <w:r w:rsidR="00C849DF">
        <w:rPr>
          <w:b/>
          <w:bCs/>
          <w:lang w:bidi="he-IL"/>
        </w:rPr>
        <w:t xml:space="preserve"> </w:t>
      </w:r>
      <w:r w:rsidR="00C849DF">
        <w:rPr>
          <w:lang w:bidi="he-IL"/>
        </w:rPr>
        <w:t xml:space="preserve">of the </w:t>
      </w:r>
      <w:r w:rsidR="00C849DF">
        <w:rPr>
          <w:rFonts w:hint="cs"/>
          <w:rtl/>
          <w:lang w:bidi="he-IL"/>
        </w:rPr>
        <w:t>גמרא</w:t>
      </w:r>
      <w:r w:rsidR="00C849DF">
        <w:rPr>
          <w:lang w:bidi="he-IL"/>
        </w:rPr>
        <w:t xml:space="preserve"> </w:t>
      </w:r>
      <w:r w:rsidR="000673CD">
        <w:rPr>
          <w:lang w:bidi="he-IL"/>
        </w:rPr>
        <w:t xml:space="preserve">(that the woman should collect </w:t>
      </w:r>
      <w:r w:rsidR="000673CD">
        <w:rPr>
          <w:rFonts w:hint="cs"/>
          <w:rtl/>
          <w:lang w:bidi="he-IL"/>
        </w:rPr>
        <w:t>מאתיים</w:t>
      </w:r>
      <w:r w:rsidR="000673CD">
        <w:rPr>
          <w:lang w:bidi="he-IL"/>
        </w:rPr>
        <w:t xml:space="preserve">, on account of this </w:t>
      </w:r>
      <w:r w:rsidR="000673CD">
        <w:rPr>
          <w:rFonts w:hint="cs"/>
          <w:rtl/>
          <w:lang w:bidi="he-IL"/>
        </w:rPr>
        <w:t>רוב</w:t>
      </w:r>
      <w:r w:rsidR="000673CD">
        <w:rPr>
          <w:lang w:bidi="he-IL"/>
        </w:rPr>
        <w:t xml:space="preserve">) </w:t>
      </w:r>
      <w:r w:rsidR="00C849DF">
        <w:rPr>
          <w:lang w:bidi="he-IL"/>
        </w:rPr>
        <w:t xml:space="preserve">is (only) </w:t>
      </w:r>
      <w:r w:rsidR="00C849DF">
        <w:rPr>
          <w:b/>
          <w:bCs/>
          <w:lang w:bidi="he-IL"/>
        </w:rPr>
        <w:t xml:space="preserve">according to </w:t>
      </w:r>
      <w:r w:rsidR="00C849DF">
        <w:rPr>
          <w:rFonts w:hint="cs"/>
          <w:b/>
          <w:bCs/>
          <w:rtl/>
          <w:lang w:bidi="he-IL"/>
        </w:rPr>
        <w:t>רב</w:t>
      </w:r>
      <w:r w:rsidR="00064473">
        <w:rPr>
          <w:b/>
          <w:bCs/>
          <w:lang w:bidi="he-IL"/>
        </w:rPr>
        <w:t>,</w:t>
      </w:r>
      <w:r w:rsidR="00C849DF">
        <w:rPr>
          <w:b/>
          <w:bCs/>
          <w:lang w:bidi="he-IL"/>
        </w:rPr>
        <w:t xml:space="preserve"> for </w:t>
      </w:r>
      <w:r w:rsidR="00C849DF">
        <w:rPr>
          <w:rFonts w:hint="cs"/>
          <w:rtl/>
          <w:lang w:bidi="he-IL"/>
        </w:rPr>
        <w:t>רב</w:t>
      </w:r>
      <w:r w:rsidR="00C849DF">
        <w:rPr>
          <w:lang w:bidi="he-IL"/>
        </w:rPr>
        <w:t xml:space="preserve"> </w:t>
      </w:r>
      <w:r w:rsidR="00C849DF">
        <w:rPr>
          <w:b/>
          <w:bCs/>
          <w:lang w:bidi="he-IL"/>
        </w:rPr>
        <w:t xml:space="preserve">maintains we follow the majority concerning monetary </w:t>
      </w:r>
      <w:r w:rsidR="00C849DF" w:rsidRPr="005C66AB">
        <w:rPr>
          <w:sz w:val="24"/>
          <w:szCs w:val="24"/>
          <w:lang w:bidi="he-IL"/>
        </w:rPr>
        <w:t xml:space="preserve">issues. Therefore since </w:t>
      </w:r>
      <w:r w:rsidR="00C849DF" w:rsidRPr="005C66AB">
        <w:rPr>
          <w:rFonts w:hint="cs"/>
          <w:sz w:val="24"/>
          <w:szCs w:val="24"/>
          <w:rtl/>
          <w:lang w:bidi="he-IL"/>
        </w:rPr>
        <w:t>רוב נשים בתולות נישאות</w:t>
      </w:r>
      <w:r w:rsidR="00C849DF" w:rsidRPr="005C66AB">
        <w:rPr>
          <w:sz w:val="24"/>
          <w:szCs w:val="24"/>
          <w:lang w:bidi="he-IL"/>
        </w:rPr>
        <w:t>, we are to assume that this woman</w:t>
      </w:r>
      <w:r w:rsidR="000673CD" w:rsidRPr="005C66AB">
        <w:rPr>
          <w:sz w:val="24"/>
          <w:szCs w:val="24"/>
          <w:lang w:bidi="he-IL"/>
        </w:rPr>
        <w:t>,</w:t>
      </w:r>
      <w:r w:rsidR="00C849DF" w:rsidRPr="005C66AB">
        <w:rPr>
          <w:sz w:val="24"/>
          <w:szCs w:val="24"/>
          <w:lang w:bidi="he-IL"/>
        </w:rPr>
        <w:t xml:space="preserve"> as well</w:t>
      </w:r>
      <w:r w:rsidR="000673CD" w:rsidRPr="005C66AB">
        <w:rPr>
          <w:sz w:val="24"/>
          <w:szCs w:val="24"/>
          <w:lang w:bidi="he-IL"/>
        </w:rPr>
        <w:t>,</w:t>
      </w:r>
      <w:r w:rsidR="00C849DF" w:rsidRPr="005C66AB">
        <w:rPr>
          <w:sz w:val="24"/>
          <w:szCs w:val="24"/>
          <w:lang w:bidi="he-IL"/>
        </w:rPr>
        <w:t xml:space="preserve"> was a </w:t>
      </w:r>
      <w:r w:rsidR="00C849DF" w:rsidRPr="005C66AB">
        <w:rPr>
          <w:rFonts w:hint="cs"/>
          <w:sz w:val="24"/>
          <w:szCs w:val="24"/>
          <w:rtl/>
          <w:lang w:bidi="he-IL"/>
        </w:rPr>
        <w:t>בתולה</w:t>
      </w:r>
      <w:r w:rsidR="00C849DF" w:rsidRPr="005C66AB">
        <w:rPr>
          <w:sz w:val="24"/>
          <w:szCs w:val="24"/>
          <w:lang w:bidi="he-IL"/>
        </w:rPr>
        <w:t xml:space="preserve"> when she married and she deserves a </w:t>
      </w:r>
      <w:r w:rsidR="00C849DF" w:rsidRPr="005C66AB">
        <w:rPr>
          <w:rFonts w:hint="cs"/>
          <w:sz w:val="24"/>
          <w:szCs w:val="24"/>
          <w:rtl/>
          <w:lang w:bidi="he-IL"/>
        </w:rPr>
        <w:t>כתובה</w:t>
      </w:r>
      <w:r w:rsidR="00C849DF" w:rsidRPr="005C66AB">
        <w:rPr>
          <w:sz w:val="24"/>
          <w:szCs w:val="24"/>
          <w:lang w:bidi="he-IL"/>
        </w:rPr>
        <w:t xml:space="preserve"> of </w:t>
      </w:r>
      <w:r w:rsidR="00C849DF" w:rsidRPr="005C66AB">
        <w:rPr>
          <w:rFonts w:hint="cs"/>
          <w:sz w:val="24"/>
          <w:szCs w:val="24"/>
          <w:rtl/>
          <w:lang w:bidi="he-IL"/>
        </w:rPr>
        <w:t>מאתיים</w:t>
      </w:r>
      <w:r w:rsidR="00C849DF" w:rsidRPr="005C66AB">
        <w:rPr>
          <w:sz w:val="24"/>
          <w:szCs w:val="24"/>
          <w:lang w:bidi="he-IL"/>
        </w:rPr>
        <w:t xml:space="preserve">. According to the other opinion, however, that </w:t>
      </w:r>
      <w:r w:rsidR="00C849DF" w:rsidRPr="005C66AB">
        <w:rPr>
          <w:rFonts w:hint="cs"/>
          <w:sz w:val="24"/>
          <w:szCs w:val="24"/>
          <w:rtl/>
          <w:lang w:bidi="he-IL"/>
        </w:rPr>
        <w:t>אין הולכין בממון אחר הרוב</w:t>
      </w:r>
      <w:r w:rsidR="00C849DF" w:rsidRPr="005C66AB">
        <w:rPr>
          <w:sz w:val="24"/>
          <w:szCs w:val="24"/>
          <w:lang w:bidi="he-IL"/>
        </w:rPr>
        <w:t xml:space="preserve">, then there is no difficulty. The fact that </w:t>
      </w:r>
      <w:r w:rsidR="00C849DF" w:rsidRPr="005C66AB">
        <w:rPr>
          <w:rFonts w:hint="cs"/>
          <w:sz w:val="24"/>
          <w:szCs w:val="24"/>
          <w:rtl/>
          <w:lang w:bidi="he-IL"/>
        </w:rPr>
        <w:t>רוב נשים בתולות נישאות</w:t>
      </w:r>
      <w:r w:rsidR="00C849DF" w:rsidRPr="005C66AB">
        <w:rPr>
          <w:sz w:val="24"/>
          <w:szCs w:val="24"/>
          <w:lang w:bidi="he-IL"/>
        </w:rPr>
        <w:t xml:space="preserve">, is not sufficiently effective to extract the monies from the husband. They maintain that a </w:t>
      </w:r>
      <w:r w:rsidR="00C849DF" w:rsidRPr="005C66AB">
        <w:rPr>
          <w:rFonts w:hint="cs"/>
          <w:sz w:val="24"/>
          <w:szCs w:val="24"/>
          <w:rtl/>
          <w:lang w:bidi="he-IL"/>
        </w:rPr>
        <w:t>רוב</w:t>
      </w:r>
      <w:r w:rsidR="00C849DF" w:rsidRPr="005C66AB">
        <w:rPr>
          <w:sz w:val="24"/>
          <w:szCs w:val="24"/>
          <w:lang w:bidi="he-IL"/>
        </w:rPr>
        <w:t xml:space="preserve"> does not have the power to be </w:t>
      </w:r>
      <w:r w:rsidR="00C849DF" w:rsidRPr="005C66AB">
        <w:rPr>
          <w:rFonts w:hint="cs"/>
          <w:sz w:val="24"/>
          <w:szCs w:val="24"/>
          <w:rtl/>
          <w:lang w:bidi="he-IL"/>
        </w:rPr>
        <w:t>מוציא ממון</w:t>
      </w:r>
      <w:r w:rsidR="00C849DF" w:rsidRPr="005C66AB">
        <w:rPr>
          <w:sz w:val="24"/>
          <w:szCs w:val="24"/>
          <w:lang w:bidi="he-IL"/>
        </w:rPr>
        <w:t>.</w:t>
      </w:r>
      <w:r w:rsidRPr="005C66AB">
        <w:rPr>
          <w:rStyle w:val="FootnoteReference"/>
          <w:sz w:val="24"/>
          <w:szCs w:val="24"/>
          <w:lang w:bidi="he-IL"/>
        </w:rPr>
        <w:footnoteReference w:id="3"/>
      </w:r>
      <w:r w:rsidR="00C849DF" w:rsidRPr="005C66AB">
        <w:rPr>
          <w:b/>
          <w:bCs/>
          <w:sz w:val="24"/>
          <w:szCs w:val="24"/>
          <w:lang w:bidi="he-IL"/>
        </w:rPr>
        <w:t xml:space="preserve"> </w:t>
      </w:r>
    </w:p>
    <w:p w:rsidR="005C66AB" w:rsidRPr="005C66AB" w:rsidRDefault="005C66AB" w:rsidP="00C25182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5C66AB" w:rsidRPr="002B0C3E" w:rsidRDefault="005C66AB" w:rsidP="00C25182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2B0C3E">
        <w:rPr>
          <w:rFonts w:ascii="Copperplate Gothic Bold" w:hAnsi="Copperplate Gothic Bold"/>
          <w:u w:val="double"/>
          <w:lang w:bidi="he-IL"/>
        </w:rPr>
        <w:t>Summary</w:t>
      </w:r>
    </w:p>
    <w:p w:rsidR="005C66AB" w:rsidRDefault="005C66AB" w:rsidP="00C25182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question of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that we should follow the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 is only according to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who maintains </w:t>
      </w:r>
      <w:r>
        <w:rPr>
          <w:rFonts w:hint="cs"/>
          <w:rtl/>
          <w:lang w:bidi="he-IL"/>
        </w:rPr>
        <w:t>הולכין בממון אחר הרוב</w:t>
      </w:r>
      <w:r>
        <w:rPr>
          <w:lang w:bidi="he-IL"/>
        </w:rPr>
        <w:t>.</w:t>
      </w:r>
    </w:p>
    <w:p w:rsidR="005C66AB" w:rsidRPr="005C66AB" w:rsidRDefault="005C66AB" w:rsidP="00C25182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5C66AB" w:rsidRPr="002B0C3E" w:rsidRDefault="005C66AB" w:rsidP="00C25182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2B0C3E">
        <w:rPr>
          <w:rFonts w:ascii="Copperplate Gothic Bold" w:hAnsi="Copperplate Gothic Bold"/>
          <w:u w:val="double"/>
          <w:lang w:bidi="he-IL"/>
        </w:rPr>
        <w:t>Thinking it over</w:t>
      </w:r>
    </w:p>
    <w:p w:rsidR="005C66AB" w:rsidRPr="005C66AB" w:rsidRDefault="00EF4EF9" w:rsidP="00C25182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Seemingly it is possible to differentiate between the case of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(by the ox)</w:t>
      </w:r>
      <w:r>
        <w:rPr>
          <w:rStyle w:val="FootnoteReference"/>
          <w:lang w:bidi="he-IL"/>
        </w:rPr>
        <w:footnoteReference w:id="4"/>
      </w:r>
      <w:r>
        <w:rPr>
          <w:lang w:bidi="he-IL"/>
        </w:rPr>
        <w:t xml:space="preserve"> and our case. There, the seller (the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) cannot claim with certainty that the buyer bought it for meat. Therefore the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 is sufficient to be </w:t>
      </w:r>
      <w:r>
        <w:rPr>
          <w:rFonts w:hint="cs"/>
          <w:rtl/>
          <w:lang w:bidi="he-IL"/>
        </w:rPr>
        <w:t>מוציא ממון</w:t>
      </w:r>
      <w:r>
        <w:rPr>
          <w:lang w:bidi="he-IL"/>
        </w:rPr>
        <w:t xml:space="preserve">. Here however the husband (the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) claims with certainty that she was an </w:t>
      </w:r>
      <w:r>
        <w:rPr>
          <w:rFonts w:hint="cs"/>
          <w:rtl/>
          <w:lang w:bidi="he-IL"/>
        </w:rPr>
        <w:t>אלמנה</w:t>
      </w:r>
      <w:r>
        <w:rPr>
          <w:lang w:bidi="he-IL"/>
        </w:rPr>
        <w:t xml:space="preserve">. Perhaps in such a case even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admits that </w:t>
      </w:r>
      <w:r>
        <w:rPr>
          <w:rFonts w:hint="cs"/>
          <w:rtl/>
          <w:lang w:bidi="he-IL"/>
        </w:rPr>
        <w:t>אין הולכין בממון אחר הרוב</w:t>
      </w:r>
      <w:r>
        <w:rPr>
          <w:lang w:bidi="he-IL"/>
        </w:rPr>
        <w:t xml:space="preserve">. </w:t>
      </w:r>
    </w:p>
    <w:sectPr w:rsidR="005C66AB" w:rsidRPr="005C66AB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475" w:rsidRDefault="009F2475">
      <w:r>
        <w:separator/>
      </w:r>
    </w:p>
  </w:endnote>
  <w:endnote w:type="continuationSeparator" w:id="0">
    <w:p w:rsidR="009F2475" w:rsidRDefault="009F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13E" w:rsidRDefault="00AC213E">
    <w:pPr>
      <w:pStyle w:val="Footer"/>
      <w:rPr>
        <w:rFonts w:hint="cs"/>
        <w:rtl/>
        <w:lang w:bidi="he-IL"/>
      </w:rPr>
    </w:pPr>
  </w:p>
  <w:p w:rsidR="00AC213E" w:rsidRPr="00C849DF" w:rsidRDefault="00AC213E" w:rsidP="00C849DF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475" w:rsidRDefault="009F2475">
      <w:r>
        <w:separator/>
      </w:r>
    </w:p>
  </w:footnote>
  <w:footnote w:type="continuationSeparator" w:id="0">
    <w:p w:rsidR="009F2475" w:rsidRDefault="009F2475">
      <w:r>
        <w:continuationSeparator/>
      </w:r>
    </w:p>
  </w:footnote>
  <w:footnote w:id="1">
    <w:p w:rsidR="00AC213E" w:rsidRDefault="00AC213E" w:rsidP="002B0C3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ב"ק מו,א</w:t>
      </w:r>
      <w:r>
        <w:rPr>
          <w:lang w:bidi="he-IL"/>
        </w:rPr>
        <w:t xml:space="preserve">. The case there entails the sale of an ox that turned out to be a goring ox. The buyer claimed that the ox is useless to him since he bought it for plowing; the seller claimed that the ox was sold for its meat.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maintains that since most oxen are bought for plowing</w:t>
      </w:r>
      <w:r w:rsidR="002B0C3E">
        <w:rPr>
          <w:lang w:bidi="he-IL"/>
        </w:rPr>
        <w:t>,</w:t>
      </w:r>
      <w:r>
        <w:rPr>
          <w:lang w:bidi="he-IL"/>
        </w:rPr>
        <w:t xml:space="preserve"> we follow the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 and the sale is invalid.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 maintains that the sale is valid since </w:t>
      </w:r>
      <w:r>
        <w:rPr>
          <w:rFonts w:hint="cs"/>
          <w:rtl/>
          <w:lang w:bidi="he-IL"/>
        </w:rPr>
        <w:t>אין הולכין בממון אחר הרוב, עיי"ש</w:t>
      </w:r>
      <w:r>
        <w:rPr>
          <w:lang w:bidi="he-IL"/>
        </w:rPr>
        <w:t>. See ‘Thinking it over’.</w:t>
      </w:r>
    </w:p>
  </w:footnote>
  <w:footnote w:id="2">
    <w:p w:rsidR="00AC213E" w:rsidRDefault="00AC213E" w:rsidP="002B0C3E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reason why </w:t>
      </w:r>
      <w:r>
        <w:rPr>
          <w:rFonts w:hint="cs"/>
          <w:rtl/>
          <w:lang w:bidi="he-IL"/>
        </w:rPr>
        <w:t>ממון</w:t>
      </w:r>
      <w:r>
        <w:rPr>
          <w:lang w:bidi="he-IL"/>
        </w:rPr>
        <w:t xml:space="preserve"> may be different is because the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 is opposed by a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>.</w:t>
      </w:r>
    </w:p>
  </w:footnote>
  <w:footnote w:id="3">
    <w:p w:rsidR="00AC213E" w:rsidRDefault="00AC213E" w:rsidP="002B0C3E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תוספות ישנים</w:t>
      </w:r>
      <w:r>
        <w:rPr>
          <w:lang w:bidi="he-IL"/>
        </w:rPr>
        <w:t xml:space="preserve"> (on the margin) disagrees with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. The following is a (partial) translation: ‘It is possible that even according to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, we should follow the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, rather than the </w:t>
      </w:r>
      <w:r>
        <w:rPr>
          <w:rFonts w:hint="cs"/>
          <w:rtl/>
          <w:lang w:bidi="he-IL"/>
        </w:rPr>
        <w:t>חזקת ממון</w:t>
      </w:r>
      <w:r>
        <w:rPr>
          <w:lang w:bidi="he-IL"/>
        </w:rPr>
        <w:t xml:space="preserve">, since the </w:t>
      </w:r>
      <w:r>
        <w:rPr>
          <w:rFonts w:hint="cs"/>
          <w:rtl/>
          <w:lang w:bidi="he-IL"/>
        </w:rPr>
        <w:t>חזקת הגוף</w:t>
      </w:r>
      <w:r>
        <w:rPr>
          <w:lang w:bidi="he-IL"/>
        </w:rPr>
        <w:t xml:space="preserve"> (that she was born a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) supports the </w:t>
      </w:r>
      <w:r>
        <w:rPr>
          <w:rFonts w:hint="cs"/>
          <w:rtl/>
          <w:lang w:bidi="he-IL"/>
        </w:rPr>
        <w:t>רוב</w:t>
      </w:r>
      <w:r>
        <w:rPr>
          <w:lang w:bidi="he-IL"/>
        </w:rPr>
        <w:t xml:space="preserve"> (they both indicate that she was married as a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>).</w:t>
      </w:r>
      <w:r w:rsidR="008D1B87">
        <w:rPr>
          <w:lang w:bidi="he-IL"/>
        </w:rPr>
        <w:t xml:space="preserve"> </w:t>
      </w:r>
      <w:r w:rsidR="008D1B87">
        <w:rPr>
          <w:rFonts w:hint="cs"/>
          <w:rtl/>
          <w:lang w:bidi="he-IL"/>
        </w:rPr>
        <w:t>עיי"ש</w:t>
      </w:r>
      <w:r w:rsidR="008D1B87">
        <w:rPr>
          <w:lang w:bidi="he-IL"/>
        </w:rPr>
        <w:t>.</w:t>
      </w:r>
    </w:p>
  </w:footnote>
  <w:footnote w:id="4">
    <w:p w:rsidR="00AC213E" w:rsidRDefault="00AC213E" w:rsidP="002B0C3E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1.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13E" w:rsidRPr="00C849DF" w:rsidRDefault="00AC213E" w:rsidP="00C849DF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טז,א תוס' ד"ה כיון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49DF"/>
    <w:rsid w:val="00033FA9"/>
    <w:rsid w:val="00064473"/>
    <w:rsid w:val="000673CD"/>
    <w:rsid w:val="00184D2E"/>
    <w:rsid w:val="0020216B"/>
    <w:rsid w:val="00210A1E"/>
    <w:rsid w:val="002B0C3E"/>
    <w:rsid w:val="003F6705"/>
    <w:rsid w:val="004E7F21"/>
    <w:rsid w:val="005C66AB"/>
    <w:rsid w:val="007552E7"/>
    <w:rsid w:val="00755BE9"/>
    <w:rsid w:val="0089054C"/>
    <w:rsid w:val="008D1B87"/>
    <w:rsid w:val="00954739"/>
    <w:rsid w:val="0099245C"/>
    <w:rsid w:val="009F2475"/>
    <w:rsid w:val="00AC213E"/>
    <w:rsid w:val="00C25182"/>
    <w:rsid w:val="00C849DF"/>
    <w:rsid w:val="00D54370"/>
    <w:rsid w:val="00D80DE2"/>
    <w:rsid w:val="00EF4EF9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E7F5406-99E5-4AF8-A9DE-207F5D71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849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849DF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673CD"/>
    <w:rPr>
      <w:sz w:val="20"/>
      <w:szCs w:val="20"/>
    </w:rPr>
  </w:style>
  <w:style w:type="character" w:styleId="FootnoteReference">
    <w:name w:val="footnote reference"/>
    <w:semiHidden/>
    <w:rsid w:val="000673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כיון דרוב נשים בתולות נישאות כי ליכא עדים מאי הוי – Since most woman get married as בתולות, what of it that there are no עדים</vt:lpstr>
    </vt:vector>
  </TitlesOfParts>
  <Company>Microsoft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כיון דרוב נשים בתולות נישאות כי ליכא עדים מאי הוי – Since most woman get married as בתולות, what of it that there are no עדים</dc:title>
  <dc:subject/>
  <dc:creator>EP</dc:creator>
  <cp:keywords/>
  <cp:lastModifiedBy>Microsoft account</cp:lastModifiedBy>
  <cp:revision>2</cp:revision>
  <dcterms:created xsi:type="dcterms:W3CDTF">2022-04-05T10:48:00Z</dcterms:created>
  <dcterms:modified xsi:type="dcterms:W3CDTF">2022-04-05T10:48:00Z</dcterms:modified>
</cp:coreProperties>
</file>