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7A546E" w:rsidP="00C4610F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אי</w:t>
      </w:r>
      <w:r>
        <w:rPr>
          <w:rFonts w:hint="cs"/>
          <w:b/>
          <w:bCs/>
          <w:sz w:val="32"/>
          <w:szCs w:val="32"/>
          <w:rtl/>
        </w:rPr>
        <w:t xml:space="preserve"> אליבא דרבנן הא אמרי משיב אבידה  הוי</w:t>
      </w:r>
      <w:r w:rsidR="00BA28E7">
        <w:rPr>
          <w:rStyle w:val="FootnoteReference"/>
          <w:b/>
          <w:bCs/>
          <w:sz w:val="32"/>
          <w:szCs w:val="32"/>
        </w:rPr>
        <w:footnoteReference w:id="1"/>
      </w:r>
      <w:r w:rsidR="00BA28E7">
        <w:rPr>
          <w:rFonts w:hint="cs"/>
          <w:b/>
          <w:bCs/>
          <w:sz w:val="32"/>
          <w:szCs w:val="32"/>
          <w:rtl/>
        </w:rPr>
        <w:t xml:space="preserve"> -</w:t>
      </w:r>
    </w:p>
    <w:p w:rsidR="007A546E" w:rsidRDefault="007A546E" w:rsidP="00C4610F">
      <w:pPr>
        <w:spacing w:line="276" w:lineRule="auto"/>
        <w:jc w:val="both"/>
      </w:pPr>
      <w:r>
        <w:rPr>
          <w:b/>
          <w:bCs/>
          <w:sz w:val="32"/>
          <w:szCs w:val="32"/>
        </w:rPr>
        <w:t xml:space="preserve">If </w:t>
      </w:r>
      <w:r>
        <w:rPr>
          <w:sz w:val="32"/>
          <w:szCs w:val="32"/>
        </w:rPr>
        <w:t xml:space="preserve">it is </w:t>
      </w:r>
      <w:r>
        <w:rPr>
          <w:b/>
          <w:bCs/>
          <w:sz w:val="32"/>
          <w:szCs w:val="32"/>
        </w:rPr>
        <w:t xml:space="preserve">according </w:t>
      </w:r>
      <w:r>
        <w:rPr>
          <w:sz w:val="32"/>
          <w:szCs w:val="32"/>
        </w:rPr>
        <w:t xml:space="preserve">to the view of </w:t>
      </w:r>
      <w:r>
        <w:rPr>
          <w:b/>
          <w:bCs/>
          <w:sz w:val="32"/>
          <w:szCs w:val="32"/>
        </w:rPr>
        <w:t xml:space="preserve">the </w:t>
      </w:r>
      <w:r>
        <w:rPr>
          <w:rFonts w:hint="cs"/>
          <w:b/>
          <w:bCs/>
          <w:sz w:val="32"/>
          <w:szCs w:val="32"/>
          <w:rtl/>
        </w:rPr>
        <w:t>רבנן</w:t>
      </w:r>
      <w:r>
        <w:rPr>
          <w:b/>
          <w:bCs/>
          <w:sz w:val="32"/>
          <w:szCs w:val="32"/>
        </w:rPr>
        <w:t xml:space="preserve">, they claim that </w:t>
      </w:r>
      <w:r w:rsidR="00FE5CCA">
        <w:rPr>
          <w:b/>
          <w:bCs/>
          <w:sz w:val="32"/>
          <w:szCs w:val="32"/>
        </w:rPr>
        <w:t>it</w:t>
      </w:r>
      <w:r>
        <w:rPr>
          <w:b/>
          <w:bCs/>
          <w:sz w:val="32"/>
          <w:szCs w:val="32"/>
        </w:rPr>
        <w:t xml:space="preserve"> is</w:t>
      </w:r>
      <w:r w:rsidR="00FE5CCA">
        <w:rPr>
          <w:sz w:val="32"/>
          <w:szCs w:val="32"/>
        </w:rPr>
        <w:t xml:space="preserve"> comparable to</w:t>
      </w:r>
      <w:r>
        <w:rPr>
          <w:b/>
          <w:bCs/>
          <w:sz w:val="32"/>
          <w:szCs w:val="32"/>
        </w:rPr>
        <w:t xml:space="preserve"> returning a lost </w:t>
      </w:r>
      <w:r>
        <w:rPr>
          <w:sz w:val="32"/>
          <w:szCs w:val="32"/>
        </w:rPr>
        <w:t>article</w:t>
      </w:r>
    </w:p>
    <w:p w:rsidR="00FE5CCA" w:rsidRDefault="00FE5CCA" w:rsidP="00C4610F">
      <w:pPr>
        <w:spacing w:line="276" w:lineRule="auto"/>
        <w:jc w:val="both"/>
      </w:pPr>
    </w:p>
    <w:p w:rsidR="00FE5CCA" w:rsidRPr="00BA28E7" w:rsidRDefault="00543154" w:rsidP="00C4610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BA28E7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543154" w:rsidRPr="00543154" w:rsidRDefault="00543154" w:rsidP="00C4610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asked that </w:t>
      </w:r>
      <w:r>
        <w:rPr>
          <w:rFonts w:hint="cs"/>
          <w:sz w:val="28"/>
          <w:szCs w:val="28"/>
          <w:rtl/>
        </w:rPr>
        <w:t>רבי יהושע</w:t>
      </w:r>
      <w:r>
        <w:rPr>
          <w:sz w:val="28"/>
          <w:szCs w:val="28"/>
        </w:rPr>
        <w:t xml:space="preserve"> should teach us the </w:t>
      </w:r>
      <w:r>
        <w:rPr>
          <w:rFonts w:hint="cs"/>
          <w:sz w:val="28"/>
          <w:szCs w:val="28"/>
          <w:rtl/>
        </w:rPr>
        <w:t>דין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הפה שאסר וכו'</w:t>
      </w:r>
      <w:r>
        <w:rPr>
          <w:sz w:val="28"/>
          <w:szCs w:val="28"/>
        </w:rPr>
        <w:t xml:space="preserve"> in a case where a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said to the son of the (deceased)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, I owed your father a </w:t>
      </w:r>
      <w:r>
        <w:rPr>
          <w:rFonts w:hint="cs"/>
          <w:sz w:val="28"/>
          <w:szCs w:val="28"/>
          <w:rtl/>
        </w:rPr>
        <w:t>מנה</w:t>
      </w:r>
      <w:r>
        <w:rPr>
          <w:sz w:val="28"/>
          <w:szCs w:val="28"/>
        </w:rPr>
        <w:t xml:space="preserve">, but I paid him back half; that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is believed without taking the oath of a </w:t>
      </w:r>
      <w:r>
        <w:rPr>
          <w:rFonts w:hint="cs"/>
          <w:sz w:val="28"/>
          <w:szCs w:val="28"/>
          <w:rtl/>
        </w:rPr>
        <w:t>מודה במקצת</w:t>
      </w:r>
      <w:r>
        <w:rPr>
          <w:sz w:val="28"/>
          <w:szCs w:val="28"/>
        </w:rPr>
        <w:t>.</w:t>
      </w:r>
      <w:r w:rsidR="005B4DE3">
        <w:rPr>
          <w:rStyle w:val="FootnoteReference"/>
          <w:sz w:val="28"/>
          <w:szCs w:val="28"/>
        </w:rPr>
        <w:footnoteReference w:id="2"/>
      </w:r>
      <w:r>
        <w:rPr>
          <w:sz w:val="28"/>
          <w:szCs w:val="28"/>
        </w:rPr>
        <w:t xml:space="preserve"> </w:t>
      </w:r>
      <w:r w:rsidR="00E06322">
        <w:rPr>
          <w:sz w:val="28"/>
          <w:szCs w:val="28"/>
        </w:rPr>
        <w:t xml:space="preserve">The </w:t>
      </w:r>
      <w:r w:rsidR="00E06322">
        <w:rPr>
          <w:rFonts w:hint="cs"/>
          <w:sz w:val="28"/>
          <w:szCs w:val="28"/>
          <w:rtl/>
        </w:rPr>
        <w:t>גמרא</w:t>
      </w:r>
      <w:r w:rsidR="00E06322">
        <w:rPr>
          <w:sz w:val="28"/>
          <w:szCs w:val="28"/>
        </w:rPr>
        <w:t xml:space="preserve"> counters that this cannot be; for if </w:t>
      </w:r>
      <w:r w:rsidR="00E06322">
        <w:rPr>
          <w:rFonts w:hint="cs"/>
          <w:sz w:val="28"/>
          <w:szCs w:val="28"/>
          <w:rtl/>
        </w:rPr>
        <w:t>ר"י</w:t>
      </w:r>
      <w:r w:rsidR="00E06322">
        <w:rPr>
          <w:sz w:val="28"/>
          <w:szCs w:val="28"/>
        </w:rPr>
        <w:t xml:space="preserve"> follows the opinion of the </w:t>
      </w:r>
      <w:r w:rsidR="00E06322">
        <w:rPr>
          <w:rFonts w:hint="cs"/>
          <w:sz w:val="28"/>
          <w:szCs w:val="28"/>
          <w:rtl/>
        </w:rPr>
        <w:t>רבנן</w:t>
      </w:r>
      <w:r w:rsidR="00E06322">
        <w:rPr>
          <w:sz w:val="28"/>
          <w:szCs w:val="28"/>
        </w:rPr>
        <w:t xml:space="preserve"> then the </w:t>
      </w:r>
      <w:r w:rsidR="00E06322">
        <w:rPr>
          <w:rFonts w:hint="cs"/>
          <w:sz w:val="28"/>
          <w:szCs w:val="28"/>
          <w:rtl/>
        </w:rPr>
        <w:t>לוה</w:t>
      </w:r>
      <w:r w:rsidR="00E06322">
        <w:rPr>
          <w:sz w:val="28"/>
          <w:szCs w:val="28"/>
        </w:rPr>
        <w:t xml:space="preserve"> would be considered a </w:t>
      </w:r>
      <w:r w:rsidR="00E06322">
        <w:rPr>
          <w:rFonts w:hint="cs"/>
          <w:sz w:val="28"/>
          <w:szCs w:val="28"/>
          <w:rtl/>
        </w:rPr>
        <w:t>משיב אבידה</w:t>
      </w:r>
      <w:r w:rsidR="00025CE9">
        <w:rPr>
          <w:sz w:val="28"/>
          <w:szCs w:val="28"/>
        </w:rPr>
        <w:t>,</w:t>
      </w:r>
      <w:r w:rsidR="00E06322">
        <w:rPr>
          <w:rStyle w:val="FootnoteReference"/>
          <w:sz w:val="28"/>
          <w:szCs w:val="28"/>
        </w:rPr>
        <w:footnoteReference w:id="3"/>
      </w:r>
      <w:r w:rsidR="00025CE9">
        <w:rPr>
          <w:sz w:val="28"/>
          <w:szCs w:val="28"/>
        </w:rPr>
        <w:t xml:space="preserve"> etc.</w:t>
      </w:r>
      <w:r w:rsidR="00E06322">
        <w:rPr>
          <w:sz w:val="28"/>
          <w:szCs w:val="28"/>
        </w:rPr>
        <w:t xml:space="preserve"> It is not clear why this presents a difficulty</w:t>
      </w:r>
      <w:r w:rsidR="00F82978">
        <w:rPr>
          <w:sz w:val="28"/>
          <w:szCs w:val="28"/>
        </w:rPr>
        <w:t>.</w:t>
      </w:r>
      <w:r w:rsidR="00D46EF8">
        <w:rPr>
          <w:rStyle w:val="FootnoteReference"/>
          <w:sz w:val="28"/>
          <w:szCs w:val="28"/>
        </w:rPr>
        <w:footnoteReference w:id="4"/>
      </w:r>
      <w:r w:rsidR="00E06322">
        <w:rPr>
          <w:sz w:val="28"/>
          <w:szCs w:val="28"/>
        </w:rPr>
        <w:t xml:space="preserve"> Seemingly this is what </w:t>
      </w:r>
      <w:r w:rsidR="00E06322">
        <w:rPr>
          <w:rFonts w:hint="cs"/>
          <w:sz w:val="28"/>
          <w:szCs w:val="28"/>
          <w:rtl/>
        </w:rPr>
        <w:t>ר"י</w:t>
      </w:r>
      <w:r w:rsidR="00E06322">
        <w:rPr>
          <w:sz w:val="28"/>
          <w:szCs w:val="28"/>
        </w:rPr>
        <w:t xml:space="preserve"> is teaching that if he has a </w:t>
      </w:r>
      <w:r w:rsidR="00E06322">
        <w:rPr>
          <w:rFonts w:hint="cs"/>
          <w:sz w:val="28"/>
          <w:szCs w:val="28"/>
          <w:rtl/>
        </w:rPr>
        <w:t>פה שאסר</w:t>
      </w:r>
      <w:r w:rsidR="00E06322">
        <w:rPr>
          <w:sz w:val="28"/>
          <w:szCs w:val="28"/>
        </w:rPr>
        <w:t xml:space="preserve"> he is believed</w:t>
      </w:r>
      <w:r w:rsidR="00F82978">
        <w:rPr>
          <w:sz w:val="28"/>
          <w:szCs w:val="28"/>
        </w:rPr>
        <w:t>.</w:t>
      </w:r>
      <w:r w:rsidR="005B4DE3">
        <w:rPr>
          <w:rStyle w:val="FootnoteReference"/>
          <w:sz w:val="28"/>
          <w:szCs w:val="28"/>
        </w:rPr>
        <w:footnoteReference w:id="5"/>
      </w:r>
    </w:p>
    <w:p w:rsidR="00FE5CCA" w:rsidRDefault="00B94180" w:rsidP="00C4610F">
      <w:pPr>
        <w:spacing w:line="276" w:lineRule="auto"/>
        <w:jc w:val="center"/>
      </w:pPr>
      <w:r>
        <w:t>-------------------</w:t>
      </w:r>
    </w:p>
    <w:p w:rsidR="00FE5CCA" w:rsidRDefault="00FE5CCA" w:rsidP="00C4610F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explains why it is considered as a </w:t>
      </w:r>
      <w:r>
        <w:rPr>
          <w:rFonts w:hint="cs"/>
          <w:rtl/>
        </w:rPr>
        <w:t>משיב אבידה</w:t>
      </w:r>
      <w:r w:rsidR="00025CE9">
        <w:rPr>
          <w:rStyle w:val="FootnoteReference"/>
        </w:rPr>
        <w:footnoteReference w:id="6"/>
      </w:r>
      <w:r w:rsidR="00980592">
        <w:t>, and what is therefore the difficulty</w:t>
      </w:r>
      <w:r>
        <w:t>:</w:t>
      </w:r>
    </w:p>
    <w:p w:rsidR="00FE5CCA" w:rsidRPr="008610D1" w:rsidRDefault="00FE5CCA" w:rsidP="008610D1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610D1">
        <w:rPr>
          <w:rFonts w:ascii="David" w:hAnsi="David" w:cs="David"/>
          <w:b/>
          <w:bCs/>
          <w:sz w:val="28"/>
          <w:szCs w:val="28"/>
          <w:rtl/>
        </w:rPr>
        <w:t>כדמסיק</w:t>
      </w:r>
      <w:r w:rsidR="00C4610F" w:rsidRPr="008610D1">
        <w:rPr>
          <w:rStyle w:val="FootnoteReference"/>
          <w:rFonts w:ascii="David" w:hAnsi="David" w:cs="David"/>
          <w:b/>
          <w:bCs/>
          <w:sz w:val="28"/>
          <w:szCs w:val="28"/>
        </w:rPr>
        <w:footnoteReference w:id="7"/>
      </w:r>
      <w:r w:rsidRPr="008610D1">
        <w:rPr>
          <w:rFonts w:ascii="David" w:hAnsi="David" w:cs="David"/>
          <w:b/>
          <w:bCs/>
          <w:sz w:val="28"/>
          <w:szCs w:val="28"/>
          <w:rtl/>
        </w:rPr>
        <w:t xml:space="preserve"> דבבנו מעיז ומעיז </w:t>
      </w:r>
      <w:r w:rsidR="008610D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FE5CCA" w:rsidRPr="00D46EF8" w:rsidRDefault="00FE5CCA" w:rsidP="00C4610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concludes that </w:t>
      </w:r>
      <w:r>
        <w:rPr>
          <w:sz w:val="28"/>
          <w:szCs w:val="28"/>
        </w:rPr>
        <w:t xml:space="preserve">concerning the </w:t>
      </w:r>
      <w:r>
        <w:rPr>
          <w:b/>
          <w:bCs/>
          <w:sz w:val="28"/>
          <w:szCs w:val="28"/>
        </w:rPr>
        <w:t xml:space="preserve">son </w:t>
      </w:r>
      <w:r>
        <w:rPr>
          <w:sz w:val="28"/>
          <w:szCs w:val="28"/>
        </w:rPr>
        <w:t xml:space="preserve">of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can indeed be brazen</w:t>
      </w:r>
      <w:r>
        <w:rPr>
          <w:sz w:val="28"/>
          <w:szCs w:val="28"/>
        </w:rPr>
        <w:t xml:space="preserve"> </w:t>
      </w:r>
      <w:r w:rsidRPr="00D46EF8">
        <w:t>and deny any loans that he actually owed the father</w:t>
      </w:r>
      <w:r w:rsidR="00C4610F">
        <w:t>.</w:t>
      </w:r>
      <w:r w:rsidR="00025CE9" w:rsidRPr="00D46EF8">
        <w:rPr>
          <w:rStyle w:val="FootnoteReference"/>
        </w:rPr>
        <w:footnoteReference w:id="8"/>
      </w:r>
    </w:p>
    <w:p w:rsidR="00FE5CCA" w:rsidRPr="008610D1" w:rsidRDefault="00FE5CCA" w:rsidP="008610D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610D1">
        <w:rPr>
          <w:rFonts w:ascii="David" w:hAnsi="David" w:cs="David"/>
          <w:b/>
          <w:bCs/>
          <w:sz w:val="28"/>
          <w:szCs w:val="28"/>
          <w:rtl/>
        </w:rPr>
        <w:t>ואם כן</w:t>
      </w:r>
      <w:r w:rsidR="00C4610F" w:rsidRPr="008610D1">
        <w:rPr>
          <w:rFonts w:ascii="David" w:hAnsi="David" w:cs="David"/>
          <w:b/>
          <w:bCs/>
          <w:sz w:val="28"/>
          <w:szCs w:val="28"/>
          <w:rtl/>
        </w:rPr>
        <w:t xml:space="preserve"> לא  מצי למיתני ואם יש עדים אינו נאמן</w:t>
      </w:r>
      <w:r w:rsidRPr="008610D1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610D1">
        <w:rPr>
          <w:rFonts w:ascii="David" w:hAnsi="David" w:cs="David" w:hint="cs"/>
          <w:b/>
          <w:bCs/>
          <w:sz w:val="28"/>
          <w:szCs w:val="28"/>
          <w:rtl/>
        </w:rPr>
        <w:t>-</w:t>
      </w:r>
    </w:p>
    <w:p w:rsidR="00FE5CCA" w:rsidRPr="00D46EF8" w:rsidRDefault="00FE5CCA" w:rsidP="008610D1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And </w:t>
      </w:r>
      <w:r w:rsidR="00E2627F">
        <w:rPr>
          <w:b/>
          <w:bCs/>
          <w:sz w:val="28"/>
          <w:szCs w:val="28"/>
        </w:rPr>
        <w:t>since</w:t>
      </w:r>
      <w:r>
        <w:rPr>
          <w:b/>
          <w:bCs/>
          <w:sz w:val="28"/>
          <w:szCs w:val="28"/>
        </w:rPr>
        <w:t xml:space="preserve"> that is true;</w:t>
      </w:r>
      <w:r>
        <w:rPr>
          <w:sz w:val="28"/>
          <w:szCs w:val="28"/>
        </w:rPr>
        <w:t xml:space="preserve"> </w:t>
      </w:r>
      <w:r w:rsidRPr="00C4610F">
        <w:rPr>
          <w:sz w:val="28"/>
          <w:szCs w:val="28"/>
        </w:rPr>
        <w:t xml:space="preserve">that </w:t>
      </w:r>
      <w:r w:rsidRPr="00C4610F">
        <w:rPr>
          <w:rFonts w:hint="cs"/>
          <w:sz w:val="28"/>
          <w:szCs w:val="28"/>
          <w:rtl/>
        </w:rPr>
        <w:t>בבנו</w:t>
      </w:r>
      <w:r w:rsidRPr="00C4610F">
        <w:rPr>
          <w:sz w:val="28"/>
          <w:szCs w:val="28"/>
        </w:rPr>
        <w:t xml:space="preserve"> he is </w:t>
      </w:r>
      <w:r w:rsidRPr="00C4610F">
        <w:rPr>
          <w:rFonts w:hint="cs"/>
          <w:sz w:val="28"/>
          <w:szCs w:val="28"/>
          <w:rtl/>
        </w:rPr>
        <w:t>מעיז ומעיז</w:t>
      </w:r>
      <w:r w:rsidRPr="00C4610F">
        <w:rPr>
          <w:sz w:val="28"/>
          <w:szCs w:val="28"/>
        </w:rPr>
        <w:t>, then</w:t>
      </w:r>
      <w:r w:rsidRPr="00D46EF8">
        <w:t xml:space="preserve"> </w:t>
      </w:r>
      <w:r w:rsidR="00C4610F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could not have stated that if there were witnesses </w:t>
      </w:r>
      <w:r>
        <w:rPr>
          <w:sz w:val="28"/>
          <w:szCs w:val="28"/>
        </w:rPr>
        <w:t xml:space="preserve">to the (entire) loan, then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</w:t>
      </w:r>
      <w:r w:rsidRPr="00D46EF8">
        <w:rPr>
          <w:b/>
          <w:bCs/>
          <w:sz w:val="28"/>
          <w:szCs w:val="28"/>
        </w:rPr>
        <w:t>i</w:t>
      </w:r>
      <w:r w:rsidR="00025CE9" w:rsidRPr="00D46EF8">
        <w:rPr>
          <w:b/>
          <w:bCs/>
          <w:sz w:val="28"/>
          <w:szCs w:val="28"/>
        </w:rPr>
        <w:t xml:space="preserve">s </w:t>
      </w:r>
      <w:r w:rsidR="00025CE9" w:rsidRPr="00D46EF8">
        <w:rPr>
          <w:b/>
          <w:bCs/>
          <w:sz w:val="28"/>
          <w:szCs w:val="28"/>
        </w:rPr>
        <w:lastRenderedPageBreak/>
        <w:t>not believed</w:t>
      </w:r>
      <w:r w:rsidR="00025CE9">
        <w:rPr>
          <w:sz w:val="28"/>
          <w:szCs w:val="28"/>
        </w:rPr>
        <w:t xml:space="preserve"> </w:t>
      </w:r>
      <w:r w:rsidR="00025CE9" w:rsidRPr="00D46EF8">
        <w:t>to claim that he</w:t>
      </w:r>
      <w:r w:rsidRPr="00D46EF8">
        <w:t xml:space="preserve"> paid half –</w:t>
      </w:r>
    </w:p>
    <w:p w:rsidR="00FE5CCA" w:rsidRPr="008610D1" w:rsidRDefault="00FE5CCA" w:rsidP="008610D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8610D1">
        <w:rPr>
          <w:rFonts w:ascii="David" w:hAnsi="David" w:cs="David"/>
          <w:b/>
          <w:bCs/>
          <w:sz w:val="28"/>
          <w:szCs w:val="28"/>
          <w:rtl/>
        </w:rPr>
        <w:t>דלעולם נאמן במגו דאי בעי אמר פרעתי הכל</w:t>
      </w:r>
      <w:r w:rsidR="00C4610F" w:rsidRPr="008610D1">
        <w:rPr>
          <w:rFonts w:ascii="David" w:hAnsi="David" w:cs="David"/>
          <w:b/>
          <w:bCs/>
          <w:sz w:val="28"/>
          <w:szCs w:val="28"/>
          <w:rtl/>
        </w:rPr>
        <w:t xml:space="preserve"> דבבנו מעיז ומעיז</w:t>
      </w:r>
      <w:r w:rsidRPr="008610D1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="008610D1">
        <w:rPr>
          <w:rFonts w:ascii="David" w:hAnsi="David" w:cs="David" w:hint="cs"/>
          <w:b/>
          <w:bCs/>
          <w:sz w:val="28"/>
          <w:szCs w:val="28"/>
          <w:rtl/>
        </w:rPr>
        <w:t>-</w:t>
      </w:r>
      <w:r w:rsidRPr="008610D1">
        <w:rPr>
          <w:rFonts w:ascii="David" w:hAnsi="David" w:cs="David"/>
          <w:b/>
          <w:bCs/>
          <w:sz w:val="28"/>
          <w:szCs w:val="28"/>
        </w:rPr>
        <w:t xml:space="preserve"> </w:t>
      </w:r>
    </w:p>
    <w:p w:rsidR="00FE5CCA" w:rsidRPr="00D46EF8" w:rsidRDefault="00FE5CCA" w:rsidP="0057632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 xml:space="preserve">For in fact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לוה</w:t>
      </w:r>
      <w:r>
        <w:rPr>
          <w:b/>
          <w:bCs/>
          <w:sz w:val="28"/>
          <w:szCs w:val="28"/>
        </w:rPr>
        <w:t xml:space="preserve"> will always be believed </w:t>
      </w:r>
      <w:r>
        <w:rPr>
          <w:sz w:val="28"/>
          <w:szCs w:val="28"/>
        </w:rPr>
        <w:t xml:space="preserve">to claim I paid your father half </w:t>
      </w:r>
      <w:r>
        <w:rPr>
          <w:b/>
          <w:bCs/>
          <w:sz w:val="28"/>
          <w:szCs w:val="28"/>
        </w:rPr>
        <w:t xml:space="preserve">since </w:t>
      </w:r>
      <w:r>
        <w:rPr>
          <w:sz w:val="28"/>
          <w:szCs w:val="28"/>
        </w:rPr>
        <w:t xml:space="preserve">he has </w:t>
      </w:r>
      <w:r>
        <w:rPr>
          <w:b/>
          <w:bCs/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מגו</w:t>
      </w:r>
      <w:r w:rsidR="00576327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576327">
        <w:rPr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if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לוה</w:t>
      </w:r>
      <w:r>
        <w:rPr>
          <w:b/>
          <w:bCs/>
          <w:sz w:val="28"/>
          <w:szCs w:val="28"/>
        </w:rPr>
        <w:t xml:space="preserve"> wanted </w:t>
      </w:r>
      <w:r>
        <w:rPr>
          <w:sz w:val="28"/>
          <w:szCs w:val="28"/>
        </w:rPr>
        <w:t xml:space="preserve">he could have </w:t>
      </w:r>
      <w:r>
        <w:rPr>
          <w:b/>
          <w:bCs/>
          <w:sz w:val="28"/>
          <w:szCs w:val="28"/>
        </w:rPr>
        <w:t xml:space="preserve">said I paid </w:t>
      </w:r>
      <w:r>
        <w:rPr>
          <w:sz w:val="28"/>
          <w:szCs w:val="28"/>
        </w:rPr>
        <w:t xml:space="preserve">your father </w:t>
      </w:r>
      <w:r>
        <w:rPr>
          <w:b/>
          <w:bCs/>
          <w:sz w:val="28"/>
          <w:szCs w:val="28"/>
        </w:rPr>
        <w:t>everything</w:t>
      </w:r>
      <w:r w:rsidR="00C461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576327">
        <w:rPr>
          <w:b/>
          <w:bCs/>
          <w:sz w:val="28"/>
          <w:szCs w:val="28"/>
        </w:rPr>
        <w:t>since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is </w:t>
      </w:r>
      <w:r>
        <w:rPr>
          <w:b/>
          <w:bCs/>
          <w:sz w:val="28"/>
          <w:szCs w:val="28"/>
        </w:rPr>
        <w:t xml:space="preserve">indeed </w:t>
      </w:r>
      <w:r>
        <w:rPr>
          <w:rFonts w:hint="cs"/>
          <w:b/>
          <w:bCs/>
          <w:sz w:val="28"/>
          <w:szCs w:val="28"/>
          <w:rtl/>
        </w:rPr>
        <w:t>מעיז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against </w:t>
      </w:r>
      <w:r>
        <w:rPr>
          <w:b/>
          <w:bCs/>
          <w:sz w:val="28"/>
          <w:szCs w:val="28"/>
        </w:rPr>
        <w:t xml:space="preserve">the son </w:t>
      </w:r>
      <w:r w:rsidRPr="00D46EF8">
        <w:t xml:space="preserve">of the </w:t>
      </w:r>
      <w:r w:rsidRPr="00D46EF8">
        <w:rPr>
          <w:rFonts w:hint="cs"/>
          <w:rtl/>
        </w:rPr>
        <w:t>מלוה</w:t>
      </w:r>
      <w:r w:rsidR="00C05341" w:rsidRPr="00D46EF8">
        <w:t xml:space="preserve">; therefore it is a proper </w:t>
      </w:r>
      <w:r w:rsidR="00C05341" w:rsidRPr="00D46EF8">
        <w:rPr>
          <w:rFonts w:hint="cs"/>
          <w:rtl/>
        </w:rPr>
        <w:t>מגו</w:t>
      </w:r>
      <w:r w:rsidR="00C05341" w:rsidRPr="00D46EF8">
        <w:t xml:space="preserve">. </w:t>
      </w:r>
      <w:r w:rsidR="00C05341" w:rsidRPr="00D46EF8">
        <w:rPr>
          <w:rFonts w:hint="cs"/>
          <w:rtl/>
        </w:rPr>
        <w:t>ר"י</w:t>
      </w:r>
      <w:r w:rsidR="00C05341" w:rsidRPr="00D46EF8">
        <w:t xml:space="preserve"> could not have taught his </w:t>
      </w:r>
      <w:r w:rsidR="00C05341" w:rsidRPr="00D46EF8">
        <w:rPr>
          <w:rFonts w:hint="cs"/>
          <w:rtl/>
        </w:rPr>
        <w:t>דין</w:t>
      </w:r>
      <w:r w:rsidR="00C05341" w:rsidRPr="00D46EF8">
        <w:t xml:space="preserve"> of </w:t>
      </w:r>
      <w:r w:rsidR="00C05341" w:rsidRPr="00D46EF8">
        <w:rPr>
          <w:rFonts w:hint="cs"/>
          <w:rtl/>
        </w:rPr>
        <w:t>הפה שאסר</w:t>
      </w:r>
      <w:r w:rsidR="00C05341" w:rsidRPr="00D46EF8">
        <w:t xml:space="preserve"> in the case of </w:t>
      </w:r>
      <w:r w:rsidR="00C05341" w:rsidRPr="00D46EF8">
        <w:rPr>
          <w:rFonts w:hint="cs"/>
          <w:rtl/>
        </w:rPr>
        <w:t>והאכלתיו פרס</w:t>
      </w:r>
      <w:r w:rsidR="00C05341" w:rsidRPr="00D46EF8">
        <w:t xml:space="preserve"> for the </w:t>
      </w:r>
      <w:r w:rsidR="00C05341" w:rsidRPr="00D46EF8">
        <w:rPr>
          <w:rFonts w:hint="cs"/>
          <w:rtl/>
        </w:rPr>
        <w:t>לוה</w:t>
      </w:r>
      <w:r w:rsidR="00C05341" w:rsidRPr="00D46EF8">
        <w:t xml:space="preserve"> would be believed without a </w:t>
      </w:r>
      <w:r w:rsidR="00C05341" w:rsidRPr="00D46EF8">
        <w:rPr>
          <w:rFonts w:hint="cs"/>
          <w:rtl/>
        </w:rPr>
        <w:t>שבועה</w:t>
      </w:r>
      <w:r w:rsidR="00C05341" w:rsidRPr="00D46EF8">
        <w:t xml:space="preserve"> even if there were </w:t>
      </w:r>
      <w:r w:rsidR="00C05341" w:rsidRPr="00D46EF8">
        <w:rPr>
          <w:rFonts w:hint="cs"/>
          <w:rtl/>
        </w:rPr>
        <w:t>עדים</w:t>
      </w:r>
      <w:r w:rsidR="00C05341" w:rsidRPr="00D46EF8">
        <w:t xml:space="preserve"> that he owed him the entire sum.</w:t>
      </w:r>
    </w:p>
    <w:p w:rsidR="00B94180" w:rsidRPr="00D46EF8" w:rsidRDefault="00B94180" w:rsidP="00C4610F">
      <w:pPr>
        <w:spacing w:line="276" w:lineRule="auto"/>
        <w:jc w:val="both"/>
      </w:pPr>
    </w:p>
    <w:p w:rsidR="00B94180" w:rsidRPr="00C4610F" w:rsidRDefault="00B94180" w:rsidP="00C4610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C4610F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B94180" w:rsidRDefault="00B94180" w:rsidP="00C4610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rFonts w:hint="cs"/>
          <w:sz w:val="28"/>
          <w:szCs w:val="28"/>
          <w:rtl/>
        </w:rPr>
        <w:t>ר"י</w:t>
      </w:r>
      <w:r>
        <w:rPr>
          <w:sz w:val="28"/>
          <w:szCs w:val="28"/>
        </w:rPr>
        <w:t xml:space="preserve"> would agree to the </w:t>
      </w:r>
      <w:r>
        <w:rPr>
          <w:rFonts w:hint="cs"/>
          <w:sz w:val="28"/>
          <w:szCs w:val="28"/>
          <w:rtl/>
        </w:rPr>
        <w:t>חכמים</w:t>
      </w:r>
      <w:r>
        <w:rPr>
          <w:sz w:val="28"/>
          <w:szCs w:val="28"/>
        </w:rPr>
        <w:t xml:space="preserve">, there would be a difficulty with the </w:t>
      </w:r>
      <w:r>
        <w:rPr>
          <w:rFonts w:hint="cs"/>
          <w:sz w:val="28"/>
          <w:szCs w:val="28"/>
          <w:rtl/>
        </w:rPr>
        <w:t>סיפא</w:t>
      </w:r>
      <w:r>
        <w:rPr>
          <w:sz w:val="28"/>
          <w:szCs w:val="28"/>
        </w:rPr>
        <w:t xml:space="preserve"> </w:t>
      </w:r>
      <w:r w:rsidR="0051001C">
        <w:rPr>
          <w:sz w:val="28"/>
          <w:szCs w:val="28"/>
        </w:rPr>
        <w:t>where he is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אינו נאמן</w:t>
      </w:r>
      <w:r>
        <w:rPr>
          <w:sz w:val="28"/>
          <w:szCs w:val="28"/>
        </w:rPr>
        <w:t xml:space="preserve"> </w:t>
      </w:r>
      <w:r w:rsidR="0051001C">
        <w:rPr>
          <w:sz w:val="28"/>
          <w:szCs w:val="28"/>
        </w:rPr>
        <w:t>(</w:t>
      </w:r>
      <w:r w:rsidR="00576327">
        <w:rPr>
          <w:sz w:val="28"/>
          <w:szCs w:val="28"/>
        </w:rPr>
        <w:t xml:space="preserve">but </w:t>
      </w:r>
      <w:r>
        <w:rPr>
          <w:sz w:val="28"/>
          <w:szCs w:val="28"/>
        </w:rPr>
        <w:t>not with the</w:t>
      </w:r>
      <w:r w:rsidR="0051001C">
        <w:rPr>
          <w:sz w:val="28"/>
          <w:szCs w:val="28"/>
        </w:rPr>
        <w:t xml:space="preserve"> </w:t>
      </w:r>
      <w:r w:rsidR="0051001C" w:rsidRPr="0051001C">
        <w:rPr>
          <w:rFonts w:hint="cs"/>
          <w:sz w:val="28"/>
          <w:szCs w:val="28"/>
          <w:rtl/>
        </w:rPr>
        <w:t xml:space="preserve"> </w:t>
      </w:r>
      <w:r w:rsidR="0051001C">
        <w:rPr>
          <w:rFonts w:hint="cs"/>
          <w:sz w:val="28"/>
          <w:szCs w:val="28"/>
          <w:rtl/>
        </w:rPr>
        <w:t>נאמן</w:t>
      </w:r>
      <w:r w:rsidR="0051001C">
        <w:rPr>
          <w:sz w:val="28"/>
          <w:szCs w:val="28"/>
        </w:rPr>
        <w:t>of the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רישא</w:t>
      </w:r>
      <w:r w:rsidR="0051001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74CA4" w:rsidRPr="0051001C" w:rsidRDefault="00A74CA4" w:rsidP="00C4610F">
      <w:pPr>
        <w:spacing w:line="276" w:lineRule="auto"/>
        <w:jc w:val="both"/>
      </w:pPr>
    </w:p>
    <w:p w:rsidR="00A74CA4" w:rsidRPr="00C4610F" w:rsidRDefault="00A74CA4" w:rsidP="00C4610F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C4610F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74CA4" w:rsidRPr="00A74CA4" w:rsidRDefault="00A74CA4" w:rsidP="00E2627F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explains that the question </w:t>
      </w:r>
      <w:r>
        <w:rPr>
          <w:rFonts w:hint="cs"/>
          <w:sz w:val="28"/>
          <w:szCs w:val="28"/>
          <w:rtl/>
        </w:rPr>
        <w:t>'משיב אבידה הוי</w:t>
      </w:r>
      <w:r w:rsidR="0051001C">
        <w:rPr>
          <w:rFonts w:hint="cs"/>
          <w:sz w:val="28"/>
          <w:szCs w:val="28"/>
          <w:rtl/>
        </w:rPr>
        <w:t>'</w:t>
      </w:r>
      <w:r w:rsidR="0051001C">
        <w:rPr>
          <w:sz w:val="28"/>
          <w:szCs w:val="28"/>
        </w:rPr>
        <w:t>,</w:t>
      </w:r>
      <w:r>
        <w:rPr>
          <w:sz w:val="28"/>
          <w:szCs w:val="28"/>
        </w:rPr>
        <w:t xml:space="preserve"> is on the </w:t>
      </w:r>
      <w:r>
        <w:rPr>
          <w:rFonts w:hint="cs"/>
          <w:sz w:val="28"/>
          <w:szCs w:val="28"/>
          <w:rtl/>
        </w:rPr>
        <w:t>סיפא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ואם יש עדים אינו נאמן</w:t>
      </w:r>
      <w:r>
        <w:rPr>
          <w:sz w:val="28"/>
          <w:szCs w:val="28"/>
        </w:rPr>
        <w:t xml:space="preserve">. Seemingly the </w:t>
      </w:r>
      <w:r>
        <w:rPr>
          <w:rFonts w:hint="cs"/>
          <w:sz w:val="28"/>
          <w:szCs w:val="28"/>
          <w:rtl/>
        </w:rPr>
        <w:t>סיפא</w:t>
      </w:r>
      <w:r>
        <w:rPr>
          <w:sz w:val="28"/>
          <w:szCs w:val="28"/>
        </w:rPr>
        <w:t xml:space="preserve"> is not understood</w:t>
      </w:r>
      <w:r w:rsidR="00E2627F">
        <w:rPr>
          <w:sz w:val="28"/>
          <w:szCs w:val="28"/>
        </w:rPr>
        <w:t xml:space="preserve"> in any event</w:t>
      </w:r>
      <w:r>
        <w:rPr>
          <w:sz w:val="28"/>
          <w:szCs w:val="28"/>
        </w:rPr>
        <w:t xml:space="preserve">. What effect can </w:t>
      </w:r>
      <w:r>
        <w:rPr>
          <w:rFonts w:hint="cs"/>
          <w:sz w:val="28"/>
          <w:szCs w:val="28"/>
          <w:rtl/>
        </w:rPr>
        <w:t>עדי הלואה</w:t>
      </w:r>
      <w:r>
        <w:rPr>
          <w:sz w:val="28"/>
          <w:szCs w:val="28"/>
        </w:rPr>
        <w:t xml:space="preserve"> have on a </w:t>
      </w:r>
      <w:r>
        <w:rPr>
          <w:rFonts w:hint="cs"/>
          <w:sz w:val="28"/>
          <w:szCs w:val="28"/>
          <w:rtl/>
        </w:rPr>
        <w:t>מלוה ע"פ</w:t>
      </w:r>
      <w:r>
        <w:rPr>
          <w:sz w:val="28"/>
          <w:szCs w:val="28"/>
        </w:rPr>
        <w:t xml:space="preserve">; as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previously stated, since </w:t>
      </w:r>
      <w:r>
        <w:rPr>
          <w:rFonts w:hint="cs"/>
          <w:sz w:val="28"/>
          <w:szCs w:val="28"/>
          <w:rtl/>
        </w:rPr>
        <w:t>המלוה את חבירו בעדים א"</w:t>
      </w:r>
      <w:r w:rsidR="0051001C">
        <w:rPr>
          <w:rFonts w:hint="cs"/>
          <w:sz w:val="28"/>
          <w:szCs w:val="28"/>
          <w:rtl/>
        </w:rPr>
        <w:t>צ לפרעו</w:t>
      </w:r>
      <w:r>
        <w:rPr>
          <w:rFonts w:hint="cs"/>
          <w:sz w:val="28"/>
          <w:szCs w:val="28"/>
          <w:rtl/>
        </w:rPr>
        <w:t xml:space="preserve"> בעדים</w:t>
      </w:r>
      <w:r>
        <w:rPr>
          <w:sz w:val="28"/>
          <w:szCs w:val="28"/>
        </w:rPr>
        <w:t>?!</w:t>
      </w:r>
    </w:p>
    <w:sectPr w:rsidR="00A74CA4" w:rsidRPr="00A74CA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0EE" w:rsidRDefault="008260EE">
      <w:r>
        <w:separator/>
      </w:r>
    </w:p>
  </w:endnote>
  <w:endnote w:type="continuationSeparator" w:id="0">
    <w:p w:rsidR="008260EE" w:rsidRDefault="0082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80" w:rsidRDefault="00B13580" w:rsidP="00A74C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3580" w:rsidRDefault="00B135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E7" w:rsidRDefault="00BA28E7">
    <w:pPr>
      <w:pStyle w:val="Footer"/>
      <w:jc w:val="center"/>
      <w:rPr>
        <w:rFonts w:hint="cs"/>
        <w:noProof/>
        <w:sz w:val="16"/>
        <w:szCs w:val="16"/>
        <w:rtl/>
      </w:rPr>
    </w:pPr>
    <w:r w:rsidRPr="00BA28E7">
      <w:rPr>
        <w:sz w:val="20"/>
        <w:szCs w:val="20"/>
      </w:rPr>
      <w:fldChar w:fldCharType="begin"/>
    </w:r>
    <w:r w:rsidRPr="00BA28E7">
      <w:rPr>
        <w:sz w:val="20"/>
        <w:szCs w:val="20"/>
      </w:rPr>
      <w:instrText xml:space="preserve"> PAGE   \* MERGEFORMAT </w:instrText>
    </w:r>
    <w:r w:rsidRPr="00BA28E7">
      <w:rPr>
        <w:sz w:val="20"/>
        <w:szCs w:val="20"/>
      </w:rPr>
      <w:fldChar w:fldCharType="separate"/>
    </w:r>
    <w:r w:rsidR="007D4D05">
      <w:rPr>
        <w:noProof/>
        <w:sz w:val="20"/>
        <w:szCs w:val="20"/>
      </w:rPr>
      <w:t>2</w:t>
    </w:r>
    <w:r w:rsidRPr="00BA28E7">
      <w:rPr>
        <w:noProof/>
        <w:sz w:val="20"/>
        <w:szCs w:val="20"/>
      </w:rPr>
      <w:fldChar w:fldCharType="end"/>
    </w:r>
  </w:p>
  <w:p w:rsidR="00BA28E7" w:rsidRPr="00BA28E7" w:rsidRDefault="00BA28E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13580" w:rsidRPr="007A546E" w:rsidRDefault="00B13580" w:rsidP="007A546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0EE" w:rsidRDefault="008260EE">
      <w:r>
        <w:separator/>
      </w:r>
    </w:p>
  </w:footnote>
  <w:footnote w:type="continuationSeparator" w:id="0">
    <w:p w:rsidR="008260EE" w:rsidRDefault="008260EE">
      <w:r>
        <w:continuationSeparator/>
      </w:r>
    </w:p>
  </w:footnote>
  <w:footnote w:id="1">
    <w:p w:rsidR="00BA28E7" w:rsidRDefault="00BA28E7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When one returns a lost article; a wallet for instance</w:t>
      </w:r>
      <w:r w:rsidR="00E2627F">
        <w:t>,</w:t>
      </w:r>
      <w:r>
        <w:t xml:space="preserve"> where the loser claims that there was money in the wallet, and the finder denies it, the law is that the finder is exempt from the usual oath of a </w:t>
      </w:r>
      <w:r>
        <w:rPr>
          <w:rFonts w:hint="cs"/>
          <w:rtl/>
        </w:rPr>
        <w:t>מודה במקצת</w:t>
      </w:r>
      <w:r>
        <w:t xml:space="preserve"> (the finder is a </w:t>
      </w:r>
      <w:r>
        <w:rPr>
          <w:rFonts w:hint="cs"/>
          <w:rtl/>
        </w:rPr>
        <w:t>מודה במקצת</w:t>
      </w:r>
      <w:r>
        <w:t xml:space="preserve"> he admits to finding the wallet but denies that there was any money there). The reason he is exempt from </w:t>
      </w:r>
      <w:r>
        <w:rPr>
          <w:rFonts w:hint="cs"/>
          <w:rtl/>
        </w:rPr>
        <w:t>שבועת מודה במקצת</w:t>
      </w:r>
      <w:r>
        <w:t xml:space="preserve"> is because of a </w:t>
      </w:r>
      <w:r>
        <w:rPr>
          <w:rFonts w:hint="cs"/>
          <w:rtl/>
        </w:rPr>
        <w:t>תקנת חכמים</w:t>
      </w:r>
      <w:r>
        <w:t xml:space="preserve">; otherwise people would be hesitant to return </w:t>
      </w:r>
      <w:r>
        <w:rPr>
          <w:rFonts w:hint="cs"/>
          <w:rtl/>
        </w:rPr>
        <w:t>אבידות</w:t>
      </w:r>
      <w:r>
        <w:t xml:space="preserve"> out of concern that this may obligate them to take a </w:t>
      </w:r>
      <w:r>
        <w:rPr>
          <w:rFonts w:hint="cs"/>
          <w:rtl/>
        </w:rPr>
        <w:t>שבועה דאורייתא</w:t>
      </w:r>
      <w:r>
        <w:t xml:space="preserve">.  </w:t>
      </w:r>
    </w:p>
  </w:footnote>
  <w:footnote w:id="2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לוה</w:t>
      </w:r>
      <w:r>
        <w:t xml:space="preserve"> who admits partially to a claim of a </w:t>
      </w:r>
      <w:r>
        <w:rPr>
          <w:rFonts w:hint="cs"/>
          <w:rtl/>
        </w:rPr>
        <w:t>מלוה</w:t>
      </w:r>
      <w:r>
        <w:t xml:space="preserve"> is obligated to swear a </w:t>
      </w:r>
      <w:r>
        <w:rPr>
          <w:rFonts w:hint="cs"/>
          <w:rtl/>
        </w:rPr>
        <w:t>שבועת מודה במקצת</w:t>
      </w:r>
      <w:r>
        <w:t xml:space="preserve"> that he does not owe the rest of the debt which the </w:t>
      </w:r>
      <w:r>
        <w:rPr>
          <w:rFonts w:hint="cs"/>
          <w:rtl/>
        </w:rPr>
        <w:t>מלוה</w:t>
      </w:r>
      <w:r>
        <w:t xml:space="preserve"> claims. </w:t>
      </w:r>
    </w:p>
  </w:footnote>
  <w:footnote w:id="3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following </w:t>
      </w:r>
      <w:r>
        <w:rPr>
          <w:rFonts w:hint="cs"/>
          <w:rtl/>
        </w:rPr>
        <w:t>תוספות ד"ה ורבי אליעזר</w:t>
      </w:r>
      <w:r>
        <w:t xml:space="preserve">, where it seems that this term </w:t>
      </w:r>
      <w:r>
        <w:rPr>
          <w:rFonts w:hint="cs"/>
          <w:rtl/>
        </w:rPr>
        <w:t>משיב אבידה</w:t>
      </w:r>
      <w:r>
        <w:t xml:space="preserve"> (in the case of </w:t>
      </w:r>
      <w:r>
        <w:rPr>
          <w:rFonts w:hint="cs"/>
          <w:rtl/>
        </w:rPr>
        <w:t>והאכלתיו פרס</w:t>
      </w:r>
      <w:r>
        <w:t xml:space="preserve">) refers to a </w:t>
      </w:r>
      <w:r>
        <w:rPr>
          <w:rFonts w:hint="cs"/>
          <w:rtl/>
        </w:rPr>
        <w:t>מגו</w:t>
      </w:r>
      <w:r>
        <w:t xml:space="preserve">; that he could have been a </w:t>
      </w:r>
      <w:r>
        <w:rPr>
          <w:rFonts w:hint="cs"/>
          <w:rtl/>
        </w:rPr>
        <w:t>כופר הכל</w:t>
      </w:r>
      <w:r>
        <w:t xml:space="preserve"> and claimed that he paid everything. See following footnote # 5.</w:t>
      </w:r>
    </w:p>
  </w:footnote>
  <w:footnote w:id="4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</w:rPr>
        <w:t>רש"י (ד"ה אליבא)</w:t>
      </w:r>
      <w:r>
        <w:t xml:space="preserve"> who maintains that the ruling of </w:t>
      </w:r>
      <w:r>
        <w:rPr>
          <w:rFonts w:hint="cs"/>
          <w:rtl/>
        </w:rPr>
        <w:t>ר"י</w:t>
      </w:r>
      <w:r>
        <w:t xml:space="preserve"> is in a case of </w:t>
      </w:r>
      <w:r>
        <w:rPr>
          <w:rFonts w:hint="cs"/>
          <w:rtl/>
        </w:rPr>
        <w:t>אין הלה תובעו</w:t>
      </w:r>
      <w:r>
        <w:t xml:space="preserve">, the question is directed to the </w:t>
      </w:r>
      <w:r>
        <w:rPr>
          <w:rFonts w:hint="cs"/>
          <w:rtl/>
        </w:rPr>
        <w:t>רישא</w:t>
      </w:r>
      <w:r w:rsidR="008610D1">
        <w:t xml:space="preserve"> (that he would be believed even in a case of </w:t>
      </w:r>
      <w:r w:rsidR="008610D1">
        <w:rPr>
          <w:rFonts w:hint="cs"/>
          <w:rtl/>
        </w:rPr>
        <w:t>הלה תובעו</w:t>
      </w:r>
      <w:r w:rsidR="008610D1">
        <w:t>)</w:t>
      </w:r>
      <w:r>
        <w:t xml:space="preserve">, however according to </w:t>
      </w:r>
      <w:r>
        <w:rPr>
          <w:rFonts w:hint="cs"/>
          <w:rtl/>
        </w:rPr>
        <w:t>תוספות</w:t>
      </w:r>
      <w:r>
        <w:t xml:space="preserve"> that </w:t>
      </w:r>
      <w:r>
        <w:rPr>
          <w:rFonts w:hint="cs"/>
          <w:rtl/>
        </w:rPr>
        <w:t>ר"י</w:t>
      </w:r>
      <w:r>
        <w:t xml:space="preserve"> is also discussing a case of </w:t>
      </w:r>
      <w:r>
        <w:rPr>
          <w:rFonts w:hint="cs"/>
          <w:rtl/>
        </w:rPr>
        <w:t>הלה תובעו</w:t>
      </w:r>
      <w:r w:rsidR="008610D1">
        <w:t>,</w:t>
      </w:r>
      <w:r>
        <w:t xml:space="preserve"> the</w:t>
      </w:r>
      <w:r w:rsidR="008610D1">
        <w:t xml:space="preserve"> s</w:t>
      </w:r>
      <w:r w:rsidR="008610D1">
        <w:rPr>
          <w:rFonts w:hint="cs"/>
          <w:rtl/>
        </w:rPr>
        <w:t>גמרא'</w:t>
      </w:r>
      <w:r>
        <w:t xml:space="preserve"> question is not readily understood.</w:t>
      </w:r>
    </w:p>
  </w:footnote>
  <w:footnote w:id="5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terms </w:t>
      </w:r>
      <w:r>
        <w:rPr>
          <w:rFonts w:hint="cs"/>
          <w:rtl/>
        </w:rPr>
        <w:t>הפה שאסר</w:t>
      </w:r>
      <w:r>
        <w:t xml:space="preserve"> and </w:t>
      </w:r>
      <w:r>
        <w:rPr>
          <w:rFonts w:hint="cs"/>
          <w:rtl/>
        </w:rPr>
        <w:t>משיב אבידה</w:t>
      </w:r>
      <w:r>
        <w:t xml:space="preserve"> are identical in this instance of </w:t>
      </w:r>
      <w:r>
        <w:rPr>
          <w:rFonts w:hint="cs"/>
          <w:rtl/>
        </w:rPr>
        <w:t>והאכלתיו פרס</w:t>
      </w:r>
      <w:r>
        <w:t>. See previous footnote # 3.</w:t>
      </w:r>
    </w:p>
  </w:footnote>
  <w:footnote w:id="6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Every </w:t>
      </w:r>
      <w:r>
        <w:rPr>
          <w:rFonts w:hint="cs"/>
          <w:rtl/>
        </w:rPr>
        <w:t>מודה במקצת</w:t>
      </w:r>
      <w:r>
        <w:t xml:space="preserve"> (seemingly) has a </w:t>
      </w:r>
      <w:r>
        <w:rPr>
          <w:rFonts w:hint="cs"/>
          <w:rtl/>
        </w:rPr>
        <w:t>מגו</w:t>
      </w:r>
      <w:r>
        <w:t xml:space="preserve"> of </w:t>
      </w:r>
      <w:r>
        <w:rPr>
          <w:rFonts w:hint="cs"/>
          <w:rtl/>
        </w:rPr>
        <w:t>כופר הכל</w:t>
      </w:r>
      <w:r>
        <w:t xml:space="preserve"> and nevertheless is required to swear (as </w:t>
      </w:r>
      <w:r>
        <w:rPr>
          <w:rFonts w:hint="cs"/>
          <w:rtl/>
        </w:rPr>
        <w:t>רבה</w:t>
      </w:r>
      <w:r>
        <w:t xml:space="preserve"> will shortly explain in the </w:t>
      </w:r>
      <w:r>
        <w:rPr>
          <w:rFonts w:hint="cs"/>
          <w:rtl/>
        </w:rPr>
        <w:t>גמרא</w:t>
      </w:r>
      <w:r>
        <w:t xml:space="preserve">). Why is this </w:t>
      </w:r>
      <w:r>
        <w:rPr>
          <w:rFonts w:hint="cs"/>
          <w:rtl/>
        </w:rPr>
        <w:t>מודה במקצת</w:t>
      </w:r>
      <w:r>
        <w:t xml:space="preserve"> of </w:t>
      </w:r>
      <w:r>
        <w:rPr>
          <w:rFonts w:hint="cs"/>
          <w:rtl/>
        </w:rPr>
        <w:t>והאכלתי פרס</w:t>
      </w:r>
      <w:r>
        <w:t xml:space="preserve"> any different?! </w:t>
      </w:r>
    </w:p>
  </w:footnote>
  <w:footnote w:id="7">
    <w:p w:rsidR="00C4610F" w:rsidRDefault="00C4610F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יח,ב</w:t>
      </w:r>
      <w:r>
        <w:t>.</w:t>
      </w:r>
    </w:p>
  </w:footnote>
  <w:footnote w:id="8">
    <w:p w:rsidR="00B13580" w:rsidRDefault="00B13580" w:rsidP="0040021A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This is why by </w:t>
      </w:r>
      <w:r>
        <w:rPr>
          <w:rFonts w:hint="cs"/>
          <w:rtl/>
        </w:rPr>
        <w:t>והאכלתיו פרס</w:t>
      </w:r>
      <w:r>
        <w:t xml:space="preserve"> the </w:t>
      </w:r>
      <w:r>
        <w:rPr>
          <w:rFonts w:hint="cs"/>
          <w:rtl/>
        </w:rPr>
        <w:t>לוה</w:t>
      </w:r>
      <w:r>
        <w:t xml:space="preserve"> is considered a </w:t>
      </w:r>
      <w:r>
        <w:rPr>
          <w:rFonts w:hint="cs"/>
          <w:rtl/>
        </w:rPr>
        <w:t>משיב אבידה</w:t>
      </w:r>
      <w:r>
        <w:t xml:space="preserve"> and is </w:t>
      </w:r>
      <w:r>
        <w:rPr>
          <w:rFonts w:hint="cs"/>
          <w:rtl/>
        </w:rPr>
        <w:t>פטור</w:t>
      </w:r>
      <w:r>
        <w:t xml:space="preserve"> from a </w:t>
      </w:r>
      <w:r>
        <w:rPr>
          <w:rFonts w:hint="cs"/>
          <w:rtl/>
        </w:rPr>
        <w:t>שבועה</w:t>
      </w:r>
      <w:r>
        <w:t xml:space="preserve"> since he has the </w:t>
      </w:r>
      <w:r>
        <w:rPr>
          <w:rFonts w:hint="cs"/>
          <w:rtl/>
        </w:rPr>
        <w:t>מגו</w:t>
      </w:r>
      <w:r>
        <w:t xml:space="preserve"> of being a </w:t>
      </w:r>
      <w:r>
        <w:rPr>
          <w:rFonts w:hint="cs"/>
          <w:rtl/>
        </w:rPr>
        <w:t>כופר הכל</w:t>
      </w:r>
      <w:r>
        <w:t xml:space="preserve">. The rule of </w:t>
      </w:r>
      <w:r>
        <w:rPr>
          <w:rFonts w:hint="cs"/>
          <w:rtl/>
        </w:rPr>
        <w:t>אין אדם מעיז פניו כו'</w:t>
      </w:r>
      <w:r>
        <w:t xml:space="preserve"> does not apply here. However this itself is no contradiction to </w:t>
      </w:r>
      <w:r>
        <w:rPr>
          <w:rFonts w:hint="cs"/>
          <w:rtl/>
        </w:rPr>
        <w:t>ר"י</w:t>
      </w:r>
      <w:r>
        <w:t xml:space="preserve">; on the contrary this conforms to the ruling of </w:t>
      </w:r>
      <w:r>
        <w:rPr>
          <w:rFonts w:hint="cs"/>
          <w:rtl/>
        </w:rPr>
        <w:t>ר"י</w:t>
      </w:r>
      <w:r>
        <w:t xml:space="preserve">. The difficulty stems from the purported </w:t>
      </w:r>
      <w:r>
        <w:rPr>
          <w:rFonts w:hint="cs"/>
          <w:rtl/>
        </w:rPr>
        <w:t>'סיפא'</w:t>
      </w:r>
      <w:r>
        <w:t xml:space="preserve">, as </w:t>
      </w:r>
      <w:r>
        <w:rPr>
          <w:rFonts w:hint="cs"/>
          <w:rtl/>
        </w:rPr>
        <w:t>תוספות</w:t>
      </w:r>
      <w:r>
        <w:t xml:space="preserve"> concludes.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80" w:rsidRDefault="00B13580" w:rsidP="007A546E">
    <w:pPr>
      <w:pStyle w:val="Header"/>
      <w:bidi/>
      <w:rPr>
        <w:rFonts w:hint="cs"/>
        <w:rtl/>
      </w:rPr>
    </w:pPr>
    <w:r>
      <w:rPr>
        <w:rFonts w:hint="cs"/>
        <w:rtl/>
      </w:rPr>
      <w:t>בס"ד. כתובות יח,א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546E"/>
    <w:rsid w:val="00025CE9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1E4A3C"/>
    <w:rsid w:val="00221697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2E6310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C2861"/>
    <w:rsid w:val="003D34E8"/>
    <w:rsid w:val="003E0B99"/>
    <w:rsid w:val="003E0BE9"/>
    <w:rsid w:val="003E4143"/>
    <w:rsid w:val="003F0F83"/>
    <w:rsid w:val="0040021A"/>
    <w:rsid w:val="0041626A"/>
    <w:rsid w:val="00442246"/>
    <w:rsid w:val="0045569C"/>
    <w:rsid w:val="004912CF"/>
    <w:rsid w:val="004C2792"/>
    <w:rsid w:val="004D44F9"/>
    <w:rsid w:val="004D743A"/>
    <w:rsid w:val="004F5CC8"/>
    <w:rsid w:val="0051001C"/>
    <w:rsid w:val="00524098"/>
    <w:rsid w:val="00525981"/>
    <w:rsid w:val="00526332"/>
    <w:rsid w:val="005361BA"/>
    <w:rsid w:val="00543154"/>
    <w:rsid w:val="00543AAD"/>
    <w:rsid w:val="00552A0A"/>
    <w:rsid w:val="00576327"/>
    <w:rsid w:val="00587A08"/>
    <w:rsid w:val="00594AD0"/>
    <w:rsid w:val="00594FFE"/>
    <w:rsid w:val="00596A4A"/>
    <w:rsid w:val="005B4DE3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A546E"/>
    <w:rsid w:val="007C662F"/>
    <w:rsid w:val="007D4D05"/>
    <w:rsid w:val="007E5721"/>
    <w:rsid w:val="00800D57"/>
    <w:rsid w:val="0080628F"/>
    <w:rsid w:val="00810514"/>
    <w:rsid w:val="008247DD"/>
    <w:rsid w:val="008260EE"/>
    <w:rsid w:val="00853C28"/>
    <w:rsid w:val="008610D1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80592"/>
    <w:rsid w:val="009931CD"/>
    <w:rsid w:val="009A5F36"/>
    <w:rsid w:val="009C6227"/>
    <w:rsid w:val="009D3149"/>
    <w:rsid w:val="009E0383"/>
    <w:rsid w:val="009E2DE5"/>
    <w:rsid w:val="00A5142C"/>
    <w:rsid w:val="00A5591D"/>
    <w:rsid w:val="00A55D6A"/>
    <w:rsid w:val="00A5722D"/>
    <w:rsid w:val="00A603D1"/>
    <w:rsid w:val="00A619AB"/>
    <w:rsid w:val="00A74CA4"/>
    <w:rsid w:val="00A74DFE"/>
    <w:rsid w:val="00A80985"/>
    <w:rsid w:val="00AA0A7C"/>
    <w:rsid w:val="00AE7621"/>
    <w:rsid w:val="00AF6948"/>
    <w:rsid w:val="00B13580"/>
    <w:rsid w:val="00B320A8"/>
    <w:rsid w:val="00B5520D"/>
    <w:rsid w:val="00B736BA"/>
    <w:rsid w:val="00B9107D"/>
    <w:rsid w:val="00B94180"/>
    <w:rsid w:val="00BA0498"/>
    <w:rsid w:val="00BA0EA7"/>
    <w:rsid w:val="00BA28E7"/>
    <w:rsid w:val="00BE05FC"/>
    <w:rsid w:val="00BE5AB0"/>
    <w:rsid w:val="00C05341"/>
    <w:rsid w:val="00C2661A"/>
    <w:rsid w:val="00C32768"/>
    <w:rsid w:val="00C4610F"/>
    <w:rsid w:val="00C47587"/>
    <w:rsid w:val="00C50B9E"/>
    <w:rsid w:val="00C94D8F"/>
    <w:rsid w:val="00CB2EF7"/>
    <w:rsid w:val="00CE5DC6"/>
    <w:rsid w:val="00CF45CE"/>
    <w:rsid w:val="00D010DD"/>
    <w:rsid w:val="00D12A67"/>
    <w:rsid w:val="00D46EF8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06322"/>
    <w:rsid w:val="00E24AF7"/>
    <w:rsid w:val="00E2627F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07E11"/>
    <w:rsid w:val="00F13ED9"/>
    <w:rsid w:val="00F41AB9"/>
    <w:rsid w:val="00F44D24"/>
    <w:rsid w:val="00F4628C"/>
    <w:rsid w:val="00F50751"/>
    <w:rsid w:val="00F50F81"/>
    <w:rsid w:val="00F74414"/>
    <w:rsid w:val="00F81D09"/>
    <w:rsid w:val="00F82978"/>
    <w:rsid w:val="00F931A0"/>
    <w:rsid w:val="00F93757"/>
    <w:rsid w:val="00F9736B"/>
    <w:rsid w:val="00FB2B15"/>
    <w:rsid w:val="00FD5C73"/>
    <w:rsid w:val="00FE5CCA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9375CE-F785-43AB-BFF4-56AF8697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A54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546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E5CCA"/>
    <w:rPr>
      <w:sz w:val="20"/>
      <w:szCs w:val="20"/>
    </w:rPr>
  </w:style>
  <w:style w:type="character" w:styleId="FootnoteReference">
    <w:name w:val="footnote reference"/>
    <w:semiHidden/>
    <w:rsid w:val="00FE5CCA"/>
    <w:rPr>
      <w:vertAlign w:val="superscript"/>
    </w:rPr>
  </w:style>
  <w:style w:type="character" w:styleId="PageNumber">
    <w:name w:val="page number"/>
    <w:basedOn w:val="DefaultParagraphFont"/>
    <w:rsid w:val="00A74CA4"/>
  </w:style>
  <w:style w:type="character" w:customStyle="1" w:styleId="FooterChar">
    <w:name w:val="Footer Char"/>
    <w:link w:val="Footer"/>
    <w:uiPriority w:val="99"/>
    <w:rsid w:val="00BA28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Oholei Torah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piekarski</dc:creator>
  <cp:keywords/>
  <cp:lastModifiedBy>Microsoft account</cp:lastModifiedBy>
  <cp:revision>2</cp:revision>
  <cp:lastPrinted>2015-08-09T14:28:00Z</cp:lastPrinted>
  <dcterms:created xsi:type="dcterms:W3CDTF">2022-04-05T10:44:00Z</dcterms:created>
  <dcterms:modified xsi:type="dcterms:W3CDTF">2022-04-05T10:44:00Z</dcterms:modified>
</cp:coreProperties>
</file>