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C7" w:rsidRDefault="00FB3BC7" w:rsidP="00D71B92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 w:rsidRPr="00FB3BC7">
        <w:rPr>
          <w:rFonts w:hint="cs"/>
          <w:b/>
          <w:bCs/>
          <w:sz w:val="36"/>
          <w:szCs w:val="36"/>
          <w:rtl/>
        </w:rPr>
        <w:t>ורבי</w:t>
      </w:r>
      <w:r w:rsidRPr="00FB3BC7">
        <w:rPr>
          <w:rFonts w:hint="cs"/>
          <w:b/>
          <w:bCs/>
          <w:sz w:val="32"/>
          <w:szCs w:val="32"/>
          <w:rtl/>
        </w:rPr>
        <w:t xml:space="preserve"> אליעזר בן יעקב לית ליה משיב אבידה פטור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</w:p>
    <w:p w:rsidR="0005681E" w:rsidRDefault="00FB3BC7" w:rsidP="00D71B92">
      <w:pPr>
        <w:spacing w:line="276" w:lineRule="auto"/>
        <w:jc w:val="both"/>
      </w:pPr>
      <w:r>
        <w:rPr>
          <w:b/>
          <w:bCs/>
          <w:sz w:val="32"/>
          <w:szCs w:val="32"/>
        </w:rPr>
        <w:t xml:space="preserve">And does not </w:t>
      </w:r>
      <w:r>
        <w:rPr>
          <w:rFonts w:hint="cs"/>
          <w:b/>
          <w:bCs/>
          <w:sz w:val="32"/>
          <w:szCs w:val="32"/>
          <w:rtl/>
        </w:rPr>
        <w:t>ראב"י</w:t>
      </w:r>
      <w:r>
        <w:rPr>
          <w:b/>
          <w:bCs/>
          <w:sz w:val="32"/>
          <w:szCs w:val="32"/>
        </w:rPr>
        <w:t xml:space="preserve"> maintain that </w:t>
      </w:r>
      <w:r w:rsidRPr="00FB3BC7">
        <w:rPr>
          <w:b/>
          <w:bCs/>
          <w:sz w:val="32"/>
          <w:szCs w:val="32"/>
        </w:rPr>
        <w:t>one who returns a lost object</w:t>
      </w:r>
      <w:r w:rsidRPr="00FB3BC7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is exempt </w:t>
      </w:r>
      <w:r>
        <w:rPr>
          <w:sz w:val="32"/>
          <w:szCs w:val="32"/>
        </w:rPr>
        <w:t>from taking an oath</w:t>
      </w:r>
    </w:p>
    <w:p w:rsidR="00FB3BC7" w:rsidRDefault="00FB3BC7" w:rsidP="00D71B92">
      <w:pPr>
        <w:spacing w:line="276" w:lineRule="auto"/>
        <w:jc w:val="both"/>
      </w:pPr>
    </w:p>
    <w:p w:rsidR="00FB3BC7" w:rsidRPr="00D71B92" w:rsidRDefault="00F925B5" w:rsidP="00D71B9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D71B92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F925B5" w:rsidRPr="00F925B5" w:rsidRDefault="00B30884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cited a dispute between the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and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 in a case of a </w:t>
      </w:r>
      <w:r>
        <w:rPr>
          <w:rFonts w:hint="cs"/>
          <w:sz w:val="28"/>
          <w:szCs w:val="28"/>
          <w:rtl/>
        </w:rPr>
        <w:t>מודה במקצת בטענת עצמו</w:t>
      </w:r>
      <w:r>
        <w:rPr>
          <w:sz w:val="28"/>
          <w:szCs w:val="28"/>
        </w:rPr>
        <w:t>. Currently</w:t>
      </w:r>
      <w:r w:rsidR="0029645C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understood this to mean literally that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approached the son of the (deceased)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and admitted to borrowing a </w:t>
      </w:r>
      <w:r>
        <w:rPr>
          <w:rFonts w:hint="cs"/>
          <w:sz w:val="28"/>
          <w:szCs w:val="28"/>
          <w:rtl/>
        </w:rPr>
        <w:t>מנה</w:t>
      </w:r>
      <w:r>
        <w:rPr>
          <w:sz w:val="28"/>
          <w:szCs w:val="28"/>
        </w:rPr>
        <w:t xml:space="preserve"> from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; however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claims he repaid the father half. </w:t>
      </w:r>
      <w:r w:rsidR="00462838">
        <w:rPr>
          <w:rFonts w:hint="cs"/>
          <w:sz w:val="28"/>
          <w:szCs w:val="28"/>
          <w:rtl/>
        </w:rPr>
        <w:t>ראב"י</w:t>
      </w:r>
      <w:r w:rsidR="00462838">
        <w:rPr>
          <w:sz w:val="28"/>
          <w:szCs w:val="28"/>
        </w:rPr>
        <w:t xml:space="preserve"> maintains that it is a case of </w:t>
      </w:r>
      <w:r w:rsidR="00462838">
        <w:rPr>
          <w:rFonts w:hint="cs"/>
          <w:sz w:val="28"/>
          <w:szCs w:val="28"/>
          <w:rtl/>
        </w:rPr>
        <w:t>מודה במקצת</w:t>
      </w:r>
      <w:r w:rsidR="00462838">
        <w:rPr>
          <w:rStyle w:val="FootnoteReference"/>
          <w:sz w:val="28"/>
          <w:szCs w:val="28"/>
          <w:rtl/>
        </w:rPr>
        <w:footnoteReference w:id="2"/>
      </w:r>
      <w:r w:rsidR="00462838">
        <w:rPr>
          <w:sz w:val="28"/>
          <w:szCs w:val="28"/>
        </w:rPr>
        <w:t xml:space="preserve"> and the </w:t>
      </w:r>
      <w:r w:rsidR="00462838">
        <w:rPr>
          <w:rFonts w:hint="cs"/>
          <w:sz w:val="28"/>
          <w:szCs w:val="28"/>
          <w:rtl/>
        </w:rPr>
        <w:t>לוה</w:t>
      </w:r>
      <w:r w:rsidR="00462838">
        <w:rPr>
          <w:sz w:val="28"/>
          <w:szCs w:val="28"/>
        </w:rPr>
        <w:t xml:space="preserve"> must swear to the son that he indeed paid half. The </w:t>
      </w:r>
      <w:r w:rsidR="00462838">
        <w:rPr>
          <w:rFonts w:hint="cs"/>
          <w:sz w:val="28"/>
          <w:szCs w:val="28"/>
          <w:rtl/>
        </w:rPr>
        <w:t>חכמים</w:t>
      </w:r>
      <w:r w:rsidR="00462838">
        <w:rPr>
          <w:sz w:val="28"/>
          <w:szCs w:val="28"/>
        </w:rPr>
        <w:t xml:space="preserve"> argue that here, since the </w:t>
      </w:r>
      <w:r w:rsidR="00462838">
        <w:rPr>
          <w:rFonts w:hint="cs"/>
          <w:sz w:val="28"/>
          <w:szCs w:val="28"/>
          <w:rtl/>
        </w:rPr>
        <w:t>לוה</w:t>
      </w:r>
      <w:r w:rsidR="00462838">
        <w:rPr>
          <w:sz w:val="28"/>
          <w:szCs w:val="28"/>
        </w:rPr>
        <w:t xml:space="preserve"> initially approached the son of the </w:t>
      </w:r>
      <w:r w:rsidR="00462838">
        <w:rPr>
          <w:rFonts w:hint="cs"/>
          <w:sz w:val="28"/>
          <w:szCs w:val="28"/>
          <w:rtl/>
        </w:rPr>
        <w:t>מלוה</w:t>
      </w:r>
      <w:r w:rsidR="00462838">
        <w:rPr>
          <w:sz w:val="28"/>
          <w:szCs w:val="28"/>
        </w:rPr>
        <w:t xml:space="preserve">, the </w:t>
      </w:r>
      <w:r w:rsidR="00462838">
        <w:rPr>
          <w:rFonts w:hint="cs"/>
          <w:sz w:val="28"/>
          <w:szCs w:val="28"/>
          <w:rtl/>
        </w:rPr>
        <w:t>לוה</w:t>
      </w:r>
      <w:r w:rsidR="00462838">
        <w:rPr>
          <w:sz w:val="28"/>
          <w:szCs w:val="28"/>
        </w:rPr>
        <w:t xml:space="preserve"> is considered a </w:t>
      </w:r>
      <w:r w:rsidR="00462838">
        <w:rPr>
          <w:rFonts w:hint="cs"/>
          <w:sz w:val="28"/>
          <w:szCs w:val="28"/>
          <w:rtl/>
        </w:rPr>
        <w:t>משיב אבידה</w:t>
      </w:r>
      <w:r w:rsidR="00462838">
        <w:rPr>
          <w:sz w:val="28"/>
          <w:szCs w:val="28"/>
        </w:rPr>
        <w:t xml:space="preserve"> (for he could have chosen not to come forward at all), and is therefore exempt from the </w:t>
      </w:r>
      <w:r w:rsidR="00462838">
        <w:rPr>
          <w:rFonts w:hint="cs"/>
          <w:sz w:val="28"/>
          <w:szCs w:val="28"/>
          <w:rtl/>
        </w:rPr>
        <w:t>שבועת מודה במקצת</w:t>
      </w:r>
      <w:r w:rsidR="00462838">
        <w:rPr>
          <w:sz w:val="28"/>
          <w:szCs w:val="28"/>
        </w:rPr>
        <w:t xml:space="preserve">. The </w:t>
      </w:r>
      <w:r w:rsidR="00462838">
        <w:rPr>
          <w:rFonts w:hint="cs"/>
          <w:sz w:val="28"/>
          <w:szCs w:val="28"/>
          <w:rtl/>
        </w:rPr>
        <w:t>גמרא</w:t>
      </w:r>
      <w:r w:rsidR="00462838">
        <w:rPr>
          <w:sz w:val="28"/>
          <w:szCs w:val="28"/>
        </w:rPr>
        <w:t xml:space="preserve"> challenges the view of </w:t>
      </w:r>
      <w:r w:rsidR="00462838">
        <w:rPr>
          <w:rFonts w:hint="cs"/>
          <w:sz w:val="28"/>
          <w:szCs w:val="28"/>
          <w:rtl/>
        </w:rPr>
        <w:t>ראב"י</w:t>
      </w:r>
      <w:r w:rsidR="00462838">
        <w:rPr>
          <w:sz w:val="28"/>
          <w:szCs w:val="28"/>
        </w:rPr>
        <w:t xml:space="preserve"> and asks ‘can it possibly be that </w:t>
      </w:r>
      <w:r w:rsidR="00462838">
        <w:rPr>
          <w:rFonts w:hint="cs"/>
          <w:sz w:val="28"/>
          <w:szCs w:val="28"/>
          <w:rtl/>
        </w:rPr>
        <w:t>ראב"י</w:t>
      </w:r>
      <w:r w:rsidR="00462838">
        <w:rPr>
          <w:sz w:val="28"/>
          <w:szCs w:val="28"/>
        </w:rPr>
        <w:t xml:space="preserve"> does not agree that a </w:t>
      </w:r>
      <w:r w:rsidR="00462838">
        <w:rPr>
          <w:rFonts w:hint="cs"/>
          <w:sz w:val="28"/>
          <w:szCs w:val="28"/>
          <w:rtl/>
        </w:rPr>
        <w:t>משיב אבידה</w:t>
      </w:r>
      <w:r w:rsidR="00462838">
        <w:rPr>
          <w:sz w:val="28"/>
          <w:szCs w:val="28"/>
        </w:rPr>
        <w:t xml:space="preserve"> is </w:t>
      </w:r>
      <w:r w:rsidR="00462838">
        <w:rPr>
          <w:rFonts w:hint="cs"/>
          <w:sz w:val="28"/>
          <w:szCs w:val="28"/>
          <w:rtl/>
        </w:rPr>
        <w:t>פטור</w:t>
      </w:r>
      <w:r w:rsidR="00462838">
        <w:rPr>
          <w:sz w:val="28"/>
          <w:szCs w:val="28"/>
        </w:rPr>
        <w:t xml:space="preserve"> from a </w:t>
      </w:r>
      <w:r w:rsidR="00462838">
        <w:rPr>
          <w:rFonts w:hint="cs"/>
          <w:sz w:val="28"/>
          <w:szCs w:val="28"/>
          <w:rtl/>
        </w:rPr>
        <w:t>שבועה</w:t>
      </w:r>
      <w:r w:rsidR="00462838">
        <w:rPr>
          <w:sz w:val="28"/>
          <w:szCs w:val="28"/>
        </w:rPr>
        <w:t xml:space="preserve">’?! The issue at hand is why the </w:t>
      </w:r>
      <w:r w:rsidR="00462838">
        <w:rPr>
          <w:sz w:val="28"/>
          <w:szCs w:val="28"/>
          <w:rtl/>
        </w:rPr>
        <w:t>גמרא</w:t>
      </w:r>
      <w:r w:rsidR="00462838">
        <w:rPr>
          <w:sz w:val="28"/>
          <w:szCs w:val="28"/>
        </w:rPr>
        <w:t xml:space="preserve"> is so certain that </w:t>
      </w:r>
      <w:r w:rsidR="00462838">
        <w:rPr>
          <w:rFonts w:hint="cs"/>
          <w:sz w:val="28"/>
          <w:szCs w:val="28"/>
          <w:rtl/>
        </w:rPr>
        <w:t>ראב"י</w:t>
      </w:r>
      <w:r w:rsidR="00462838">
        <w:rPr>
          <w:sz w:val="28"/>
          <w:szCs w:val="28"/>
        </w:rPr>
        <w:t xml:space="preserve"> maintains that a </w:t>
      </w:r>
      <w:r w:rsidR="00462838">
        <w:rPr>
          <w:rFonts w:hint="cs"/>
          <w:sz w:val="28"/>
          <w:szCs w:val="28"/>
          <w:rtl/>
        </w:rPr>
        <w:t>משיב אבידה</w:t>
      </w:r>
      <w:r w:rsidR="00462838">
        <w:rPr>
          <w:sz w:val="28"/>
          <w:szCs w:val="28"/>
        </w:rPr>
        <w:t xml:space="preserve"> is </w:t>
      </w:r>
      <w:r w:rsidR="00462838">
        <w:rPr>
          <w:rFonts w:hint="cs"/>
          <w:sz w:val="28"/>
          <w:szCs w:val="28"/>
          <w:rtl/>
        </w:rPr>
        <w:t>פטור</w:t>
      </w:r>
      <w:r w:rsidR="00462838">
        <w:rPr>
          <w:sz w:val="28"/>
          <w:szCs w:val="28"/>
        </w:rPr>
        <w:t xml:space="preserve"> from a </w:t>
      </w:r>
      <w:r w:rsidR="00462838">
        <w:rPr>
          <w:rFonts w:hint="cs"/>
          <w:sz w:val="28"/>
          <w:szCs w:val="28"/>
          <w:rtl/>
        </w:rPr>
        <w:t>שבועה</w:t>
      </w:r>
      <w:r w:rsidR="00462838">
        <w:rPr>
          <w:sz w:val="28"/>
          <w:szCs w:val="28"/>
        </w:rPr>
        <w:t xml:space="preserve">. There is a </w:t>
      </w:r>
      <w:r w:rsidR="00462838">
        <w:rPr>
          <w:rFonts w:hint="cs"/>
          <w:sz w:val="28"/>
          <w:szCs w:val="28"/>
          <w:rtl/>
        </w:rPr>
        <w:t>מחלוקת</w:t>
      </w:r>
      <w:r w:rsidR="00462838">
        <w:rPr>
          <w:sz w:val="28"/>
          <w:szCs w:val="28"/>
        </w:rPr>
        <w:t xml:space="preserve"> between </w:t>
      </w:r>
      <w:r w:rsidR="00462838">
        <w:rPr>
          <w:rFonts w:hint="cs"/>
          <w:sz w:val="28"/>
          <w:szCs w:val="28"/>
          <w:rtl/>
        </w:rPr>
        <w:t>רש"י</w:t>
      </w:r>
      <w:r w:rsidR="00462838">
        <w:rPr>
          <w:sz w:val="28"/>
          <w:szCs w:val="28"/>
        </w:rPr>
        <w:t xml:space="preserve"> and </w:t>
      </w:r>
      <w:r w:rsidR="00462838">
        <w:rPr>
          <w:rFonts w:hint="cs"/>
          <w:sz w:val="28"/>
          <w:szCs w:val="28"/>
          <w:rtl/>
        </w:rPr>
        <w:t>תוספות</w:t>
      </w:r>
      <w:r w:rsidR="00462838">
        <w:rPr>
          <w:sz w:val="28"/>
          <w:szCs w:val="28"/>
        </w:rPr>
        <w:t xml:space="preserve"> in explaining the s</w:t>
      </w:r>
      <w:r w:rsidR="00462838">
        <w:rPr>
          <w:rFonts w:hint="cs"/>
          <w:sz w:val="28"/>
          <w:szCs w:val="28"/>
          <w:rtl/>
        </w:rPr>
        <w:t>גמרא'</w:t>
      </w:r>
      <w:r w:rsidR="00462838">
        <w:rPr>
          <w:sz w:val="28"/>
          <w:szCs w:val="28"/>
        </w:rPr>
        <w:t xml:space="preserve"> assumption.</w:t>
      </w:r>
    </w:p>
    <w:p w:rsidR="00FB3BC7" w:rsidRDefault="0029645C" w:rsidP="00D71B92">
      <w:pPr>
        <w:spacing w:line="276" w:lineRule="auto"/>
        <w:jc w:val="center"/>
      </w:pPr>
      <w:r>
        <w:t>-------------------</w:t>
      </w:r>
    </w:p>
    <w:p w:rsidR="00D71B92" w:rsidRPr="00F35C2D" w:rsidRDefault="00FB3BC7" w:rsidP="00D71B92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F35C2D">
        <w:rPr>
          <w:rFonts w:ascii="David" w:hAnsi="David" w:cs="David"/>
          <w:b/>
          <w:bCs/>
          <w:sz w:val="28"/>
          <w:szCs w:val="28"/>
          <w:rtl/>
        </w:rPr>
        <w:t>פירש בקונטרס</w:t>
      </w:r>
      <w:r w:rsidR="00D71B92" w:rsidRPr="00F35C2D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3"/>
      </w:r>
      <w:r w:rsidR="00D71B92" w:rsidRPr="00F35C2D">
        <w:rPr>
          <w:rFonts w:ascii="David" w:hAnsi="David" w:cs="David"/>
          <w:b/>
          <w:bCs/>
          <w:sz w:val="28"/>
          <w:szCs w:val="28"/>
        </w:rPr>
        <w:t xml:space="preserve"> </w:t>
      </w:r>
      <w:r w:rsidR="00D71B92" w:rsidRPr="00F35C2D">
        <w:rPr>
          <w:rFonts w:ascii="David" w:hAnsi="David" w:cs="David"/>
          <w:b/>
          <w:bCs/>
          <w:sz w:val="28"/>
          <w:szCs w:val="28"/>
          <w:rtl/>
        </w:rPr>
        <w:t>התנן</w:t>
      </w:r>
      <w:r w:rsidR="00D71B92" w:rsidRPr="00F35C2D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4"/>
      </w:r>
      <w:r w:rsidR="00D71B92" w:rsidRPr="00F35C2D">
        <w:rPr>
          <w:rFonts w:ascii="David" w:hAnsi="David" w:cs="David"/>
          <w:b/>
          <w:bCs/>
          <w:sz w:val="28"/>
          <w:szCs w:val="28"/>
          <w:rtl/>
        </w:rPr>
        <w:t xml:space="preserve"> המוצא מציאה לא ישבע מפני תיקון העולם</w:t>
      </w:r>
      <w:r w:rsidR="00D71B92" w:rsidRPr="00F35C2D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5"/>
      </w:r>
      <w:r w:rsidR="00D71B92" w:rsidRPr="00F35C2D">
        <w:rPr>
          <w:rFonts w:ascii="David" w:hAnsi="David" w:cs="David"/>
          <w:b/>
          <w:bCs/>
          <w:sz w:val="28"/>
          <w:szCs w:val="28"/>
          <w:rtl/>
        </w:rPr>
        <w:t xml:space="preserve"> -</w:t>
      </w:r>
    </w:p>
    <w:p w:rsidR="00FB3BC7" w:rsidRPr="00191970" w:rsidRDefault="00FB3BC7" w:rsidP="00D71B92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רש"י</w:t>
      </w:r>
      <w:r>
        <w:rPr>
          <w:b/>
          <w:bCs/>
          <w:sz w:val="28"/>
          <w:szCs w:val="28"/>
        </w:rPr>
        <w:t xml:space="preserve"> explained </w:t>
      </w:r>
      <w:r>
        <w:rPr>
          <w:sz w:val="28"/>
          <w:szCs w:val="28"/>
        </w:rPr>
        <w:t xml:space="preserve">that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assumed that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definitely agrees that a </w:t>
      </w:r>
      <w:r>
        <w:rPr>
          <w:rFonts w:hint="cs"/>
          <w:sz w:val="28"/>
          <w:szCs w:val="28"/>
          <w:rtl/>
        </w:rPr>
        <w:t>משיב אבידה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פטור</w:t>
      </w:r>
      <w:r>
        <w:rPr>
          <w:sz w:val="28"/>
          <w:szCs w:val="28"/>
        </w:rPr>
        <w:t xml:space="preserve"> from a </w:t>
      </w:r>
      <w:r>
        <w:rPr>
          <w:rFonts w:hint="cs"/>
          <w:sz w:val="28"/>
          <w:szCs w:val="28"/>
          <w:rtl/>
        </w:rPr>
        <w:t>שבועה</w:t>
      </w:r>
      <w:r w:rsidR="00D71B92">
        <w:rPr>
          <w:sz w:val="28"/>
          <w:szCs w:val="28"/>
        </w:rPr>
        <w:t>,</w:t>
      </w:r>
      <w:r w:rsidR="00736589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we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that one who finds a lost article is not </w:t>
      </w:r>
      <w:r>
        <w:rPr>
          <w:sz w:val="28"/>
          <w:szCs w:val="28"/>
        </w:rPr>
        <w:t xml:space="preserve">obligated to </w:t>
      </w:r>
      <w:r>
        <w:rPr>
          <w:b/>
          <w:bCs/>
          <w:sz w:val="28"/>
          <w:szCs w:val="28"/>
        </w:rPr>
        <w:t xml:space="preserve">take the oath </w:t>
      </w:r>
      <w:r>
        <w:rPr>
          <w:sz w:val="28"/>
          <w:szCs w:val="28"/>
        </w:rPr>
        <w:t xml:space="preserve">of a </w:t>
      </w:r>
      <w:r>
        <w:rPr>
          <w:rFonts w:hint="cs"/>
          <w:sz w:val="28"/>
          <w:szCs w:val="28"/>
          <w:rtl/>
        </w:rPr>
        <w:t>מודה במקצת</w:t>
      </w:r>
      <w:r w:rsidR="0073658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on account of ‘the betterment of society’</w:t>
      </w:r>
      <w:r w:rsidR="00466C35">
        <w:rPr>
          <w:b/>
          <w:bCs/>
          <w:sz w:val="28"/>
          <w:szCs w:val="28"/>
        </w:rPr>
        <w:t xml:space="preserve">. </w:t>
      </w:r>
      <w:r w:rsidR="00466C35" w:rsidRPr="00191970">
        <w:t xml:space="preserve">This </w:t>
      </w:r>
      <w:r w:rsidR="00466C35" w:rsidRPr="00191970">
        <w:rPr>
          <w:rFonts w:hint="cs"/>
          <w:rtl/>
        </w:rPr>
        <w:t>'תיקון העולם'</w:t>
      </w:r>
      <w:r w:rsidR="00466C35" w:rsidRPr="00191970">
        <w:t xml:space="preserve"> should apply to every</w:t>
      </w:r>
      <w:r w:rsidR="00736589" w:rsidRPr="00191970">
        <w:t xml:space="preserve"> type of</w:t>
      </w:r>
      <w:r w:rsidR="00466C35" w:rsidRPr="00191970">
        <w:t xml:space="preserve"> </w:t>
      </w:r>
      <w:r w:rsidR="00466C35" w:rsidRPr="00191970">
        <w:rPr>
          <w:rFonts w:hint="cs"/>
          <w:rtl/>
        </w:rPr>
        <w:t>'משיב אבידה'</w:t>
      </w:r>
      <w:r w:rsidR="00466C35" w:rsidRPr="00191970">
        <w:t xml:space="preserve">, including our case, where the </w:t>
      </w:r>
      <w:r w:rsidR="00466C35" w:rsidRPr="00191970">
        <w:rPr>
          <w:rFonts w:hint="cs"/>
          <w:rtl/>
        </w:rPr>
        <w:t>לוה</w:t>
      </w:r>
      <w:r w:rsidR="00466C35" w:rsidRPr="00191970">
        <w:t xml:space="preserve"> claims </w:t>
      </w:r>
      <w:r w:rsidR="00466C35" w:rsidRPr="00191970">
        <w:rPr>
          <w:rFonts w:hint="cs"/>
          <w:rtl/>
        </w:rPr>
        <w:t>'והאכילתיו פרס'</w:t>
      </w:r>
      <w:r w:rsidR="00466C35" w:rsidRPr="00191970">
        <w:t xml:space="preserve">; where he did not have to </w:t>
      </w:r>
      <w:r w:rsidR="00736589" w:rsidRPr="00191970">
        <w:t>declare</w:t>
      </w:r>
      <w:r w:rsidR="00466C35" w:rsidRPr="00191970">
        <w:t xml:space="preserve"> in</w:t>
      </w:r>
      <w:r w:rsidR="00736589" w:rsidRPr="00191970">
        <w:t>itially</w:t>
      </w:r>
      <w:r w:rsidR="00466C35" w:rsidRPr="00191970">
        <w:t xml:space="preserve"> that he owed </w:t>
      </w:r>
      <w:r w:rsidR="00736589" w:rsidRPr="00191970">
        <w:t>the</w:t>
      </w:r>
      <w:r w:rsidR="00466C35" w:rsidRPr="00191970">
        <w:t xml:space="preserve"> father money</w:t>
      </w:r>
      <w:r w:rsidR="00D71B92">
        <w:t>.</w:t>
      </w:r>
      <w:r w:rsidR="00466C35" w:rsidRPr="00191970">
        <w:rPr>
          <w:rStyle w:val="FootnoteReference"/>
        </w:rPr>
        <w:footnoteReference w:id="6"/>
      </w:r>
      <w:r w:rsidRPr="00191970">
        <w:rPr>
          <w:b/>
          <w:bCs/>
        </w:rPr>
        <w:t xml:space="preserve"> </w:t>
      </w:r>
      <w:r w:rsidR="00736589" w:rsidRPr="00191970">
        <w:rPr>
          <w:b/>
          <w:bCs/>
        </w:rPr>
        <w:t>–</w:t>
      </w:r>
      <w:r w:rsidRPr="00191970">
        <w:t xml:space="preserve"> </w:t>
      </w:r>
    </w:p>
    <w:p w:rsidR="00736589" w:rsidRPr="00F35C2D" w:rsidRDefault="00736589" w:rsidP="00F35C2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35C2D">
        <w:rPr>
          <w:rFonts w:ascii="David" w:hAnsi="David" w:cs="David"/>
          <w:b/>
          <w:bCs/>
          <w:sz w:val="28"/>
          <w:szCs w:val="28"/>
          <w:rtl/>
        </w:rPr>
        <w:lastRenderedPageBreak/>
        <w:t xml:space="preserve">ואית ספרים דגרסי הכי בהדיא </w:t>
      </w:r>
      <w:r w:rsidR="00F35C2D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FC7C22" w:rsidRPr="00191970" w:rsidRDefault="00736589" w:rsidP="00D71B92">
      <w:pPr>
        <w:spacing w:line="276" w:lineRule="auto"/>
        <w:jc w:val="both"/>
      </w:pPr>
      <w:r w:rsidRPr="00736589">
        <w:rPr>
          <w:b/>
          <w:bCs/>
          <w:sz w:val="28"/>
          <w:szCs w:val="28"/>
        </w:rPr>
        <w:t>And there</w:t>
      </w:r>
      <w:r>
        <w:rPr>
          <w:b/>
          <w:bCs/>
          <w:sz w:val="28"/>
          <w:szCs w:val="28"/>
        </w:rPr>
        <w:t xml:space="preserve"> are texts which state this explicitly;</w:t>
      </w:r>
      <w:r>
        <w:rPr>
          <w:sz w:val="28"/>
          <w:szCs w:val="28"/>
        </w:rPr>
        <w:t xml:space="preserve"> </w:t>
      </w:r>
      <w:r w:rsidRPr="00191970">
        <w:t xml:space="preserve">in some texts it is written that </w:t>
      </w:r>
      <w:r w:rsidRPr="00191970">
        <w:rPr>
          <w:rFonts w:hint="cs"/>
          <w:rtl/>
        </w:rPr>
        <w:t>ראב"י</w:t>
      </w:r>
      <w:r w:rsidRPr="00191970">
        <w:t xml:space="preserve"> cannot disagree with the ruling that a </w:t>
      </w:r>
      <w:r w:rsidRPr="00191970">
        <w:rPr>
          <w:rFonts w:hint="cs"/>
          <w:rtl/>
        </w:rPr>
        <w:t>משיב אבידה</w:t>
      </w:r>
      <w:r w:rsidRPr="00191970">
        <w:t xml:space="preserve"> is </w:t>
      </w:r>
      <w:r w:rsidRPr="00191970">
        <w:rPr>
          <w:rFonts w:hint="cs"/>
          <w:rtl/>
        </w:rPr>
        <w:t>פטור משבועה</w:t>
      </w:r>
      <w:r w:rsidRPr="00191970">
        <w:t xml:space="preserve">, since ‘there is a </w:t>
      </w:r>
      <w:r w:rsidRPr="00191970">
        <w:rPr>
          <w:rFonts w:hint="cs"/>
          <w:rtl/>
        </w:rPr>
        <w:t>משנה</w:t>
      </w:r>
      <w:r w:rsidRPr="00191970">
        <w:t xml:space="preserve"> that states </w:t>
      </w:r>
      <w:r w:rsidRPr="00191970">
        <w:rPr>
          <w:rFonts w:hint="cs"/>
          <w:rtl/>
        </w:rPr>
        <w:t>המוצא מציאה לא ישבע מפני תקון העולם</w:t>
      </w:r>
      <w:r w:rsidRPr="00191970">
        <w:t>’.</w:t>
      </w:r>
      <w:r w:rsidR="00FC7C22" w:rsidRPr="00191970">
        <w:t xml:space="preserve"> </w:t>
      </w:r>
    </w:p>
    <w:p w:rsidR="00FC7C22" w:rsidRPr="00191970" w:rsidRDefault="00FC7C22" w:rsidP="00D71B92">
      <w:pPr>
        <w:spacing w:line="276" w:lineRule="auto"/>
        <w:jc w:val="both"/>
      </w:pPr>
    </w:p>
    <w:p w:rsidR="00736589" w:rsidRPr="00191970" w:rsidRDefault="00FC7C22" w:rsidP="00D71B92">
      <w:pPr>
        <w:spacing w:line="276" w:lineRule="auto"/>
        <w:jc w:val="both"/>
      </w:pPr>
      <w:r w:rsidRPr="00191970">
        <w:t xml:space="preserve">It is the opinion of </w:t>
      </w:r>
      <w:r w:rsidRPr="00191970">
        <w:rPr>
          <w:rFonts w:hint="cs"/>
          <w:rtl/>
        </w:rPr>
        <w:t>רש"י</w:t>
      </w:r>
      <w:r w:rsidRPr="00191970">
        <w:t xml:space="preserve"> (and the </w:t>
      </w:r>
      <w:r w:rsidRPr="00191970">
        <w:rPr>
          <w:rFonts w:hint="cs"/>
          <w:rtl/>
        </w:rPr>
        <w:t>'אית ספרים</w:t>
      </w:r>
      <w:r w:rsidR="00191970">
        <w:rPr>
          <w:rFonts w:hint="cs"/>
          <w:rtl/>
        </w:rPr>
        <w:t>'</w:t>
      </w:r>
      <w:r w:rsidRPr="00191970">
        <w:t xml:space="preserve">) that a </w:t>
      </w:r>
      <w:r w:rsidRPr="00191970">
        <w:rPr>
          <w:rFonts w:hint="cs"/>
          <w:rtl/>
        </w:rPr>
        <w:t>משיב אבידה</w:t>
      </w:r>
      <w:r w:rsidRPr="00191970">
        <w:t xml:space="preserve"> in general, as well as our case of </w:t>
      </w:r>
      <w:r w:rsidRPr="00191970">
        <w:rPr>
          <w:rFonts w:hint="cs"/>
          <w:rtl/>
        </w:rPr>
        <w:t>ראב"י</w:t>
      </w:r>
      <w:r w:rsidRPr="00191970">
        <w:t xml:space="preserve">, is </w:t>
      </w:r>
      <w:r w:rsidRPr="00191970">
        <w:rPr>
          <w:rFonts w:hint="cs"/>
          <w:rtl/>
        </w:rPr>
        <w:t>פטור</w:t>
      </w:r>
      <w:r w:rsidRPr="00191970">
        <w:t xml:space="preserve"> from a </w:t>
      </w:r>
      <w:r w:rsidRPr="00191970">
        <w:rPr>
          <w:rFonts w:hint="cs"/>
          <w:rtl/>
        </w:rPr>
        <w:t>שבועה</w:t>
      </w:r>
      <w:r w:rsidRPr="00191970">
        <w:t xml:space="preserve"> on account of the </w:t>
      </w:r>
      <w:r w:rsidRPr="00191970">
        <w:rPr>
          <w:rFonts w:hint="cs"/>
          <w:rtl/>
        </w:rPr>
        <w:t>תקנת חכמים</w:t>
      </w:r>
      <w:r w:rsidRPr="00191970">
        <w:t xml:space="preserve">; but not </w:t>
      </w:r>
      <w:r w:rsidRPr="00191970">
        <w:rPr>
          <w:rFonts w:hint="cs"/>
          <w:rtl/>
        </w:rPr>
        <w:t>מדאורייתא</w:t>
      </w:r>
      <w:r w:rsidRPr="00191970">
        <w:t xml:space="preserve">. According to </w:t>
      </w:r>
      <w:r w:rsidRPr="00191970">
        <w:rPr>
          <w:rFonts w:hint="cs"/>
          <w:rtl/>
        </w:rPr>
        <w:t>תורה</w:t>
      </w:r>
      <w:r w:rsidRPr="00191970">
        <w:t xml:space="preserve"> law a </w:t>
      </w:r>
      <w:r w:rsidRPr="00191970">
        <w:rPr>
          <w:rFonts w:hint="cs"/>
          <w:rtl/>
        </w:rPr>
        <w:t>משיב אבידה</w:t>
      </w:r>
      <w:r w:rsidRPr="00191970">
        <w:t xml:space="preserve"> would be </w:t>
      </w:r>
      <w:r w:rsidRPr="00191970">
        <w:rPr>
          <w:rFonts w:hint="cs"/>
          <w:rtl/>
        </w:rPr>
        <w:t>מחויב שבועה</w:t>
      </w:r>
      <w:r w:rsidRPr="00191970">
        <w:t xml:space="preserve">. </w:t>
      </w:r>
      <w:r w:rsidRPr="00191970">
        <w:rPr>
          <w:rFonts w:hint="cs"/>
          <w:rtl/>
        </w:rPr>
        <w:t>תוספות</w:t>
      </w:r>
      <w:r w:rsidRPr="00191970">
        <w:t>, however, disagrees:</w:t>
      </w:r>
    </w:p>
    <w:p w:rsidR="00FC7C22" w:rsidRPr="00F35C2D" w:rsidRDefault="00061039" w:rsidP="00F35C2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35C2D">
        <w:rPr>
          <w:rFonts w:ascii="David" w:hAnsi="David" w:cs="David"/>
          <w:b/>
          <w:bCs/>
          <w:sz w:val="28"/>
          <w:szCs w:val="28"/>
          <w:rtl/>
        </w:rPr>
        <w:t>ואין נראה לרבינו יצחק</w:t>
      </w:r>
      <w:r w:rsidR="00D71B92" w:rsidRPr="00F35C2D">
        <w:rPr>
          <w:rFonts w:ascii="David" w:hAnsi="David" w:cs="David"/>
          <w:b/>
          <w:bCs/>
          <w:sz w:val="28"/>
          <w:szCs w:val="28"/>
          <w:rtl/>
        </w:rPr>
        <w:t xml:space="preserve"> דמשיב אבידה פטור מדאורייתא מטעם מגו</w:t>
      </w:r>
      <w:r w:rsidRPr="00F35C2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F35C2D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061039" w:rsidRPr="00191970" w:rsidRDefault="00061039" w:rsidP="00D71B92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And 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disagrees</w:t>
      </w:r>
      <w:r>
        <w:rPr>
          <w:sz w:val="28"/>
          <w:szCs w:val="28"/>
        </w:rPr>
        <w:t xml:space="preserve">; </w:t>
      </w:r>
      <w:r w:rsidRPr="00D71B92">
        <w:rPr>
          <w:sz w:val="28"/>
          <w:szCs w:val="28"/>
        </w:rPr>
        <w:t xml:space="preserve">it cannot be that a </w:t>
      </w:r>
      <w:r w:rsidRPr="00D71B92">
        <w:rPr>
          <w:rFonts w:hint="cs"/>
          <w:sz w:val="28"/>
          <w:szCs w:val="28"/>
          <w:rtl/>
        </w:rPr>
        <w:t>משיב אבידה</w:t>
      </w:r>
      <w:r w:rsidRPr="00D71B92">
        <w:rPr>
          <w:sz w:val="28"/>
          <w:szCs w:val="28"/>
        </w:rPr>
        <w:t xml:space="preserve"> is </w:t>
      </w:r>
      <w:r w:rsidRPr="00D71B92">
        <w:rPr>
          <w:rFonts w:hint="cs"/>
          <w:sz w:val="28"/>
          <w:szCs w:val="28"/>
          <w:rtl/>
        </w:rPr>
        <w:t>פטור</w:t>
      </w:r>
      <w:r w:rsidRPr="00D71B92">
        <w:rPr>
          <w:sz w:val="28"/>
          <w:szCs w:val="28"/>
        </w:rPr>
        <w:t xml:space="preserve"> from a </w:t>
      </w:r>
      <w:r w:rsidRPr="00D71B92">
        <w:rPr>
          <w:rFonts w:hint="cs"/>
          <w:sz w:val="28"/>
          <w:szCs w:val="28"/>
          <w:rtl/>
        </w:rPr>
        <w:t>שבועה</w:t>
      </w:r>
      <w:r w:rsidRPr="00D71B92">
        <w:rPr>
          <w:sz w:val="28"/>
          <w:szCs w:val="28"/>
        </w:rPr>
        <w:t xml:space="preserve"> only </w:t>
      </w:r>
      <w:r w:rsidRPr="00D71B92">
        <w:rPr>
          <w:rFonts w:hint="cs"/>
          <w:sz w:val="28"/>
          <w:szCs w:val="28"/>
          <w:rtl/>
        </w:rPr>
        <w:t>מפני תקון העולם</w:t>
      </w:r>
      <w:r w:rsidRPr="00D71B92">
        <w:rPr>
          <w:sz w:val="28"/>
          <w:szCs w:val="28"/>
        </w:rPr>
        <w:t xml:space="preserve">; but rather </w:t>
      </w:r>
      <w:r>
        <w:rPr>
          <w:b/>
          <w:bCs/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משיב אבידה</w:t>
      </w:r>
      <w:r>
        <w:rPr>
          <w:b/>
          <w:bCs/>
          <w:sz w:val="28"/>
          <w:szCs w:val="28"/>
        </w:rPr>
        <w:t xml:space="preserve"> i</w:t>
      </w:r>
      <w:r w:rsidR="00122F4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פטור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from a </w:t>
      </w:r>
      <w:r>
        <w:rPr>
          <w:rFonts w:hint="cs"/>
          <w:sz w:val="28"/>
          <w:szCs w:val="28"/>
          <w:rtl/>
        </w:rPr>
        <w:t>שבועה</w:t>
      </w:r>
      <w:r>
        <w:rPr>
          <w:sz w:val="28"/>
          <w:szCs w:val="28"/>
        </w:rPr>
        <w:t xml:space="preserve"> </w:t>
      </w:r>
      <w:r w:rsidRPr="00061039">
        <w:rPr>
          <w:b/>
          <w:bCs/>
          <w:sz w:val="28"/>
          <w:szCs w:val="28"/>
        </w:rPr>
        <w:t xml:space="preserve">according to </w:t>
      </w:r>
      <w:r w:rsidRPr="00061039">
        <w:rPr>
          <w:rFonts w:hint="cs"/>
          <w:b/>
          <w:bCs/>
          <w:sz w:val="28"/>
          <w:szCs w:val="28"/>
          <w:rtl/>
        </w:rPr>
        <w:t>תורה</w:t>
      </w:r>
      <w:r w:rsidRPr="00061039">
        <w:rPr>
          <w:b/>
          <w:bCs/>
          <w:sz w:val="28"/>
          <w:szCs w:val="28"/>
        </w:rPr>
        <w:t xml:space="preserve"> law,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he has a </w:t>
      </w:r>
      <w:r>
        <w:rPr>
          <w:rFonts w:hint="cs"/>
          <w:b/>
          <w:bCs/>
          <w:sz w:val="28"/>
          <w:szCs w:val="28"/>
          <w:rtl/>
        </w:rPr>
        <w:t>מגו</w:t>
      </w:r>
      <w:r w:rsidR="00191970">
        <w:rPr>
          <w:b/>
          <w:bCs/>
          <w:sz w:val="28"/>
          <w:szCs w:val="28"/>
        </w:rPr>
        <w:t>.</w:t>
      </w:r>
      <w:r w:rsidR="00191970">
        <w:rPr>
          <w:sz w:val="28"/>
          <w:szCs w:val="28"/>
        </w:rPr>
        <w:t xml:space="preserve"> </w:t>
      </w:r>
      <w:r w:rsidR="00191970" w:rsidRPr="00191970">
        <w:t xml:space="preserve">The </w:t>
      </w:r>
      <w:r w:rsidR="00191970" w:rsidRPr="00191970">
        <w:rPr>
          <w:rFonts w:hint="cs"/>
          <w:rtl/>
        </w:rPr>
        <w:t>משיב אבדה</w:t>
      </w:r>
      <w:r w:rsidR="00191970" w:rsidRPr="00191970">
        <w:t xml:space="preserve"> (in general, and </w:t>
      </w:r>
      <w:r w:rsidR="001B6B2B">
        <w:t xml:space="preserve">the </w:t>
      </w:r>
      <w:r w:rsidR="001B6B2B">
        <w:rPr>
          <w:rFonts w:hint="cs"/>
          <w:rtl/>
        </w:rPr>
        <w:t>לוה</w:t>
      </w:r>
      <w:r w:rsidR="001B6B2B">
        <w:t xml:space="preserve"> </w:t>
      </w:r>
      <w:r w:rsidR="00191970" w:rsidRPr="00191970">
        <w:t xml:space="preserve">in the case of </w:t>
      </w:r>
      <w:r w:rsidR="00191970" w:rsidRPr="00191970">
        <w:rPr>
          <w:rFonts w:hint="cs"/>
          <w:rtl/>
        </w:rPr>
        <w:t>ראב"י</w:t>
      </w:r>
      <w:r w:rsidR="00191970" w:rsidRPr="00191970">
        <w:t>) did not have to come forward at all and he could have kept everything</w:t>
      </w:r>
      <w:r w:rsidR="00F253FB" w:rsidRPr="00191970">
        <w:rPr>
          <w:b/>
          <w:bCs/>
        </w:rPr>
        <w:t xml:space="preserve"> -</w:t>
      </w:r>
    </w:p>
    <w:p w:rsidR="00061039" w:rsidRPr="00F35C2D" w:rsidRDefault="00061039" w:rsidP="00F35C2D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35C2D">
        <w:rPr>
          <w:rFonts w:ascii="David" w:hAnsi="David" w:cs="David"/>
          <w:b/>
          <w:bCs/>
          <w:sz w:val="28"/>
          <w:szCs w:val="28"/>
          <w:rtl/>
        </w:rPr>
        <w:t>ולא מכח ההיא משנה פריך</w:t>
      </w:r>
      <w:r w:rsidR="00D71B92" w:rsidRPr="00F35C2D">
        <w:rPr>
          <w:rFonts w:ascii="David" w:hAnsi="David" w:cs="David"/>
          <w:b/>
          <w:bCs/>
          <w:sz w:val="28"/>
          <w:szCs w:val="28"/>
          <w:rtl/>
        </w:rPr>
        <w:t xml:space="preserve"> אלא פריך וכי לית ליה מגו</w:t>
      </w:r>
      <w:r w:rsidRPr="00F35C2D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F35C2D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B93249" w:rsidRPr="00191970" w:rsidRDefault="00061039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not challenging </w:t>
      </w:r>
      <w:r>
        <w:rPr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must maintain </w:t>
      </w:r>
      <w:r>
        <w:rPr>
          <w:rFonts w:hint="cs"/>
          <w:sz w:val="28"/>
          <w:szCs w:val="28"/>
          <w:rtl/>
        </w:rPr>
        <w:t>משיב אבידה פטור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on account of that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</w:t>
      </w:r>
      <w:r w:rsidRPr="00D71B92">
        <w:rPr>
          <w:sz w:val="28"/>
          <w:szCs w:val="28"/>
        </w:rPr>
        <w:t xml:space="preserve">which states </w:t>
      </w:r>
      <w:r w:rsidRPr="00D71B92">
        <w:rPr>
          <w:rFonts w:hint="cs"/>
          <w:sz w:val="28"/>
          <w:szCs w:val="28"/>
          <w:rtl/>
        </w:rPr>
        <w:t>'המוצא מציאה וכו'</w:t>
      </w:r>
      <w:r w:rsidR="00D4219A">
        <w:rPr>
          <w:sz w:val="28"/>
          <w:szCs w:val="28"/>
        </w:rPr>
        <w:t>,</w:t>
      </w:r>
      <w:r w:rsidR="00552D91" w:rsidRPr="00D71B92">
        <w:rPr>
          <w:rStyle w:val="FootnoteReference"/>
          <w:sz w:val="28"/>
          <w:szCs w:val="28"/>
        </w:rPr>
        <w:footnoteReference w:id="7"/>
      </w:r>
      <w:r w:rsidRPr="00D71B92">
        <w:rPr>
          <w:sz w:val="28"/>
          <w:szCs w:val="28"/>
        </w:rPr>
        <w:t xml:space="preserve"> </w:t>
      </w:r>
      <w:r w:rsidR="00D71B92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ut rather,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>questioning</w:t>
      </w:r>
      <w:r w:rsidR="00D71B9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does not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maintain </w:t>
      </w:r>
      <w:r>
        <w:rPr>
          <w:sz w:val="28"/>
          <w:szCs w:val="28"/>
        </w:rPr>
        <w:t xml:space="preserve">the rule of </w:t>
      </w:r>
      <w:r>
        <w:rPr>
          <w:rFonts w:hint="cs"/>
          <w:b/>
          <w:bCs/>
          <w:sz w:val="28"/>
          <w:szCs w:val="28"/>
          <w:rtl/>
        </w:rPr>
        <w:t>מגו</w:t>
      </w:r>
      <w:r>
        <w:rPr>
          <w:b/>
          <w:bCs/>
          <w:sz w:val="28"/>
          <w:szCs w:val="28"/>
        </w:rPr>
        <w:t>?!</w:t>
      </w:r>
      <w:r>
        <w:rPr>
          <w:sz w:val="28"/>
          <w:szCs w:val="28"/>
        </w:rPr>
        <w:t xml:space="preserve"> </w:t>
      </w:r>
      <w:r w:rsidR="00F253FB" w:rsidRPr="00191970">
        <w:t>It</w:t>
      </w:r>
      <w:r w:rsidRPr="00191970">
        <w:t xml:space="preserve"> seemed obvious to the </w:t>
      </w:r>
      <w:r w:rsidRPr="00191970">
        <w:rPr>
          <w:rFonts w:hint="cs"/>
          <w:rtl/>
        </w:rPr>
        <w:t>גמרא</w:t>
      </w:r>
      <w:r w:rsidRPr="00191970">
        <w:t xml:space="preserve"> that everyone agrees that </w:t>
      </w:r>
      <w:r w:rsidRPr="00191970">
        <w:rPr>
          <w:rFonts w:hint="cs"/>
          <w:rtl/>
        </w:rPr>
        <w:t>מגו</w:t>
      </w:r>
      <w:r w:rsidRPr="00191970">
        <w:t xml:space="preserve"> is effective </w:t>
      </w:r>
      <w:r w:rsidRPr="00191970">
        <w:rPr>
          <w:rFonts w:hint="cs"/>
          <w:rtl/>
        </w:rPr>
        <w:t>מדאורייתא</w:t>
      </w:r>
      <w:r w:rsidR="003C0EF7">
        <w:rPr>
          <w:rStyle w:val="FootnoteReference"/>
          <w:rtl/>
        </w:rPr>
        <w:footnoteReference w:id="8"/>
      </w:r>
      <w:r w:rsidRPr="00191970">
        <w:t xml:space="preserve"> (especially the </w:t>
      </w:r>
      <w:r w:rsidRPr="00191970">
        <w:rPr>
          <w:rFonts w:hint="cs"/>
          <w:rtl/>
        </w:rPr>
        <w:t>מגו</w:t>
      </w:r>
      <w:r w:rsidRPr="00191970">
        <w:t xml:space="preserve"> of a </w:t>
      </w:r>
      <w:r w:rsidRPr="00191970">
        <w:rPr>
          <w:rFonts w:hint="cs"/>
          <w:rtl/>
        </w:rPr>
        <w:t>משיב אבידה</w:t>
      </w:r>
      <w:r w:rsidRPr="00191970">
        <w:t xml:space="preserve">, as in our case of </w:t>
      </w:r>
      <w:r w:rsidRPr="00191970">
        <w:rPr>
          <w:rFonts w:hint="cs"/>
          <w:rtl/>
        </w:rPr>
        <w:t>טענת עצמו</w:t>
      </w:r>
      <w:r w:rsidRPr="00191970">
        <w:t>)!</w:t>
      </w:r>
    </w:p>
    <w:p w:rsidR="00B93249" w:rsidRPr="00191970" w:rsidRDefault="00B93249" w:rsidP="00D71B92">
      <w:pPr>
        <w:spacing w:line="276" w:lineRule="auto"/>
        <w:jc w:val="both"/>
      </w:pPr>
    </w:p>
    <w:p w:rsidR="00061039" w:rsidRPr="00191970" w:rsidRDefault="00B93249" w:rsidP="00D71B92">
      <w:pPr>
        <w:spacing w:line="276" w:lineRule="auto"/>
        <w:jc w:val="both"/>
      </w:pPr>
      <w:r w:rsidRPr="00191970">
        <w:rPr>
          <w:rFonts w:hint="cs"/>
          <w:rtl/>
        </w:rPr>
        <w:t>תוספות</w:t>
      </w:r>
      <w:r w:rsidRPr="00191970">
        <w:t xml:space="preserve"> offers a proof that the question of the </w:t>
      </w:r>
      <w:r w:rsidRPr="00191970">
        <w:rPr>
          <w:rFonts w:hint="cs"/>
          <w:rtl/>
        </w:rPr>
        <w:t>גמרא</w:t>
      </w:r>
      <w:r w:rsidRPr="00191970">
        <w:t xml:space="preserve"> that </w:t>
      </w:r>
      <w:r w:rsidRPr="00191970">
        <w:rPr>
          <w:rFonts w:hint="cs"/>
          <w:rtl/>
        </w:rPr>
        <w:t>'וכי לית ליה לראב"י</w:t>
      </w:r>
      <w:r w:rsidR="00FC0686">
        <w:rPr>
          <w:rFonts w:hint="cs"/>
          <w:rtl/>
        </w:rPr>
        <w:t>'</w:t>
      </w:r>
      <w:r w:rsidR="00FC0686">
        <w:t>,</w:t>
      </w:r>
      <w:r w:rsidRPr="00191970">
        <w:t xml:space="preserve"> is not dependent on the </w:t>
      </w:r>
      <w:r w:rsidRPr="00191970">
        <w:rPr>
          <w:rFonts w:hint="cs"/>
          <w:rtl/>
        </w:rPr>
        <w:t>משנה</w:t>
      </w:r>
      <w:r w:rsidRPr="00191970">
        <w:t xml:space="preserve"> of </w:t>
      </w:r>
      <w:r w:rsidR="00F35C2D">
        <w:rPr>
          <w:rFonts w:hint="cs"/>
          <w:rtl/>
        </w:rPr>
        <w:t>המוצא</w:t>
      </w:r>
      <w:r w:rsidRPr="00191970">
        <w:rPr>
          <w:rFonts w:hint="cs"/>
          <w:rtl/>
        </w:rPr>
        <w:t xml:space="preserve"> מציאה</w:t>
      </w:r>
      <w:r w:rsidRPr="00191970">
        <w:t xml:space="preserve"> (which is a </w:t>
      </w:r>
      <w:r w:rsidRPr="00191970">
        <w:rPr>
          <w:rFonts w:hint="cs"/>
          <w:rtl/>
        </w:rPr>
        <w:t>דרבנן [תקון העולם]</w:t>
      </w:r>
      <w:r w:rsidR="00606C97" w:rsidRPr="00191970">
        <w:t>)</w:t>
      </w:r>
      <w:r w:rsidRPr="00191970">
        <w:t xml:space="preserve">, but rather on account of </w:t>
      </w:r>
      <w:r w:rsidRPr="00191970">
        <w:rPr>
          <w:rFonts w:hint="cs"/>
          <w:rtl/>
        </w:rPr>
        <w:t>מגו</w:t>
      </w:r>
      <w:r w:rsidRPr="00191970">
        <w:rPr>
          <w:b/>
          <w:bCs/>
        </w:rPr>
        <w:t xml:space="preserve"> </w:t>
      </w:r>
      <w:r w:rsidRPr="00191970">
        <w:t xml:space="preserve">(which is a </w:t>
      </w:r>
      <w:r w:rsidRPr="00191970">
        <w:rPr>
          <w:rFonts w:hint="cs"/>
          <w:rtl/>
        </w:rPr>
        <w:t>דין דאורייתא</w:t>
      </w:r>
      <w:r w:rsidRPr="00191970">
        <w:t>)</w:t>
      </w:r>
      <w:r w:rsidR="00FC0686">
        <w:t>:</w:t>
      </w:r>
      <w:r w:rsidR="00606C97" w:rsidRPr="00191970">
        <w:rPr>
          <w:rStyle w:val="FootnoteReference"/>
        </w:rPr>
        <w:footnoteReference w:id="9"/>
      </w:r>
      <w:r w:rsidR="00061039" w:rsidRPr="00191970">
        <w:t xml:space="preserve">   </w:t>
      </w:r>
    </w:p>
    <w:p w:rsidR="00B93249" w:rsidRPr="00404A9D" w:rsidRDefault="00B93249" w:rsidP="00404A9D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pacing w:val="-2"/>
          <w:sz w:val="28"/>
          <w:szCs w:val="28"/>
          <w:rtl/>
        </w:rPr>
      </w:pPr>
      <w:r w:rsidRPr="00404A9D">
        <w:rPr>
          <w:rFonts w:ascii="David" w:hAnsi="David" w:cs="David"/>
          <w:b/>
          <w:bCs/>
          <w:spacing w:val="-2"/>
          <w:sz w:val="28"/>
          <w:szCs w:val="28"/>
          <w:rtl/>
        </w:rPr>
        <w:t xml:space="preserve">וכן משמע בהניזקין </w:t>
      </w:r>
      <w:r w:rsidRPr="00404A9D">
        <w:rPr>
          <w:rFonts w:ascii="David" w:hAnsi="David" w:cs="David"/>
          <w:b/>
          <w:bCs/>
          <w:spacing w:val="-2"/>
          <w:sz w:val="20"/>
          <w:szCs w:val="20"/>
          <w:rtl/>
        </w:rPr>
        <w:t>(גיטין דף נא,א ושם)</w:t>
      </w:r>
      <w:r w:rsidRPr="00404A9D">
        <w:rPr>
          <w:rFonts w:ascii="David" w:hAnsi="David" w:cs="David"/>
          <w:b/>
          <w:bCs/>
          <w:spacing w:val="-2"/>
          <w:rtl/>
        </w:rPr>
        <w:t xml:space="preserve"> </w:t>
      </w:r>
      <w:r w:rsidR="00FC0686" w:rsidRPr="00404A9D">
        <w:rPr>
          <w:rFonts w:ascii="David" w:hAnsi="David" w:cs="David"/>
          <w:b/>
          <w:bCs/>
          <w:spacing w:val="-2"/>
          <w:sz w:val="28"/>
          <w:szCs w:val="28"/>
          <w:rtl/>
        </w:rPr>
        <w:t>דפריך ולית ליה לרבי יצחק המוצא מציאה</w:t>
      </w:r>
      <w:r w:rsidR="00404A9D">
        <w:rPr>
          <w:rStyle w:val="FootnoteReference"/>
          <w:rFonts w:ascii="David" w:hAnsi="David" w:cs="David"/>
          <w:b/>
          <w:bCs/>
          <w:spacing w:val="-2"/>
          <w:sz w:val="28"/>
          <w:szCs w:val="28"/>
          <w:rtl/>
        </w:rPr>
        <w:footnoteReference w:id="10"/>
      </w:r>
      <w:r w:rsidR="00FC0686" w:rsidRPr="00404A9D">
        <w:rPr>
          <w:rFonts w:ascii="David" w:hAnsi="David" w:cs="David"/>
          <w:b/>
          <w:bCs/>
          <w:spacing w:val="-2"/>
          <w:sz w:val="28"/>
          <w:szCs w:val="28"/>
          <w:rtl/>
        </w:rPr>
        <w:t xml:space="preserve"> כולי </w:t>
      </w:r>
      <w:r w:rsidR="00F35C2D" w:rsidRPr="00404A9D">
        <w:rPr>
          <w:rFonts w:ascii="David" w:hAnsi="David" w:cs="David"/>
          <w:b/>
          <w:bCs/>
          <w:spacing w:val="-2"/>
          <w:sz w:val="28"/>
          <w:szCs w:val="28"/>
        </w:rPr>
        <w:t>-</w:t>
      </w:r>
    </w:p>
    <w:p w:rsidR="00B93249" w:rsidRPr="00345260" w:rsidRDefault="00B93249" w:rsidP="00404A9D">
      <w:pPr>
        <w:widowControl w:val="0"/>
        <w:spacing w:line="276" w:lineRule="auto"/>
        <w:jc w:val="both"/>
      </w:pPr>
      <w:r w:rsidRPr="00B93249">
        <w:rPr>
          <w:b/>
          <w:bCs/>
          <w:sz w:val="28"/>
          <w:szCs w:val="28"/>
        </w:rPr>
        <w:t>And this is also indicated</w:t>
      </w:r>
      <w:r>
        <w:rPr>
          <w:b/>
          <w:bCs/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b/>
          <w:bCs/>
          <w:sz w:val="28"/>
          <w:szCs w:val="28"/>
          <w:rtl/>
        </w:rPr>
        <w:t>הניזקין</w:t>
      </w:r>
      <w:r>
        <w:rPr>
          <w:b/>
          <w:bCs/>
          <w:sz w:val="28"/>
          <w:szCs w:val="28"/>
        </w:rPr>
        <w:t xml:space="preserve"> </w:t>
      </w:r>
      <w:r w:rsidR="00FC0686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 xml:space="preserve">here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challenges </w:t>
      </w:r>
      <w:r>
        <w:rPr>
          <w:b/>
          <w:bCs/>
          <w:sz w:val="28"/>
          <w:szCs w:val="28"/>
        </w:rPr>
        <w:t xml:space="preserve">‘does </w:t>
      </w:r>
      <w:r>
        <w:rPr>
          <w:b/>
          <w:bCs/>
          <w:sz w:val="28"/>
          <w:szCs w:val="28"/>
        </w:rPr>
        <w:lastRenderedPageBreak/>
        <w:t xml:space="preserve">not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agree </w:t>
      </w:r>
      <w:r w:rsidR="00F253FB">
        <w:rPr>
          <w:sz w:val="28"/>
          <w:szCs w:val="28"/>
        </w:rPr>
        <w:t xml:space="preserve">with the </w:t>
      </w:r>
      <w:r w:rsidR="00F253FB">
        <w:rPr>
          <w:rFonts w:hint="cs"/>
          <w:sz w:val="28"/>
          <w:szCs w:val="28"/>
          <w:rtl/>
        </w:rPr>
        <w:t>משנה</w:t>
      </w:r>
      <w:r w:rsidR="00F253FB">
        <w:rPr>
          <w:sz w:val="28"/>
          <w:szCs w:val="28"/>
        </w:rPr>
        <w:t xml:space="preserve"> which states </w:t>
      </w:r>
      <w:r>
        <w:rPr>
          <w:b/>
          <w:bCs/>
          <w:sz w:val="28"/>
          <w:szCs w:val="28"/>
        </w:rPr>
        <w:t xml:space="preserve">that a </w:t>
      </w:r>
      <w:r>
        <w:rPr>
          <w:rFonts w:hint="cs"/>
          <w:b/>
          <w:bCs/>
          <w:sz w:val="28"/>
          <w:szCs w:val="28"/>
          <w:rtl/>
        </w:rPr>
        <w:t>מוצא מציאה</w:t>
      </w:r>
      <w:r>
        <w:rPr>
          <w:b/>
          <w:bCs/>
          <w:sz w:val="28"/>
          <w:szCs w:val="28"/>
        </w:rPr>
        <w:t>, etc.</w:t>
      </w:r>
      <w:r>
        <w:rPr>
          <w:sz w:val="28"/>
          <w:szCs w:val="28"/>
        </w:rPr>
        <w:t xml:space="preserve"> </w:t>
      </w:r>
      <w:r w:rsidRPr="00345260">
        <w:t>is not obligated to take an oath’</w:t>
      </w:r>
      <w:r w:rsidR="00552D91" w:rsidRPr="00345260">
        <w:t xml:space="preserve">. How can </w:t>
      </w:r>
      <w:r w:rsidR="00552D91" w:rsidRPr="00345260">
        <w:rPr>
          <w:rFonts w:hint="cs"/>
          <w:rtl/>
        </w:rPr>
        <w:t>ר"י</w:t>
      </w:r>
      <w:r w:rsidR="00552D91" w:rsidRPr="00345260">
        <w:t xml:space="preserve"> who is an </w:t>
      </w:r>
      <w:r w:rsidR="00552D91" w:rsidRPr="00345260">
        <w:rPr>
          <w:rFonts w:hint="cs"/>
          <w:rtl/>
        </w:rPr>
        <w:t>אמורא</w:t>
      </w:r>
      <w:r w:rsidR="00552D91" w:rsidRPr="00345260">
        <w:t xml:space="preserve"> rule that the finder is required to take the oath of a </w:t>
      </w:r>
      <w:r w:rsidR="00552D91" w:rsidRPr="00345260">
        <w:rPr>
          <w:rFonts w:hint="cs"/>
          <w:rtl/>
        </w:rPr>
        <w:t>מודה במק</w:t>
      </w:r>
      <w:r w:rsidR="00FC0686">
        <w:rPr>
          <w:rFonts w:hint="cs"/>
          <w:rtl/>
        </w:rPr>
        <w:t>צ</w:t>
      </w:r>
      <w:r w:rsidR="00552D91" w:rsidRPr="00345260">
        <w:rPr>
          <w:rFonts w:hint="cs"/>
          <w:rtl/>
        </w:rPr>
        <w:t>ת</w:t>
      </w:r>
      <w:r w:rsidR="00552D91" w:rsidRPr="00345260">
        <w:t xml:space="preserve">?! This contradicts a </w:t>
      </w:r>
      <w:r w:rsidR="00552D91" w:rsidRPr="00345260">
        <w:rPr>
          <w:rFonts w:hint="cs"/>
          <w:rtl/>
        </w:rPr>
        <w:t>משנה</w:t>
      </w:r>
      <w:r w:rsidR="00552D91" w:rsidRPr="00345260">
        <w:t>!</w:t>
      </w:r>
    </w:p>
    <w:p w:rsidR="00B93249" w:rsidRPr="00F35C2D" w:rsidRDefault="00B93249" w:rsidP="00404A9D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F35C2D">
        <w:rPr>
          <w:rFonts w:ascii="David" w:hAnsi="David" w:cs="David"/>
          <w:b/>
          <w:bCs/>
          <w:sz w:val="28"/>
          <w:szCs w:val="28"/>
          <w:rtl/>
        </w:rPr>
        <w:t xml:space="preserve">ומשני הוא דאמר כרבי אלעזר בן יעקב </w:t>
      </w:r>
      <w:r w:rsidR="00FC0686" w:rsidRPr="00F35C2D">
        <w:rPr>
          <w:rFonts w:ascii="David" w:hAnsi="David" w:cs="David"/>
          <w:b/>
          <w:bCs/>
          <w:sz w:val="28"/>
          <w:szCs w:val="28"/>
          <w:rtl/>
        </w:rPr>
        <w:t xml:space="preserve">דאמר פעמים שאדם נשבע כולי </w:t>
      </w:r>
      <w:r w:rsidR="00F35C2D">
        <w:rPr>
          <w:rFonts w:ascii="David" w:hAnsi="David" w:cs="David"/>
          <w:b/>
          <w:bCs/>
          <w:sz w:val="28"/>
          <w:szCs w:val="28"/>
        </w:rPr>
        <w:t>-</w:t>
      </w:r>
    </w:p>
    <w:p w:rsidR="00E1130E" w:rsidRPr="00345260" w:rsidRDefault="00B93249" w:rsidP="00404A9D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answer</w:t>
      </w:r>
      <w:r w:rsidR="00E1130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that </w:t>
      </w:r>
      <w:r w:rsidRPr="00345260">
        <w:rPr>
          <w:rFonts w:hint="cs"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follows </w:t>
      </w:r>
      <w:r>
        <w:rPr>
          <w:sz w:val="28"/>
          <w:szCs w:val="28"/>
        </w:rPr>
        <w:t xml:space="preserve">the opinion of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</w:t>
      </w:r>
      <w:r w:rsidR="00FC0686">
        <w:rPr>
          <w:b/>
          <w:bCs/>
          <w:sz w:val="28"/>
          <w:szCs w:val="28"/>
        </w:rPr>
        <w:t>w</w:t>
      </w:r>
      <w:r w:rsidR="00E1130E">
        <w:rPr>
          <w:b/>
          <w:bCs/>
          <w:sz w:val="28"/>
          <w:szCs w:val="28"/>
        </w:rPr>
        <w:t>ho maintains</w:t>
      </w:r>
      <w:r w:rsidR="00F925B5">
        <w:rPr>
          <w:b/>
          <w:bCs/>
          <w:sz w:val="28"/>
          <w:szCs w:val="28"/>
        </w:rPr>
        <w:t>,</w:t>
      </w:r>
      <w:r w:rsidR="00E1130E">
        <w:rPr>
          <w:b/>
          <w:bCs/>
          <w:sz w:val="28"/>
          <w:szCs w:val="28"/>
        </w:rPr>
        <w:t xml:space="preserve"> that sometimes a person swears, etc. </w:t>
      </w:r>
      <w:r w:rsidR="00E1130E" w:rsidRPr="00345260">
        <w:t>on his own claim</w:t>
      </w:r>
      <w:r w:rsidR="00FC0686">
        <w:t>.</w:t>
      </w:r>
      <w:r w:rsidR="00345260">
        <w:rPr>
          <w:rStyle w:val="FootnoteReference"/>
        </w:rPr>
        <w:footnoteReference w:id="11"/>
      </w:r>
      <w:r w:rsidR="00552D91" w:rsidRPr="00345260">
        <w:t xml:space="preserve"> This answer (seemingly) indicates that </w:t>
      </w:r>
      <w:r w:rsidR="00552D91" w:rsidRPr="00345260">
        <w:rPr>
          <w:rFonts w:hint="cs"/>
          <w:rtl/>
        </w:rPr>
        <w:t>ראב"י</w:t>
      </w:r>
      <w:r w:rsidR="00552D91" w:rsidRPr="00345260">
        <w:t xml:space="preserve"> who is a </w:t>
      </w:r>
      <w:r w:rsidR="00552D91" w:rsidRPr="00345260">
        <w:rPr>
          <w:rFonts w:hint="cs"/>
          <w:rtl/>
        </w:rPr>
        <w:t>תנא</w:t>
      </w:r>
      <w:r w:rsidR="00552D91" w:rsidRPr="00345260">
        <w:t xml:space="preserve"> disagrees with the </w:t>
      </w:r>
      <w:r w:rsidR="00552D91" w:rsidRPr="00345260">
        <w:rPr>
          <w:rFonts w:hint="cs"/>
          <w:rtl/>
        </w:rPr>
        <w:t>משנה</w:t>
      </w:r>
      <w:r w:rsidR="00552D91" w:rsidRPr="00345260">
        <w:t xml:space="preserve"> of </w:t>
      </w:r>
      <w:r w:rsidR="00552D91" w:rsidRPr="00345260">
        <w:rPr>
          <w:rFonts w:hint="cs"/>
          <w:rtl/>
        </w:rPr>
        <w:t>המוצא מציאה וכו'</w:t>
      </w:r>
      <w:r w:rsidR="00552D91" w:rsidRPr="00345260">
        <w:t xml:space="preserve">. </w:t>
      </w:r>
      <w:r w:rsidR="00552D91" w:rsidRPr="00345260">
        <w:rPr>
          <w:rFonts w:hint="cs"/>
          <w:rtl/>
        </w:rPr>
        <w:t>ראב"י</w:t>
      </w:r>
      <w:r w:rsidR="00552D91" w:rsidRPr="00345260">
        <w:t xml:space="preserve"> maintains that a </w:t>
      </w:r>
      <w:r w:rsidR="00552D91" w:rsidRPr="00345260">
        <w:rPr>
          <w:rFonts w:hint="cs"/>
          <w:rtl/>
        </w:rPr>
        <w:t>משיב אבידה</w:t>
      </w:r>
      <w:r w:rsidR="00552D91" w:rsidRPr="00345260">
        <w:t xml:space="preserve"> is obligated to swear. </w:t>
      </w:r>
      <w:r w:rsidR="00552D91" w:rsidRPr="00345260">
        <w:rPr>
          <w:rFonts w:hint="cs"/>
          <w:rtl/>
        </w:rPr>
        <w:t>ר"י</w:t>
      </w:r>
      <w:r w:rsidR="00552D91" w:rsidRPr="00345260">
        <w:t xml:space="preserve"> follows the ruling of </w:t>
      </w:r>
      <w:r w:rsidR="00552D91" w:rsidRPr="00345260">
        <w:rPr>
          <w:rFonts w:hint="cs"/>
          <w:rtl/>
        </w:rPr>
        <w:t>ראב"י</w:t>
      </w:r>
      <w:r w:rsidR="00E1130E" w:rsidRPr="00345260">
        <w:t xml:space="preserve"> –</w:t>
      </w:r>
    </w:p>
    <w:p w:rsidR="00E1130E" w:rsidRPr="00815B21" w:rsidRDefault="00E1130E" w:rsidP="00815B2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ופריך ורבי אלעזר בן יעקב לית ליה משיב אבידה פטור </w:t>
      </w:r>
      <w:r w:rsidR="00815B21">
        <w:rPr>
          <w:rFonts w:ascii="David" w:hAnsi="David" w:cs="David"/>
          <w:b/>
          <w:bCs/>
          <w:sz w:val="28"/>
          <w:szCs w:val="28"/>
        </w:rPr>
        <w:t>-</w:t>
      </w:r>
    </w:p>
    <w:p w:rsidR="00E1130E" w:rsidRPr="00036BFF" w:rsidRDefault="00E1130E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 w:rsidR="00345260" w:rsidRPr="00345260">
        <w:rPr>
          <w:sz w:val="28"/>
          <w:szCs w:val="28"/>
        </w:rPr>
        <w:t>there</w:t>
      </w:r>
      <w:r w:rsidR="003452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challenges</w:t>
      </w:r>
      <w:r w:rsidR="00345260">
        <w:rPr>
          <w:b/>
          <w:bCs/>
          <w:sz w:val="28"/>
          <w:szCs w:val="28"/>
        </w:rPr>
        <w:t xml:space="preserve"> </w:t>
      </w:r>
      <w:r w:rsidR="00345260">
        <w:rPr>
          <w:sz w:val="28"/>
          <w:szCs w:val="28"/>
        </w:rPr>
        <w:t xml:space="preserve">(similar to the challenge in our </w:t>
      </w:r>
      <w:r w:rsidR="00345260">
        <w:rPr>
          <w:rFonts w:hint="cs"/>
          <w:sz w:val="28"/>
          <w:szCs w:val="28"/>
          <w:rtl/>
        </w:rPr>
        <w:t>גמרא</w:t>
      </w:r>
      <w:r w:rsidR="00345260">
        <w:rPr>
          <w:sz w:val="28"/>
          <w:szCs w:val="28"/>
        </w:rPr>
        <w:t>)</w:t>
      </w:r>
      <w:r w:rsidR="00036BFF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‘</w:t>
      </w:r>
      <w:r w:rsidRPr="00E1130E">
        <w:rPr>
          <w:b/>
          <w:bCs/>
          <w:sz w:val="28"/>
          <w:szCs w:val="28"/>
        </w:rPr>
        <w:t>does not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maintain that a </w:t>
      </w:r>
      <w:r>
        <w:rPr>
          <w:rFonts w:hint="cs"/>
          <w:b/>
          <w:bCs/>
          <w:sz w:val="28"/>
          <w:szCs w:val="28"/>
          <w:rtl/>
        </w:rPr>
        <w:t>משיב אבידה</w:t>
      </w:r>
      <w:r>
        <w:rPr>
          <w:b/>
          <w:bCs/>
          <w:sz w:val="28"/>
          <w:szCs w:val="28"/>
        </w:rPr>
        <w:t xml:space="preserve"> is </w:t>
      </w:r>
      <w:r>
        <w:rPr>
          <w:rFonts w:hint="cs"/>
          <w:b/>
          <w:bCs/>
          <w:sz w:val="28"/>
          <w:szCs w:val="28"/>
          <w:rtl/>
        </w:rPr>
        <w:t>פטור</w:t>
      </w:r>
      <w:r>
        <w:rPr>
          <w:b/>
          <w:bCs/>
          <w:sz w:val="28"/>
          <w:szCs w:val="28"/>
        </w:rPr>
        <w:t xml:space="preserve"> </w:t>
      </w:r>
      <w:r w:rsidRPr="00036BFF">
        <w:t xml:space="preserve">from a </w:t>
      </w:r>
      <w:r w:rsidRPr="00036BFF">
        <w:rPr>
          <w:rFonts w:hint="cs"/>
          <w:rtl/>
        </w:rPr>
        <w:t>שבועה</w:t>
      </w:r>
      <w:r w:rsidR="00345260" w:rsidRPr="00036BFF">
        <w:t>’</w:t>
      </w:r>
      <w:r w:rsidRPr="00036BFF">
        <w:t xml:space="preserve">. This concludes the citation from that </w:t>
      </w:r>
      <w:r w:rsidRPr="00036BFF">
        <w:rPr>
          <w:rFonts w:hint="cs"/>
          <w:rtl/>
        </w:rPr>
        <w:t>גמרא</w:t>
      </w:r>
      <w:r w:rsidRPr="00036BFF">
        <w:t>.</w:t>
      </w:r>
    </w:p>
    <w:p w:rsidR="00E1130E" w:rsidRPr="00036BFF" w:rsidRDefault="00E1130E" w:rsidP="00D71B92">
      <w:pPr>
        <w:spacing w:line="276" w:lineRule="auto"/>
        <w:jc w:val="both"/>
      </w:pPr>
    </w:p>
    <w:p w:rsidR="00E1130E" w:rsidRPr="00036BFF" w:rsidRDefault="00E1130E" w:rsidP="00D71B92">
      <w:pPr>
        <w:spacing w:line="276" w:lineRule="auto"/>
        <w:jc w:val="both"/>
      </w:pPr>
      <w:r w:rsidRPr="00036BFF">
        <w:rPr>
          <w:rFonts w:hint="cs"/>
          <w:rtl/>
        </w:rPr>
        <w:t>תוספות</w:t>
      </w:r>
      <w:r w:rsidRPr="00036BFF">
        <w:t xml:space="preserve"> continues with his proof:</w:t>
      </w:r>
    </w:p>
    <w:p w:rsidR="00E1130E" w:rsidRPr="00815B21" w:rsidRDefault="00E1130E" w:rsidP="00815B2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והשתא אי מכח מתניתין פריך </w:t>
      </w:r>
      <w:r w:rsidR="00815B2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E1130E" w:rsidRPr="00036BFF" w:rsidRDefault="00E1130E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now </w:t>
      </w:r>
      <w:r>
        <w:rPr>
          <w:sz w:val="28"/>
          <w:szCs w:val="28"/>
        </w:rPr>
        <w:t xml:space="preserve">let us see, </w:t>
      </w:r>
      <w:r>
        <w:rPr>
          <w:b/>
          <w:bCs/>
          <w:sz w:val="28"/>
          <w:szCs w:val="28"/>
        </w:rPr>
        <w:t xml:space="preserve">if </w:t>
      </w:r>
      <w:r>
        <w:rPr>
          <w:sz w:val="28"/>
          <w:szCs w:val="28"/>
        </w:rPr>
        <w:t xml:space="preserve">(as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maintains</w:t>
      </w:r>
      <w:r w:rsidR="00CC37B0">
        <w:rPr>
          <w:sz w:val="28"/>
          <w:szCs w:val="28"/>
        </w:rPr>
        <w:t xml:space="preserve">, </w:t>
      </w:r>
      <w:r w:rsidR="00CC37B0" w:rsidRPr="00CC37B0">
        <w:rPr>
          <w:sz w:val="28"/>
          <w:szCs w:val="28"/>
        </w:rPr>
        <w:t>that</w:t>
      </w:r>
      <w:r>
        <w:rPr>
          <w:sz w:val="28"/>
          <w:szCs w:val="28"/>
        </w:rPr>
        <w:t xml:space="preserve">) </w:t>
      </w:r>
      <w:r w:rsidRPr="00E1130E">
        <w:rPr>
          <w:b/>
          <w:bCs/>
          <w:sz w:val="28"/>
          <w:szCs w:val="28"/>
        </w:rPr>
        <w:t xml:space="preserve">the challenge </w:t>
      </w:r>
      <w:r>
        <w:rPr>
          <w:sz w:val="28"/>
          <w:szCs w:val="28"/>
        </w:rPr>
        <w:t xml:space="preserve">to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from the ‘strength’ of the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</w:t>
      </w:r>
      <w:r w:rsidRPr="00036BFF">
        <w:t>which</w:t>
      </w:r>
      <w:r>
        <w:rPr>
          <w:sz w:val="28"/>
          <w:szCs w:val="28"/>
        </w:rPr>
        <w:t xml:space="preserve"> </w:t>
      </w:r>
      <w:r w:rsidRPr="00036BFF">
        <w:t xml:space="preserve">states </w:t>
      </w:r>
      <w:r w:rsidRPr="00036BFF">
        <w:rPr>
          <w:rFonts w:hint="cs"/>
          <w:rtl/>
        </w:rPr>
        <w:t>המוצא מציאה כו'</w:t>
      </w:r>
      <w:r w:rsidR="00CC37B0" w:rsidRPr="00036BFF">
        <w:t xml:space="preserve">, then the </w:t>
      </w:r>
      <w:r w:rsidR="00CC37B0" w:rsidRPr="00036BFF">
        <w:rPr>
          <w:rFonts w:hint="cs"/>
          <w:rtl/>
        </w:rPr>
        <w:t>גמרא</w:t>
      </w:r>
      <w:r w:rsidRPr="00036BFF">
        <w:t xml:space="preserve"> –</w:t>
      </w:r>
    </w:p>
    <w:p w:rsidR="00E1130E" w:rsidRPr="00815B21" w:rsidRDefault="00CC37B0" w:rsidP="00815B2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>הוה ליה למימר ולית ליה לבי אלעזר בן יעקב המוצא מציאה</w:t>
      </w:r>
      <w:r w:rsidR="00FC0686" w:rsidRPr="00815B21">
        <w:rPr>
          <w:rFonts w:ascii="David" w:hAnsi="David" w:cs="David"/>
          <w:b/>
          <w:bCs/>
          <w:sz w:val="28"/>
          <w:szCs w:val="28"/>
          <w:rtl/>
        </w:rPr>
        <w:t xml:space="preserve"> כדקאמר ארבי יצחק</w:t>
      </w: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15B2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CC37B0" w:rsidRPr="00036BFF" w:rsidRDefault="00CC37B0" w:rsidP="00FC0686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Should have said </w:t>
      </w:r>
      <w:r>
        <w:rPr>
          <w:sz w:val="28"/>
          <w:szCs w:val="28"/>
        </w:rPr>
        <w:t xml:space="preserve">and presented its challenge in the following manner: </w:t>
      </w:r>
      <w:r>
        <w:rPr>
          <w:b/>
          <w:bCs/>
          <w:sz w:val="28"/>
          <w:szCs w:val="28"/>
        </w:rPr>
        <w:t xml:space="preserve">does not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agree </w:t>
      </w:r>
      <w:r>
        <w:rPr>
          <w:sz w:val="28"/>
          <w:szCs w:val="28"/>
        </w:rPr>
        <w:t xml:space="preserve">with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 w:rsidRPr="00F925B5">
        <w:rPr>
          <w:rFonts w:hint="cs"/>
          <w:b/>
          <w:bCs/>
          <w:sz w:val="28"/>
          <w:szCs w:val="28"/>
          <w:rtl/>
        </w:rPr>
        <w:t>המוצא מציאה</w:t>
      </w:r>
      <w:r w:rsidR="00404A9D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C0686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stated </w:t>
      </w:r>
      <w:r>
        <w:rPr>
          <w:sz w:val="28"/>
          <w:szCs w:val="28"/>
        </w:rPr>
        <w:t xml:space="preserve">when it posed the challenge to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. </w:t>
      </w:r>
      <w:r w:rsidRPr="00036BFF">
        <w:t xml:space="preserve">The </w:t>
      </w:r>
      <w:r w:rsidRPr="00036BFF">
        <w:rPr>
          <w:rFonts w:hint="cs"/>
          <w:rtl/>
        </w:rPr>
        <w:t>גמרא</w:t>
      </w:r>
      <w:r w:rsidRPr="00036BFF">
        <w:t xml:space="preserve"> clearly asked </w:t>
      </w:r>
      <w:r w:rsidRPr="00036BFF">
        <w:rPr>
          <w:rFonts w:hint="cs"/>
          <w:rtl/>
        </w:rPr>
        <w:t>ולית ליה לר"י המוצא מציאה</w:t>
      </w:r>
      <w:r w:rsidRPr="00036BFF">
        <w:t xml:space="preserve">, the same should have been asked on </w:t>
      </w:r>
      <w:r w:rsidRPr="00036BFF">
        <w:rPr>
          <w:rFonts w:hint="cs"/>
          <w:rtl/>
        </w:rPr>
        <w:t>ראב"י</w:t>
      </w:r>
      <w:r w:rsidRPr="00036BFF">
        <w:t xml:space="preserve">. The fact the question on </w:t>
      </w:r>
      <w:r w:rsidRPr="00036BFF">
        <w:rPr>
          <w:rFonts w:hint="cs"/>
          <w:rtl/>
        </w:rPr>
        <w:t>ראב"י</w:t>
      </w:r>
      <w:r w:rsidRPr="00036BFF">
        <w:t xml:space="preserve"> was phrased differently </w:t>
      </w:r>
      <w:r w:rsidRPr="00036BFF">
        <w:rPr>
          <w:rFonts w:hint="cs"/>
          <w:rtl/>
        </w:rPr>
        <w:t>(לית ליה משיב אבידה)</w:t>
      </w:r>
      <w:r w:rsidR="00534B52" w:rsidRPr="00036BFF">
        <w:t xml:space="preserve"> than</w:t>
      </w:r>
      <w:r w:rsidRPr="00036BFF">
        <w:t xml:space="preserve"> the question on </w:t>
      </w:r>
      <w:r w:rsidRPr="00036BFF">
        <w:rPr>
          <w:rFonts w:hint="cs"/>
          <w:rtl/>
        </w:rPr>
        <w:t>ר"י</w:t>
      </w:r>
      <w:r w:rsidRPr="00036BFF">
        <w:t xml:space="preserve"> </w:t>
      </w:r>
      <w:r w:rsidR="00FC0686">
        <w:t xml:space="preserve">(which was </w:t>
      </w:r>
      <w:r w:rsidR="00FC0686">
        <w:rPr>
          <w:rFonts w:hint="cs"/>
          <w:rtl/>
        </w:rPr>
        <w:t>ולית</w:t>
      </w:r>
      <w:r w:rsidRPr="00036BFF">
        <w:rPr>
          <w:rFonts w:hint="cs"/>
          <w:rtl/>
        </w:rPr>
        <w:t xml:space="preserve"> ליה המוצא מציאה</w:t>
      </w:r>
      <w:r w:rsidR="00FC0686">
        <w:t>)</w:t>
      </w:r>
      <w:r w:rsidRPr="00036BFF">
        <w:t xml:space="preserve">, proves that they are different questions. The question on </w:t>
      </w:r>
      <w:r w:rsidRPr="00036BFF">
        <w:rPr>
          <w:rFonts w:hint="cs"/>
          <w:rtl/>
        </w:rPr>
        <w:t>ראב"י</w:t>
      </w:r>
      <w:r w:rsidRPr="00036BFF">
        <w:t xml:space="preserve"> is not on account of the </w:t>
      </w:r>
      <w:r w:rsidRPr="00036BFF">
        <w:rPr>
          <w:rFonts w:hint="cs"/>
          <w:rtl/>
        </w:rPr>
        <w:t>משנה</w:t>
      </w:r>
      <w:r w:rsidR="00F925B5" w:rsidRPr="00036BFF">
        <w:rPr>
          <w:rStyle w:val="FootnoteReference"/>
          <w:rtl/>
        </w:rPr>
        <w:footnoteReference w:id="12"/>
      </w:r>
      <w:r w:rsidRPr="00036BFF">
        <w:t xml:space="preserve"> (where it is only a </w:t>
      </w:r>
      <w:r w:rsidRPr="00036BFF">
        <w:rPr>
          <w:rFonts w:hint="cs"/>
          <w:rtl/>
        </w:rPr>
        <w:t>פטור מפני תקון העולם</w:t>
      </w:r>
      <w:r w:rsidRPr="00036BFF">
        <w:t xml:space="preserve">), but rather on account of </w:t>
      </w:r>
      <w:r w:rsidRPr="00036BFF">
        <w:rPr>
          <w:rFonts w:hint="cs"/>
          <w:rtl/>
        </w:rPr>
        <w:t>מגו</w:t>
      </w:r>
      <w:r w:rsidRPr="00036BFF">
        <w:t xml:space="preserve"> (which is a </w:t>
      </w:r>
      <w:r w:rsidRPr="00036BFF">
        <w:rPr>
          <w:rFonts w:hint="cs"/>
          <w:rtl/>
        </w:rPr>
        <w:t>פטור מדאורייתא</w:t>
      </w:r>
      <w:r w:rsidRPr="00036BFF">
        <w:t xml:space="preserve">). </w:t>
      </w:r>
    </w:p>
    <w:p w:rsidR="00606C97" w:rsidRPr="00036BFF" w:rsidRDefault="00606C97" w:rsidP="00D71B92">
      <w:pPr>
        <w:spacing w:line="276" w:lineRule="auto"/>
        <w:jc w:val="both"/>
      </w:pPr>
    </w:p>
    <w:p w:rsidR="00606C97" w:rsidRPr="00036BFF" w:rsidRDefault="00606C97" w:rsidP="00D71B92">
      <w:pPr>
        <w:spacing w:line="276" w:lineRule="auto"/>
        <w:jc w:val="both"/>
      </w:pPr>
      <w:r w:rsidRPr="00036BFF">
        <w:rPr>
          <w:rFonts w:hint="cs"/>
          <w:rtl/>
        </w:rPr>
        <w:t>תוספות</w:t>
      </w:r>
      <w:r w:rsidRPr="00036BFF">
        <w:t xml:space="preserve"> offers an additional proof that the question on </w:t>
      </w:r>
      <w:r w:rsidRPr="00036BFF">
        <w:rPr>
          <w:rFonts w:hint="cs"/>
          <w:rtl/>
        </w:rPr>
        <w:t>ראב"י</w:t>
      </w:r>
      <w:r w:rsidRPr="00036BFF">
        <w:t xml:space="preserve"> in not based on the </w:t>
      </w:r>
      <w:r w:rsidRPr="00036BFF">
        <w:rPr>
          <w:rFonts w:hint="cs"/>
          <w:rtl/>
        </w:rPr>
        <w:t>משנה</w:t>
      </w:r>
      <w:r w:rsidRPr="00036BFF">
        <w:t xml:space="preserve"> of </w:t>
      </w:r>
      <w:r w:rsidRPr="00036BFF">
        <w:rPr>
          <w:rFonts w:hint="cs"/>
          <w:rtl/>
        </w:rPr>
        <w:t>המוצא מציאה</w:t>
      </w:r>
      <w:r w:rsidRPr="00036BFF">
        <w:t>:</w:t>
      </w:r>
    </w:p>
    <w:p w:rsidR="00606C97" w:rsidRPr="00815B21" w:rsidRDefault="00606C97" w:rsidP="00815B2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ועוד כיון דמשני הוא דאמר כרבי אלעזר בן יעקב </w:t>
      </w:r>
      <w:r w:rsidR="00815B2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606C97" w:rsidRDefault="00606C97" w:rsidP="00D71B9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furthermore since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answered </w:t>
      </w:r>
      <w:r>
        <w:rPr>
          <w:sz w:val="28"/>
          <w:szCs w:val="28"/>
        </w:rPr>
        <w:t xml:space="preserve">on its original question (does not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agree to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המוצא מציאה</w:t>
      </w:r>
      <w:r>
        <w:rPr>
          <w:sz w:val="28"/>
          <w:szCs w:val="28"/>
        </w:rPr>
        <w:t xml:space="preserve">; to which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answered) </w:t>
      </w:r>
      <w:r>
        <w:rPr>
          <w:b/>
          <w:bCs/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follows the opinion of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–</w:t>
      </w:r>
    </w:p>
    <w:p w:rsidR="00606C97" w:rsidRPr="00815B21" w:rsidRDefault="007F1523" w:rsidP="00815B2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אם כן רוצה לומר דרבי אלעזר בן יעקב פליג אמתניתין </w:t>
      </w:r>
      <w:r w:rsidR="00815B2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F1523" w:rsidRPr="00036BFF" w:rsidRDefault="007F1523" w:rsidP="00815B21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This implies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intends to state that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argues on our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</w:t>
      </w:r>
      <w:r w:rsidRPr="00036BFF">
        <w:t xml:space="preserve">of </w:t>
      </w:r>
      <w:r w:rsidRPr="00036BFF">
        <w:rPr>
          <w:rFonts w:hint="cs"/>
          <w:rtl/>
        </w:rPr>
        <w:t>המוצא מציאה</w:t>
      </w:r>
      <w:r w:rsidRPr="00036BFF">
        <w:t xml:space="preserve">. This is the thrust of the question and answer. The question is how can </w:t>
      </w:r>
      <w:r w:rsidRPr="00036BFF">
        <w:rPr>
          <w:rFonts w:hint="cs"/>
          <w:rtl/>
        </w:rPr>
        <w:t>ר"י</w:t>
      </w:r>
      <w:r w:rsidRPr="00036BFF">
        <w:t xml:space="preserve"> (who is an </w:t>
      </w:r>
      <w:r w:rsidRPr="00036BFF">
        <w:rPr>
          <w:rFonts w:hint="cs"/>
          <w:rtl/>
        </w:rPr>
        <w:t>אמורא</w:t>
      </w:r>
      <w:r w:rsidRPr="00036BFF">
        <w:t xml:space="preserve">) argue on the </w:t>
      </w:r>
      <w:r w:rsidRPr="00036BFF">
        <w:rPr>
          <w:rFonts w:hint="cs"/>
          <w:rtl/>
        </w:rPr>
        <w:t>משנה</w:t>
      </w:r>
      <w:r w:rsidRPr="00036BFF">
        <w:t xml:space="preserve"> of </w:t>
      </w:r>
      <w:r w:rsidRPr="00036BFF">
        <w:rPr>
          <w:rFonts w:hint="cs"/>
          <w:rtl/>
        </w:rPr>
        <w:t>המוצא מציאה</w:t>
      </w:r>
      <w:r w:rsidRPr="00036BFF">
        <w:t xml:space="preserve">; to which the reply is that he can </w:t>
      </w:r>
      <w:r w:rsidRPr="00036BFF">
        <w:lastRenderedPageBreak/>
        <w:t xml:space="preserve">disagree with this </w:t>
      </w:r>
      <w:r w:rsidRPr="00036BFF">
        <w:rPr>
          <w:rFonts w:hint="cs"/>
          <w:rtl/>
        </w:rPr>
        <w:t>משנה</w:t>
      </w:r>
      <w:r w:rsidRPr="00036BFF">
        <w:t xml:space="preserve"> since he has the support of </w:t>
      </w:r>
      <w:r w:rsidRPr="00036BFF">
        <w:rPr>
          <w:rFonts w:hint="cs"/>
          <w:rtl/>
        </w:rPr>
        <w:t>ראב"י</w:t>
      </w:r>
      <w:r w:rsidRPr="00036BFF">
        <w:t xml:space="preserve"> (who is a </w:t>
      </w:r>
      <w:r w:rsidRPr="00036BFF">
        <w:rPr>
          <w:rFonts w:hint="cs"/>
          <w:rtl/>
        </w:rPr>
        <w:t>תנא</w:t>
      </w:r>
      <w:r w:rsidRPr="00036BFF">
        <w:t xml:space="preserve">), who seemingly also argues on that </w:t>
      </w:r>
      <w:r w:rsidRPr="00036BFF">
        <w:rPr>
          <w:rFonts w:hint="cs"/>
          <w:rtl/>
        </w:rPr>
        <w:t>משנה</w:t>
      </w:r>
      <w:r w:rsidRPr="00036BFF">
        <w:t xml:space="preserve"> –</w:t>
      </w:r>
    </w:p>
    <w:p w:rsidR="007F1523" w:rsidRPr="00815B21" w:rsidRDefault="007F1523" w:rsidP="00815B2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 xml:space="preserve">אם כן מאי פריך ורבי אלעזר בן יעקב לית ליה משיב אבדה פטור </w:t>
      </w:r>
      <w:r w:rsidR="00815B2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7F1523" w:rsidRPr="00036BFF" w:rsidRDefault="007F1523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If that is so, </w:t>
      </w:r>
      <w:r>
        <w:rPr>
          <w:sz w:val="28"/>
          <w:szCs w:val="28"/>
        </w:rPr>
        <w:t xml:space="preserve">then </w:t>
      </w:r>
      <w:r>
        <w:rPr>
          <w:b/>
          <w:bCs/>
          <w:sz w:val="28"/>
          <w:szCs w:val="28"/>
        </w:rPr>
        <w:t xml:space="preserve">why does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ask</w:t>
      </w:r>
      <w:r w:rsidR="00036BF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036BFF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 xml:space="preserve">does not </w:t>
      </w:r>
      <w:r>
        <w:rPr>
          <w:rFonts w:hint="cs"/>
          <w:b/>
          <w:bCs/>
          <w:sz w:val="28"/>
          <w:szCs w:val="28"/>
          <w:rtl/>
        </w:rPr>
        <w:t>ראב"י</w:t>
      </w:r>
      <w:r>
        <w:rPr>
          <w:b/>
          <w:bCs/>
          <w:sz w:val="28"/>
          <w:szCs w:val="28"/>
        </w:rPr>
        <w:t xml:space="preserve"> agree that </w:t>
      </w:r>
      <w:r w:rsidR="00F925B5">
        <w:rPr>
          <w:rFonts w:hint="cs"/>
          <w:b/>
          <w:bCs/>
          <w:sz w:val="28"/>
          <w:szCs w:val="28"/>
          <w:rtl/>
        </w:rPr>
        <w:t>משיב אבדה</w:t>
      </w:r>
      <w:r>
        <w:rPr>
          <w:b/>
          <w:bCs/>
          <w:sz w:val="28"/>
          <w:szCs w:val="28"/>
        </w:rPr>
        <w:t xml:space="preserve"> is </w:t>
      </w:r>
      <w:r>
        <w:rPr>
          <w:rFonts w:hint="cs"/>
          <w:b/>
          <w:bCs/>
          <w:sz w:val="28"/>
          <w:szCs w:val="28"/>
          <w:rtl/>
        </w:rPr>
        <w:t>פטור</w:t>
      </w:r>
      <w:r w:rsidR="00036BFF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 </w:t>
      </w:r>
      <w:r w:rsidRPr="00036BFF">
        <w:t xml:space="preserve">(which according to </w:t>
      </w:r>
      <w:r w:rsidRPr="00036BFF">
        <w:rPr>
          <w:rFonts w:hint="cs"/>
          <w:rtl/>
        </w:rPr>
        <w:t>רש"י</w:t>
      </w:r>
      <w:r w:rsidRPr="00036BFF">
        <w:t xml:space="preserve"> means does he disagree with the </w:t>
      </w:r>
      <w:r w:rsidRPr="00036BFF">
        <w:rPr>
          <w:rFonts w:hint="cs"/>
          <w:rtl/>
        </w:rPr>
        <w:t>משנה</w:t>
      </w:r>
      <w:r w:rsidRPr="00036BFF">
        <w:t xml:space="preserve"> of </w:t>
      </w:r>
      <w:r w:rsidRPr="00036BFF">
        <w:rPr>
          <w:rFonts w:hint="cs"/>
          <w:rtl/>
        </w:rPr>
        <w:t>משיב אבדה</w:t>
      </w:r>
      <w:r w:rsidRPr="00036BFF">
        <w:t>), how is this a question?! –</w:t>
      </w:r>
    </w:p>
    <w:p w:rsidR="007F1523" w:rsidRPr="00815B21" w:rsidRDefault="007F1523" w:rsidP="00D71B92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>אין הכי נמי דלית ליה –</w:t>
      </w:r>
    </w:p>
    <w:p w:rsidR="007F1523" w:rsidRPr="00036BFF" w:rsidRDefault="007F1523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Indeed this is how it is! </w:t>
      </w:r>
      <w:r w:rsidRPr="00036BFF">
        <w:rPr>
          <w:rFonts w:hint="cs"/>
          <w:rtl/>
        </w:rPr>
        <w:t>ראב"י</w:t>
      </w:r>
      <w:r w:rsidRPr="00036BFF">
        <w:t xml:space="preserve"> does not agree with the </w:t>
      </w:r>
      <w:r w:rsidRPr="00036BFF">
        <w:rPr>
          <w:rFonts w:hint="cs"/>
          <w:rtl/>
        </w:rPr>
        <w:t>משנה</w:t>
      </w:r>
      <w:r w:rsidRPr="00036BFF">
        <w:t>!</w:t>
      </w:r>
      <w:r w:rsidR="008754D3">
        <w:rPr>
          <w:rStyle w:val="FootnoteReference"/>
        </w:rPr>
        <w:footnoteReference w:id="13"/>
      </w:r>
      <w:r w:rsidRPr="00036BFF">
        <w:t xml:space="preserve"> This is exactly what the answer on the first question (on </w:t>
      </w:r>
      <w:r w:rsidRPr="00036BFF">
        <w:rPr>
          <w:rFonts w:hint="cs"/>
          <w:rtl/>
        </w:rPr>
        <w:t>ר"י</w:t>
      </w:r>
      <w:r w:rsidRPr="00036BFF">
        <w:t xml:space="preserve">) was! </w:t>
      </w:r>
    </w:p>
    <w:p w:rsidR="007F1523" w:rsidRPr="00815B21" w:rsidRDefault="007F1523" w:rsidP="00B478EC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15B21">
        <w:rPr>
          <w:rFonts w:ascii="David" w:hAnsi="David" w:cs="David"/>
          <w:b/>
          <w:bCs/>
          <w:sz w:val="28"/>
          <w:szCs w:val="28"/>
          <w:rtl/>
        </w:rPr>
        <w:t>אלא מכח  מגו פריך כדפרישית</w:t>
      </w:r>
      <w:r w:rsidR="00B478EC"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:rsidR="007F1523" w:rsidRDefault="007F1523" w:rsidP="00D71B92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But rather, the question </w:t>
      </w:r>
      <w:r>
        <w:rPr>
          <w:sz w:val="28"/>
          <w:szCs w:val="28"/>
        </w:rPr>
        <w:t xml:space="preserve">on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 xml:space="preserve">on account of </w:t>
      </w:r>
      <w:r>
        <w:rPr>
          <w:rFonts w:hint="cs"/>
          <w:b/>
          <w:bCs/>
          <w:sz w:val="28"/>
          <w:szCs w:val="28"/>
          <w:rtl/>
        </w:rPr>
        <w:t>מגו</w:t>
      </w:r>
      <w:r>
        <w:rPr>
          <w:sz w:val="28"/>
          <w:szCs w:val="28"/>
        </w:rPr>
        <w:t>;</w:t>
      </w:r>
      <w:r w:rsidR="00036BFF">
        <w:rPr>
          <w:b/>
          <w:bCs/>
          <w:sz w:val="28"/>
          <w:szCs w:val="28"/>
        </w:rPr>
        <w:t xml:space="preserve"> </w:t>
      </w:r>
      <w:r w:rsidR="00036BFF" w:rsidRPr="00036BFF">
        <w:rPr>
          <w:sz w:val="28"/>
          <w:szCs w:val="28"/>
        </w:rPr>
        <w:t xml:space="preserve">how can it be that </w:t>
      </w:r>
      <w:r w:rsidR="00036BFF" w:rsidRPr="00036BFF">
        <w:rPr>
          <w:rFonts w:hint="cs"/>
          <w:sz w:val="28"/>
          <w:szCs w:val="28"/>
          <w:rtl/>
        </w:rPr>
        <w:t>ראב"י</w:t>
      </w:r>
      <w:r w:rsidR="00036BFF" w:rsidRPr="00036BFF">
        <w:rPr>
          <w:sz w:val="28"/>
          <w:szCs w:val="28"/>
        </w:rPr>
        <w:t xml:space="preserve"> does not subscribe to the rule of </w:t>
      </w:r>
      <w:r w:rsidR="00036BFF" w:rsidRPr="00036BFF">
        <w:rPr>
          <w:rFonts w:hint="cs"/>
          <w:sz w:val="28"/>
          <w:szCs w:val="28"/>
          <w:rtl/>
        </w:rPr>
        <w:t>מגו</w:t>
      </w:r>
      <w:r w:rsidR="00036BFF" w:rsidRPr="00036BFF">
        <w:rPr>
          <w:sz w:val="28"/>
          <w:szCs w:val="28"/>
        </w:rPr>
        <w:t xml:space="preserve">, which is a </w:t>
      </w:r>
      <w:r w:rsidR="00036BFF" w:rsidRPr="00036BFF">
        <w:rPr>
          <w:rFonts w:hint="cs"/>
          <w:sz w:val="28"/>
          <w:szCs w:val="28"/>
          <w:rtl/>
        </w:rPr>
        <w:t>דאורייתא</w:t>
      </w:r>
      <w:r w:rsidR="00404A9D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 I</w:t>
      </w:r>
      <w:r w:rsidR="00C862D5">
        <w:rPr>
          <w:b/>
          <w:bCs/>
          <w:sz w:val="28"/>
          <w:szCs w:val="28"/>
        </w:rPr>
        <w:t xml:space="preserve"> have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previously </w:t>
      </w:r>
      <w:r>
        <w:rPr>
          <w:b/>
          <w:bCs/>
          <w:sz w:val="28"/>
          <w:szCs w:val="28"/>
        </w:rPr>
        <w:t>explained</w:t>
      </w:r>
      <w:r>
        <w:rPr>
          <w:sz w:val="28"/>
          <w:szCs w:val="28"/>
        </w:rPr>
        <w:t xml:space="preserve">. </w:t>
      </w:r>
    </w:p>
    <w:p w:rsidR="00036BFF" w:rsidRDefault="00036BFF" w:rsidP="00D71B92">
      <w:pPr>
        <w:spacing w:line="276" w:lineRule="auto"/>
        <w:jc w:val="both"/>
      </w:pPr>
    </w:p>
    <w:p w:rsidR="00036BFF" w:rsidRPr="005F6CA8" w:rsidRDefault="00036BFF" w:rsidP="00D71B9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5F6CA8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7F1523" w:rsidRPr="004450BF" w:rsidRDefault="00036BFF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assumption that </w:t>
      </w:r>
      <w:r>
        <w:rPr>
          <w:rFonts w:hint="cs"/>
          <w:sz w:val="28"/>
          <w:szCs w:val="28"/>
          <w:rtl/>
        </w:rPr>
        <w:t>ראב"י</w:t>
      </w:r>
      <w:r>
        <w:rPr>
          <w:sz w:val="28"/>
          <w:szCs w:val="28"/>
        </w:rPr>
        <w:t xml:space="preserve"> agrees that a </w:t>
      </w:r>
      <w:r>
        <w:rPr>
          <w:rFonts w:hint="cs"/>
          <w:sz w:val="28"/>
          <w:szCs w:val="28"/>
          <w:rtl/>
        </w:rPr>
        <w:t>משיב אבדה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פטור</w:t>
      </w:r>
      <w:r>
        <w:rPr>
          <w:sz w:val="28"/>
          <w:szCs w:val="28"/>
        </w:rPr>
        <w:t xml:space="preserve"> from a </w:t>
      </w:r>
      <w:r>
        <w:rPr>
          <w:rFonts w:hint="cs"/>
          <w:sz w:val="28"/>
          <w:szCs w:val="28"/>
          <w:rtl/>
        </w:rPr>
        <w:t>שבועה</w:t>
      </w:r>
      <w:r>
        <w:rPr>
          <w:sz w:val="28"/>
          <w:szCs w:val="28"/>
        </w:rPr>
        <w:t xml:space="preserve"> is based, according to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, on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המוצא וכו' לא ישבע מפני תקון העולם</w:t>
      </w:r>
      <w:r>
        <w:rPr>
          <w:sz w:val="28"/>
          <w:szCs w:val="28"/>
        </w:rPr>
        <w:t xml:space="preserve">, and according to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it is based on the rule of </w:t>
      </w:r>
      <w:r>
        <w:rPr>
          <w:rFonts w:hint="cs"/>
          <w:sz w:val="28"/>
          <w:szCs w:val="28"/>
          <w:rtl/>
        </w:rPr>
        <w:t>מגו</w:t>
      </w:r>
      <w:r>
        <w:rPr>
          <w:sz w:val="28"/>
          <w:szCs w:val="28"/>
        </w:rPr>
        <w:t>.</w:t>
      </w:r>
      <w:r w:rsidR="004450BF">
        <w:t xml:space="preserve"> </w:t>
      </w:r>
      <w:r w:rsidR="004450BF">
        <w:rPr>
          <w:rFonts w:hint="cs"/>
          <w:sz w:val="28"/>
          <w:szCs w:val="28"/>
          <w:rtl/>
        </w:rPr>
        <w:t>תוספות</w:t>
      </w:r>
      <w:r w:rsidR="004450BF">
        <w:rPr>
          <w:sz w:val="28"/>
          <w:szCs w:val="28"/>
        </w:rPr>
        <w:t xml:space="preserve"> </w:t>
      </w:r>
      <w:r w:rsidR="004D518C">
        <w:rPr>
          <w:sz w:val="28"/>
          <w:szCs w:val="28"/>
        </w:rPr>
        <w:t>proves</w:t>
      </w:r>
      <w:r w:rsidR="004450BF">
        <w:rPr>
          <w:sz w:val="28"/>
          <w:szCs w:val="28"/>
        </w:rPr>
        <w:t xml:space="preserve"> his contention</w:t>
      </w:r>
      <w:r w:rsidR="004D518C">
        <w:rPr>
          <w:sz w:val="28"/>
          <w:szCs w:val="28"/>
        </w:rPr>
        <w:t>,</w:t>
      </w:r>
      <w:r w:rsidR="004450BF">
        <w:rPr>
          <w:sz w:val="28"/>
          <w:szCs w:val="28"/>
        </w:rPr>
        <w:t xml:space="preserve"> from the manner in which the </w:t>
      </w:r>
      <w:r w:rsidR="004450BF">
        <w:rPr>
          <w:rFonts w:hint="cs"/>
          <w:sz w:val="28"/>
          <w:szCs w:val="28"/>
          <w:rtl/>
        </w:rPr>
        <w:t>גמרא</w:t>
      </w:r>
      <w:r w:rsidR="004450BF">
        <w:rPr>
          <w:sz w:val="28"/>
          <w:szCs w:val="28"/>
        </w:rPr>
        <w:t xml:space="preserve"> (in </w:t>
      </w:r>
      <w:r w:rsidR="004450BF">
        <w:rPr>
          <w:rFonts w:hint="cs"/>
          <w:sz w:val="28"/>
          <w:szCs w:val="28"/>
          <w:rtl/>
        </w:rPr>
        <w:t>גיטין</w:t>
      </w:r>
      <w:r w:rsidR="004450BF">
        <w:rPr>
          <w:sz w:val="28"/>
          <w:szCs w:val="28"/>
        </w:rPr>
        <w:t xml:space="preserve">) challenges </w:t>
      </w:r>
      <w:r w:rsidR="004450BF">
        <w:rPr>
          <w:rFonts w:hint="cs"/>
          <w:sz w:val="28"/>
          <w:szCs w:val="28"/>
          <w:rtl/>
        </w:rPr>
        <w:t>ראב"י</w:t>
      </w:r>
      <w:r w:rsidR="004450BF">
        <w:rPr>
          <w:sz w:val="28"/>
          <w:szCs w:val="28"/>
        </w:rPr>
        <w:t>.</w:t>
      </w:r>
    </w:p>
    <w:p w:rsidR="008754D3" w:rsidRDefault="008754D3" w:rsidP="00D71B92">
      <w:pPr>
        <w:spacing w:line="276" w:lineRule="auto"/>
        <w:jc w:val="both"/>
      </w:pPr>
    </w:p>
    <w:p w:rsidR="008754D3" w:rsidRPr="005F6CA8" w:rsidRDefault="008754D3" w:rsidP="00D71B9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5F6CA8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8754D3" w:rsidRDefault="004D518C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What are the relative advantages of each of the two proofs that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cites from </w:t>
      </w:r>
      <w:r>
        <w:rPr>
          <w:rFonts w:hint="cs"/>
          <w:sz w:val="28"/>
          <w:szCs w:val="28"/>
          <w:rtl/>
        </w:rPr>
        <w:t>גיטין</w:t>
      </w:r>
      <w:r>
        <w:rPr>
          <w:sz w:val="28"/>
          <w:szCs w:val="28"/>
        </w:rPr>
        <w:t>?</w:t>
      </w:r>
    </w:p>
    <w:p w:rsidR="004D518C" w:rsidRDefault="004D518C" w:rsidP="00D71B92">
      <w:pPr>
        <w:spacing w:line="276" w:lineRule="auto"/>
        <w:jc w:val="both"/>
        <w:rPr>
          <w:sz w:val="28"/>
          <w:szCs w:val="28"/>
        </w:rPr>
      </w:pPr>
    </w:p>
    <w:p w:rsidR="004D518C" w:rsidRDefault="004D518C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What is the essential difficulty that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has with </w:t>
      </w:r>
      <w:r>
        <w:rPr>
          <w:rFonts w:hint="cs"/>
          <w:sz w:val="28"/>
          <w:szCs w:val="28"/>
          <w:rtl/>
        </w:rPr>
        <w:t>פירש"י</w:t>
      </w:r>
      <w:r>
        <w:rPr>
          <w:sz w:val="28"/>
          <w:szCs w:val="28"/>
        </w:rPr>
        <w:t>?</w:t>
      </w:r>
    </w:p>
    <w:p w:rsidR="004D518C" w:rsidRDefault="004D518C" w:rsidP="00D71B92">
      <w:pPr>
        <w:spacing w:line="276" w:lineRule="auto"/>
        <w:jc w:val="both"/>
        <w:rPr>
          <w:sz w:val="28"/>
          <w:szCs w:val="28"/>
        </w:rPr>
      </w:pPr>
    </w:p>
    <w:p w:rsidR="004D518C" w:rsidRDefault="004D518C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How can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claim that a </w:t>
      </w:r>
      <w:r>
        <w:rPr>
          <w:rFonts w:hint="cs"/>
          <w:sz w:val="28"/>
          <w:szCs w:val="28"/>
          <w:rtl/>
        </w:rPr>
        <w:t>משיב אבידה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פטור משבועה מדאורייתא</w:t>
      </w:r>
      <w:r>
        <w:rPr>
          <w:sz w:val="28"/>
          <w:szCs w:val="28"/>
        </w:rPr>
        <w:t xml:space="preserve">, when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in </w:t>
      </w:r>
      <w:r>
        <w:rPr>
          <w:rFonts w:hint="cs"/>
          <w:sz w:val="28"/>
          <w:szCs w:val="28"/>
          <w:rtl/>
        </w:rPr>
        <w:t>גיטין</w:t>
      </w:r>
      <w:r>
        <w:rPr>
          <w:sz w:val="28"/>
          <w:szCs w:val="28"/>
        </w:rPr>
        <w:t xml:space="preserve"> clearly states </w:t>
      </w:r>
      <w:r w:rsidR="00BD4854">
        <w:rPr>
          <w:rFonts w:hint="cs"/>
          <w:sz w:val="28"/>
          <w:szCs w:val="28"/>
          <w:rtl/>
        </w:rPr>
        <w:t>‘המוצא מציאה</w:t>
      </w:r>
      <w:r>
        <w:rPr>
          <w:rFonts w:hint="cs"/>
          <w:sz w:val="28"/>
          <w:szCs w:val="28"/>
          <w:rtl/>
        </w:rPr>
        <w:t xml:space="preserve"> לא ישבע </w:t>
      </w:r>
      <w:r>
        <w:rPr>
          <w:rFonts w:hint="cs"/>
          <w:sz w:val="28"/>
          <w:szCs w:val="28"/>
          <w:u w:val="single"/>
          <w:rtl/>
        </w:rPr>
        <w:t>מפני תקון העולם'</w:t>
      </w:r>
      <w:r w:rsidRPr="004D518C">
        <w:rPr>
          <w:sz w:val="28"/>
          <w:szCs w:val="28"/>
        </w:rPr>
        <w:t>?</w:t>
      </w:r>
      <w:r>
        <w:rPr>
          <w:sz w:val="28"/>
          <w:szCs w:val="28"/>
        </w:rPr>
        <w:t>!</w:t>
      </w:r>
      <w:r>
        <w:rPr>
          <w:rStyle w:val="FootnoteReference"/>
          <w:sz w:val="28"/>
          <w:szCs w:val="28"/>
        </w:rPr>
        <w:footnoteReference w:id="14"/>
      </w:r>
      <w:r>
        <w:rPr>
          <w:sz w:val="28"/>
          <w:szCs w:val="28"/>
        </w:rPr>
        <w:t xml:space="preserve"> </w:t>
      </w:r>
    </w:p>
    <w:p w:rsidR="00BD4854" w:rsidRDefault="00BD4854" w:rsidP="00D71B92">
      <w:pPr>
        <w:spacing w:line="276" w:lineRule="auto"/>
        <w:jc w:val="both"/>
        <w:rPr>
          <w:sz w:val="28"/>
          <w:szCs w:val="28"/>
        </w:rPr>
      </w:pPr>
    </w:p>
    <w:p w:rsidR="00BD4854" w:rsidRPr="008754D3" w:rsidRDefault="00BD4854" w:rsidP="00D71B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What would the </w:t>
      </w:r>
      <w:r>
        <w:rPr>
          <w:rFonts w:hint="cs"/>
          <w:sz w:val="28"/>
          <w:szCs w:val="28"/>
          <w:rtl/>
        </w:rPr>
        <w:t>דין</w:t>
      </w:r>
      <w:r>
        <w:rPr>
          <w:sz w:val="28"/>
          <w:szCs w:val="28"/>
        </w:rPr>
        <w:t xml:space="preserve"> be if an </w:t>
      </w:r>
      <w:r>
        <w:rPr>
          <w:rFonts w:hint="cs"/>
          <w:sz w:val="28"/>
          <w:szCs w:val="28"/>
          <w:rtl/>
        </w:rPr>
        <w:t>עד אחד</w:t>
      </w:r>
      <w:r>
        <w:rPr>
          <w:sz w:val="28"/>
          <w:szCs w:val="28"/>
        </w:rPr>
        <w:t xml:space="preserve"> supports the claim of the owner against the finder?</w:t>
      </w:r>
    </w:p>
    <w:sectPr w:rsidR="00BD4854" w:rsidRPr="008754D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44" w:rsidRDefault="00827944">
      <w:r>
        <w:separator/>
      </w:r>
    </w:p>
  </w:endnote>
  <w:endnote w:type="continuationSeparator" w:id="0">
    <w:p w:rsidR="00827944" w:rsidRDefault="0082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D1D" w:rsidRDefault="00A32D1D" w:rsidP="00CC37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D1D" w:rsidRDefault="00A32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2" w:rsidRDefault="00D71B92">
    <w:pPr>
      <w:pStyle w:val="Footer"/>
      <w:jc w:val="center"/>
      <w:rPr>
        <w:rFonts w:hint="cs"/>
        <w:noProof/>
        <w:sz w:val="16"/>
        <w:szCs w:val="16"/>
        <w:rtl/>
      </w:rPr>
    </w:pPr>
    <w:r w:rsidRPr="00D71B92">
      <w:rPr>
        <w:sz w:val="20"/>
        <w:szCs w:val="20"/>
      </w:rPr>
      <w:fldChar w:fldCharType="begin"/>
    </w:r>
    <w:r w:rsidRPr="00D71B92">
      <w:rPr>
        <w:sz w:val="20"/>
        <w:szCs w:val="20"/>
      </w:rPr>
      <w:instrText xml:space="preserve"> PAGE   \* MERGEFORMAT </w:instrText>
    </w:r>
    <w:r w:rsidRPr="00D71B92">
      <w:rPr>
        <w:sz w:val="20"/>
        <w:szCs w:val="20"/>
      </w:rPr>
      <w:fldChar w:fldCharType="separate"/>
    </w:r>
    <w:r w:rsidR="000E7AE9">
      <w:rPr>
        <w:noProof/>
        <w:sz w:val="20"/>
        <w:szCs w:val="20"/>
      </w:rPr>
      <w:t>4</w:t>
    </w:r>
    <w:r w:rsidRPr="00D71B92">
      <w:rPr>
        <w:noProof/>
        <w:sz w:val="20"/>
        <w:szCs w:val="20"/>
      </w:rPr>
      <w:fldChar w:fldCharType="end"/>
    </w:r>
  </w:p>
  <w:p w:rsidR="00D71B92" w:rsidRPr="00D71B92" w:rsidRDefault="00D71B9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A32D1D" w:rsidRPr="00FB3BC7" w:rsidRDefault="00A32D1D" w:rsidP="00FB3BC7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44" w:rsidRDefault="00827944">
      <w:r>
        <w:separator/>
      </w:r>
    </w:p>
  </w:footnote>
  <w:footnote w:type="continuationSeparator" w:id="0">
    <w:p w:rsidR="00827944" w:rsidRDefault="00827944">
      <w:r>
        <w:continuationSeparator/>
      </w:r>
    </w:p>
  </w:footnote>
  <w:footnote w:id="1">
    <w:p w:rsidR="00A32D1D" w:rsidRDefault="00A32D1D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</w:rPr>
        <w:t>מסקנא</w:t>
      </w:r>
      <w:r>
        <w:t xml:space="preserve"> of the </w:t>
      </w:r>
      <w:r>
        <w:rPr>
          <w:rFonts w:hint="cs"/>
          <w:rtl/>
        </w:rPr>
        <w:t>גמרא</w:t>
      </w:r>
      <w:r>
        <w:t xml:space="preserve">, however, the dispute between </w:t>
      </w:r>
      <w:r>
        <w:rPr>
          <w:rFonts w:hint="cs"/>
          <w:rtl/>
        </w:rPr>
        <w:t>ראב"י</w:t>
      </w:r>
      <w:r>
        <w:t xml:space="preserve"> and the </w:t>
      </w:r>
      <w:r>
        <w:rPr>
          <w:rFonts w:hint="cs"/>
          <w:rtl/>
        </w:rPr>
        <w:t>חכמים</w:t>
      </w:r>
      <w:r>
        <w:t xml:space="preserve"> is not in a case of </w:t>
      </w:r>
      <w:r>
        <w:rPr>
          <w:rFonts w:hint="cs"/>
          <w:rtl/>
        </w:rPr>
        <w:t>אין הלה תובעו</w:t>
      </w:r>
      <w:r>
        <w:t xml:space="preserve">. In a case of </w:t>
      </w:r>
      <w:r>
        <w:rPr>
          <w:rFonts w:hint="cs"/>
          <w:rtl/>
        </w:rPr>
        <w:t>אין הלה תובעו</w:t>
      </w:r>
      <w:r>
        <w:t xml:space="preserve"> all agree that he is a </w:t>
      </w:r>
      <w:r>
        <w:rPr>
          <w:rFonts w:hint="cs"/>
          <w:rtl/>
        </w:rPr>
        <w:t>משיב אבידה</w:t>
      </w:r>
      <w:r>
        <w:t xml:space="preserve"> and a </w:t>
      </w:r>
      <w:r>
        <w:rPr>
          <w:rFonts w:hint="cs"/>
          <w:rtl/>
        </w:rPr>
        <w:t>משיב אבידה</w:t>
      </w:r>
      <w:r>
        <w:t xml:space="preserve"> is </w:t>
      </w:r>
      <w:r>
        <w:rPr>
          <w:rFonts w:hint="cs"/>
          <w:rtl/>
        </w:rPr>
        <w:t>פטור משבועה</w:t>
      </w:r>
      <w:r>
        <w:t>.</w:t>
      </w:r>
    </w:p>
  </w:footnote>
  <w:footnote w:id="2">
    <w:p w:rsidR="00A32D1D" w:rsidRDefault="00A32D1D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מודה במקצת</w:t>
      </w:r>
      <w:r>
        <w:t xml:space="preserve"> is one who admits to owing partially what the plaintiff claims that he owes. A </w:t>
      </w:r>
      <w:r>
        <w:rPr>
          <w:rFonts w:hint="cs"/>
          <w:rtl/>
        </w:rPr>
        <w:t>מודה במקצת</w:t>
      </w:r>
      <w:r>
        <w:t xml:space="preserve"> is </w:t>
      </w:r>
      <w:r>
        <w:rPr>
          <w:rFonts w:hint="cs"/>
          <w:rtl/>
        </w:rPr>
        <w:t>חייב</w:t>
      </w:r>
      <w:r>
        <w:t xml:space="preserve"> a </w:t>
      </w:r>
      <w:r>
        <w:rPr>
          <w:rFonts w:hint="cs"/>
          <w:rtl/>
        </w:rPr>
        <w:t>שבועה דאורייתא</w:t>
      </w:r>
      <w:r>
        <w:t xml:space="preserve">. The </w:t>
      </w:r>
      <w:r>
        <w:rPr>
          <w:rFonts w:hint="cs"/>
          <w:rtl/>
        </w:rPr>
        <w:t>גמרא</w:t>
      </w:r>
      <w:r>
        <w:t xml:space="preserve"> shortly explains the ‘reason’ for this.</w:t>
      </w:r>
    </w:p>
  </w:footnote>
  <w:footnote w:id="3">
    <w:p w:rsidR="00D71B92" w:rsidRDefault="00D71B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בד"ה ורבי</w:t>
      </w:r>
      <w:r>
        <w:t>.</w:t>
      </w:r>
    </w:p>
  </w:footnote>
  <w:footnote w:id="4">
    <w:p w:rsidR="00D71B92" w:rsidRPr="00191970" w:rsidRDefault="00D71B92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גיטין מח,ב</w:t>
      </w:r>
      <w:r>
        <w:t>.</w:t>
      </w:r>
    </w:p>
  </w:footnote>
  <w:footnote w:id="5">
    <w:p w:rsidR="00D71B92" w:rsidRDefault="00D71B92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If a </w:t>
      </w:r>
      <w:r>
        <w:rPr>
          <w:rFonts w:hint="cs"/>
          <w:rtl/>
        </w:rPr>
        <w:t>מוצא מציאה</w:t>
      </w:r>
      <w:r>
        <w:t xml:space="preserve"> would be required to take the oath of a </w:t>
      </w:r>
      <w:r>
        <w:rPr>
          <w:rFonts w:hint="cs"/>
          <w:rtl/>
        </w:rPr>
        <w:t>מודה במקצת</w:t>
      </w:r>
      <w:r>
        <w:t xml:space="preserve"> (in a situation where the owner claims that the </w:t>
      </w:r>
      <w:r>
        <w:rPr>
          <w:rFonts w:hint="cs"/>
          <w:rtl/>
        </w:rPr>
        <w:t>אבידה</w:t>
      </w:r>
      <w:r>
        <w:t xml:space="preserve"> was greater than what the </w:t>
      </w:r>
      <w:r>
        <w:rPr>
          <w:rFonts w:hint="cs"/>
          <w:rtl/>
        </w:rPr>
        <w:t>מוצא</w:t>
      </w:r>
      <w:r>
        <w:t xml:space="preserve"> is returning), then people would refrain from returning </w:t>
      </w:r>
      <w:r>
        <w:rPr>
          <w:rFonts w:hint="cs"/>
          <w:rtl/>
        </w:rPr>
        <w:t>אבידות</w:t>
      </w:r>
      <w:r>
        <w:t xml:space="preserve">, out of concern that they be obligated for a </w:t>
      </w:r>
      <w:r>
        <w:rPr>
          <w:rFonts w:hint="cs"/>
          <w:rtl/>
        </w:rPr>
        <w:t>שבועה דאורייתא</w:t>
      </w:r>
      <w:r>
        <w:t xml:space="preserve">. Therefore the </w:t>
      </w:r>
      <w:r>
        <w:rPr>
          <w:rFonts w:hint="cs"/>
          <w:rtl/>
        </w:rPr>
        <w:t>חכמים</w:t>
      </w:r>
      <w:r>
        <w:t xml:space="preserve"> instituted that a </w:t>
      </w:r>
      <w:r>
        <w:rPr>
          <w:rFonts w:hint="cs"/>
          <w:rtl/>
        </w:rPr>
        <w:t>משיב אבידה</w:t>
      </w:r>
      <w:r>
        <w:t xml:space="preserve"> is </w:t>
      </w:r>
      <w:r>
        <w:rPr>
          <w:rFonts w:hint="cs"/>
          <w:rtl/>
        </w:rPr>
        <w:t>פטור משבועה</w:t>
      </w:r>
      <w:r>
        <w:t>.</w:t>
      </w:r>
    </w:p>
  </w:footnote>
  <w:footnote w:id="6">
    <w:p w:rsidR="00A32D1D" w:rsidRDefault="00A32D1D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current understanding of the </w:t>
      </w:r>
      <w:r>
        <w:rPr>
          <w:rFonts w:hint="cs"/>
          <w:rtl/>
        </w:rPr>
        <w:t>ברייתא</w:t>
      </w:r>
      <w:r>
        <w:t xml:space="preserve"> is that we are discussing a case of </w:t>
      </w:r>
      <w:r>
        <w:rPr>
          <w:rFonts w:hint="cs"/>
          <w:rtl/>
        </w:rPr>
        <w:t>טענת עצמו</w:t>
      </w:r>
      <w:r>
        <w:t xml:space="preserve"> literally, which seemingly means </w:t>
      </w:r>
      <w:r>
        <w:rPr>
          <w:rFonts w:hint="cs"/>
          <w:rtl/>
        </w:rPr>
        <w:t>אין הלה תובעו</w:t>
      </w:r>
      <w:r>
        <w:t>.</w:t>
      </w:r>
    </w:p>
  </w:footnote>
  <w:footnote w:id="7">
    <w:p w:rsidR="00A32D1D" w:rsidRDefault="00A32D1D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fact that the </w:t>
      </w:r>
      <w:r>
        <w:rPr>
          <w:rFonts w:hint="cs"/>
          <w:rtl/>
        </w:rPr>
        <w:t>משנה</w:t>
      </w:r>
      <w:r>
        <w:t xml:space="preserve"> states </w:t>
      </w:r>
      <w:r>
        <w:rPr>
          <w:rFonts w:hint="cs"/>
          <w:rtl/>
        </w:rPr>
        <w:t>המוצא וכו' לא ישבע מפני תקון העולם</w:t>
      </w:r>
      <w:r>
        <w:t xml:space="preserve">, does not compel </w:t>
      </w:r>
      <w:r>
        <w:rPr>
          <w:rFonts w:hint="cs"/>
          <w:rtl/>
        </w:rPr>
        <w:t>ראב"י</w:t>
      </w:r>
      <w:r>
        <w:t xml:space="preserve"> to agree. </w:t>
      </w:r>
      <w:r>
        <w:rPr>
          <w:rFonts w:hint="cs"/>
          <w:rtl/>
        </w:rPr>
        <w:t>ראב"י</w:t>
      </w:r>
      <w:r>
        <w:t xml:space="preserve"> is a </w:t>
      </w:r>
      <w:r>
        <w:rPr>
          <w:rFonts w:hint="cs"/>
          <w:rtl/>
        </w:rPr>
        <w:t>תנא</w:t>
      </w:r>
      <w:r>
        <w:t xml:space="preserve">, and he may disagree with this </w:t>
      </w:r>
      <w:r>
        <w:rPr>
          <w:rFonts w:hint="cs"/>
          <w:rtl/>
        </w:rPr>
        <w:t>משנה</w:t>
      </w:r>
      <w:r>
        <w:t xml:space="preserve">. Alternately, the </w:t>
      </w:r>
      <w:r>
        <w:rPr>
          <w:rFonts w:hint="cs"/>
          <w:rtl/>
        </w:rPr>
        <w:t>משנה</w:t>
      </w:r>
      <w:r>
        <w:t xml:space="preserve"> states that a </w:t>
      </w:r>
      <w:r>
        <w:rPr>
          <w:rFonts w:hint="cs"/>
          <w:rtl/>
        </w:rPr>
        <w:t>משיב אבידה</w:t>
      </w:r>
      <w:r>
        <w:t xml:space="preserve"> is </w:t>
      </w:r>
      <w:r>
        <w:rPr>
          <w:rFonts w:hint="cs"/>
          <w:rtl/>
        </w:rPr>
        <w:t>פטור משבועה</w:t>
      </w:r>
      <w:r>
        <w:t xml:space="preserve">, on account of </w:t>
      </w:r>
      <w:r>
        <w:rPr>
          <w:rFonts w:hint="cs"/>
          <w:rtl/>
        </w:rPr>
        <w:t>תקון העולם</w:t>
      </w:r>
      <w:r>
        <w:t xml:space="preserve">; otherwise people will not return </w:t>
      </w:r>
      <w:r>
        <w:rPr>
          <w:rFonts w:hint="cs"/>
          <w:rtl/>
        </w:rPr>
        <w:t>אבידות</w:t>
      </w:r>
      <w:r>
        <w:t xml:space="preserve">. In the case of </w:t>
      </w:r>
      <w:r>
        <w:rPr>
          <w:rFonts w:hint="cs"/>
          <w:rtl/>
        </w:rPr>
        <w:t>ראב"י</w:t>
      </w:r>
      <w:r>
        <w:t xml:space="preserve">, however (which is an unusual situation), there may be no need for a ruling that he is </w:t>
      </w:r>
      <w:r>
        <w:rPr>
          <w:rFonts w:hint="cs"/>
          <w:rtl/>
        </w:rPr>
        <w:t>פטור משבועה</w:t>
      </w:r>
      <w:r>
        <w:t xml:space="preserve"> because of a </w:t>
      </w:r>
      <w:r>
        <w:rPr>
          <w:rFonts w:hint="cs"/>
          <w:rtl/>
        </w:rPr>
        <w:t>תקון העולם</w:t>
      </w:r>
      <w:r>
        <w:t xml:space="preserve">; since even if he is required to swear, there will be no major disruption, as there would be by </w:t>
      </w:r>
      <w:r>
        <w:rPr>
          <w:rFonts w:hint="cs"/>
          <w:rtl/>
        </w:rPr>
        <w:t>משיב אבידה</w:t>
      </w:r>
      <w:r>
        <w:t xml:space="preserve">. </w:t>
      </w:r>
    </w:p>
  </w:footnote>
  <w:footnote w:id="8">
    <w:p w:rsidR="00A32D1D" w:rsidRPr="003C0EF7" w:rsidRDefault="00A32D1D" w:rsidP="00D71B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</w:rPr>
        <w:t>S</w:t>
      </w:r>
      <w:r>
        <w:t xml:space="preserve">ee the </w:t>
      </w:r>
      <w:r>
        <w:rPr>
          <w:rFonts w:hint="cs"/>
          <w:rtl/>
        </w:rPr>
        <w:t>גמרא</w:t>
      </w:r>
      <w:r>
        <w:t xml:space="preserve"> further on </w:t>
      </w:r>
      <w:r>
        <w:rPr>
          <w:rFonts w:hint="cs"/>
          <w:rtl/>
        </w:rPr>
        <w:t>דף כב,א</w:t>
      </w:r>
      <w:r>
        <w:t xml:space="preserve"> (after the </w:t>
      </w:r>
      <w:r>
        <w:rPr>
          <w:rFonts w:hint="cs"/>
          <w:rtl/>
        </w:rPr>
        <w:t>משנה</w:t>
      </w:r>
      <w:r>
        <w:t>).</w:t>
      </w:r>
    </w:p>
  </w:footnote>
  <w:footnote w:id="9">
    <w:p w:rsidR="00A32D1D" w:rsidRDefault="00A32D1D" w:rsidP="00404A9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It would seem that a (regular) </w:t>
      </w:r>
      <w:r>
        <w:rPr>
          <w:rFonts w:hint="cs"/>
          <w:rtl/>
        </w:rPr>
        <w:t>משיב אבידה</w:t>
      </w:r>
      <w:r>
        <w:t xml:space="preserve"> who is a </w:t>
      </w:r>
      <w:r>
        <w:rPr>
          <w:rFonts w:hint="cs"/>
          <w:rtl/>
        </w:rPr>
        <w:t>מודה במקצת באין הלה תובעו</w:t>
      </w:r>
      <w:r>
        <w:t xml:space="preserve"> (the owner confronts him only after he returns the </w:t>
      </w:r>
      <w:r>
        <w:rPr>
          <w:rFonts w:hint="cs"/>
          <w:rtl/>
        </w:rPr>
        <w:t>אבידה</w:t>
      </w:r>
      <w:r>
        <w:t xml:space="preserve">) is </w:t>
      </w:r>
      <w:r>
        <w:rPr>
          <w:rFonts w:hint="cs"/>
          <w:rtl/>
        </w:rPr>
        <w:t>פטור משבועה</w:t>
      </w:r>
      <w:r>
        <w:t xml:space="preserve"> even without </w:t>
      </w:r>
      <w:r>
        <w:rPr>
          <w:rFonts w:hint="cs"/>
          <w:rtl/>
        </w:rPr>
        <w:t>תקון העולם</w:t>
      </w:r>
      <w:r>
        <w:t xml:space="preserve">, for he has a </w:t>
      </w:r>
      <w:r>
        <w:rPr>
          <w:rFonts w:hint="cs"/>
          <w:rtl/>
        </w:rPr>
        <w:t>מגו</w:t>
      </w:r>
      <w:r>
        <w:t xml:space="preserve">. He did not have to come forward at all. The </w:t>
      </w:r>
      <w:r>
        <w:rPr>
          <w:rFonts w:hint="cs"/>
          <w:rtl/>
        </w:rPr>
        <w:t>תקון העולם</w:t>
      </w:r>
      <w:r>
        <w:t xml:space="preserve"> may be required in a case where the owner initially approaches the </w:t>
      </w:r>
      <w:r>
        <w:rPr>
          <w:rFonts w:hint="cs"/>
          <w:rtl/>
        </w:rPr>
        <w:t>מוצא</w:t>
      </w:r>
      <w:r>
        <w:t xml:space="preserve"> and claims that he saw him pick up two</w:t>
      </w:r>
      <w:r w:rsidR="00F35C2D">
        <w:t xml:space="preserve"> [attached]</w:t>
      </w:r>
      <w:r>
        <w:t xml:space="preserve"> lost objects, which belong to the owner. The finder claims that he picked up only one object. This is a case where the finder has no </w:t>
      </w:r>
      <w:r>
        <w:rPr>
          <w:rFonts w:hint="cs"/>
          <w:rtl/>
        </w:rPr>
        <w:t>מגו</w:t>
      </w:r>
      <w:r>
        <w:t xml:space="preserve"> of claiming I found nothing, since </w:t>
      </w:r>
      <w:r>
        <w:rPr>
          <w:rFonts w:hint="cs"/>
          <w:rtl/>
        </w:rPr>
        <w:t>אין אדם מעיז וכו'</w:t>
      </w:r>
      <w:r>
        <w:t xml:space="preserve"> to be a </w:t>
      </w:r>
      <w:r>
        <w:rPr>
          <w:rFonts w:hint="cs"/>
          <w:rtl/>
        </w:rPr>
        <w:t>כופר הכל</w:t>
      </w:r>
      <w:r>
        <w:t xml:space="preserve">. It is in this case (or similar cases) that the </w:t>
      </w:r>
      <w:r>
        <w:rPr>
          <w:rFonts w:hint="cs"/>
          <w:rtl/>
        </w:rPr>
        <w:t>חכמים</w:t>
      </w:r>
      <w:r>
        <w:t xml:space="preserve"> exempted him from a </w:t>
      </w:r>
      <w:r>
        <w:rPr>
          <w:rFonts w:hint="cs"/>
          <w:rtl/>
        </w:rPr>
        <w:t>שבועה מפני תקון העולם</w:t>
      </w:r>
      <w:r>
        <w:t xml:space="preserve">. See following footnote # </w:t>
      </w:r>
      <w:r w:rsidR="00FC0686">
        <w:t>10</w:t>
      </w:r>
      <w:r>
        <w:t>.</w:t>
      </w:r>
    </w:p>
  </w:footnote>
  <w:footnote w:id="10">
    <w:p w:rsidR="00404A9D" w:rsidRDefault="00404A9D" w:rsidP="00404A9D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ר"י</w:t>
      </w:r>
      <w:r>
        <w:t xml:space="preserve"> stated that if the owner claims I lost two purses which were tied together, and the finder claims that he found only one; the finder must take the oath of a </w:t>
      </w:r>
      <w:r>
        <w:rPr>
          <w:rFonts w:hint="cs"/>
          <w:rtl/>
        </w:rPr>
        <w:t>מודה במקצת</w:t>
      </w:r>
      <w:r>
        <w:t xml:space="preserve">. See the </w:t>
      </w:r>
      <w:r>
        <w:rPr>
          <w:rFonts w:hint="cs"/>
          <w:rtl/>
        </w:rPr>
        <w:t>מהרש"ל</w:t>
      </w:r>
      <w:r>
        <w:t xml:space="preserve"> there who explains under which circumstances did </w:t>
      </w:r>
      <w:r>
        <w:rPr>
          <w:rFonts w:hint="cs"/>
          <w:rtl/>
        </w:rPr>
        <w:t>ר"י</w:t>
      </w:r>
      <w:r>
        <w:t xml:space="preserve"> rule that he has to swear. See previous footnote # 9.</w:t>
      </w:r>
    </w:p>
  </w:footnote>
  <w:footnote w:id="11">
    <w:p w:rsidR="00A32D1D" w:rsidRDefault="00A32D1D" w:rsidP="00404A9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cites the same </w:t>
      </w:r>
      <w:r>
        <w:rPr>
          <w:rFonts w:hint="cs"/>
          <w:rtl/>
        </w:rPr>
        <w:t>ברייתא</w:t>
      </w:r>
      <w:r>
        <w:t xml:space="preserve"> as here, concerning </w:t>
      </w:r>
      <w:r>
        <w:rPr>
          <w:rFonts w:hint="cs"/>
          <w:rtl/>
        </w:rPr>
        <w:t>ראב"י</w:t>
      </w:r>
      <w:r>
        <w:t>.</w:t>
      </w:r>
    </w:p>
  </w:footnote>
  <w:footnote w:id="12">
    <w:p w:rsidR="00A32D1D" w:rsidRDefault="00A32D1D" w:rsidP="00404A9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ראב"י</w:t>
      </w:r>
      <w:r>
        <w:t xml:space="preserve"> may indeed argue with the </w:t>
      </w:r>
      <w:r>
        <w:rPr>
          <w:rFonts w:hint="cs"/>
          <w:rtl/>
        </w:rPr>
        <w:t>משנה</w:t>
      </w:r>
      <w:r>
        <w:t xml:space="preserve">, etc. </w:t>
      </w:r>
      <w:r w:rsidR="00FC0686">
        <w:t>See</w:t>
      </w:r>
      <w:r>
        <w:t xml:space="preserve"> footnote # </w:t>
      </w:r>
      <w:r w:rsidR="00FC0686">
        <w:t>7</w:t>
      </w:r>
      <w:r>
        <w:t>.</w:t>
      </w:r>
    </w:p>
  </w:footnote>
  <w:footnote w:id="13">
    <w:p w:rsidR="00A32D1D" w:rsidRDefault="00A32D1D" w:rsidP="00404A9D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only in the </w:t>
      </w:r>
      <w:r>
        <w:rPr>
          <w:rFonts w:hint="cs"/>
          <w:rtl/>
        </w:rPr>
        <w:t>הוה אמינא</w:t>
      </w:r>
      <w:r>
        <w:t xml:space="preserve">, when we assumed </w:t>
      </w:r>
      <w:r>
        <w:rPr>
          <w:rFonts w:hint="cs"/>
          <w:rtl/>
        </w:rPr>
        <w:t>טענת עצמו</w:t>
      </w:r>
      <w:r>
        <w:t xml:space="preserve"> to be literal. However in the </w:t>
      </w:r>
      <w:r>
        <w:rPr>
          <w:rFonts w:hint="cs"/>
          <w:rtl/>
        </w:rPr>
        <w:t>מסקנא</w:t>
      </w:r>
      <w:r>
        <w:t xml:space="preserve"> even </w:t>
      </w:r>
      <w:r>
        <w:rPr>
          <w:rFonts w:hint="cs"/>
          <w:rtl/>
        </w:rPr>
        <w:t>ראב"י</w:t>
      </w:r>
      <w:r>
        <w:t xml:space="preserve"> agrees that a </w:t>
      </w:r>
      <w:r>
        <w:rPr>
          <w:rFonts w:hint="cs"/>
          <w:rtl/>
        </w:rPr>
        <w:t>משיב אבדה</w:t>
      </w:r>
      <w:r>
        <w:t xml:space="preserve"> is </w:t>
      </w:r>
      <w:r>
        <w:rPr>
          <w:rFonts w:hint="cs"/>
          <w:rtl/>
        </w:rPr>
        <w:t>פטור משב</w:t>
      </w:r>
      <w:r w:rsidR="00404A9D">
        <w:rPr>
          <w:rFonts w:hint="cs"/>
          <w:rtl/>
        </w:rPr>
        <w:t>ו</w:t>
      </w:r>
      <w:r>
        <w:rPr>
          <w:rFonts w:hint="cs"/>
          <w:rtl/>
        </w:rPr>
        <w:t>עה</w:t>
      </w:r>
      <w:r>
        <w:t xml:space="preserve">, (even when there is no </w:t>
      </w:r>
      <w:r>
        <w:rPr>
          <w:rFonts w:hint="cs"/>
          <w:rtl/>
        </w:rPr>
        <w:t>מגו</w:t>
      </w:r>
      <w:r>
        <w:t>).</w:t>
      </w:r>
    </w:p>
  </w:footnote>
  <w:footnote w:id="14">
    <w:p w:rsidR="00A32D1D" w:rsidRDefault="00A32D1D" w:rsidP="005F6CA8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5F6CA8">
        <w:t>9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D1D" w:rsidRDefault="00A32D1D" w:rsidP="00FB3BC7">
    <w:pPr>
      <w:pStyle w:val="Header"/>
      <w:bidi/>
      <w:rPr>
        <w:rFonts w:hint="cs"/>
        <w:rtl/>
      </w:rPr>
    </w:pPr>
    <w:r>
      <w:rPr>
        <w:rFonts w:hint="cs"/>
        <w:rtl/>
      </w:rPr>
      <w:t>בס"ד. כתובות יח,א תוס' ד"ה ורבי אליעזר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3BC7"/>
    <w:rsid w:val="0003107B"/>
    <w:rsid w:val="00035D00"/>
    <w:rsid w:val="00036BFF"/>
    <w:rsid w:val="00037215"/>
    <w:rsid w:val="00047EB7"/>
    <w:rsid w:val="000523E2"/>
    <w:rsid w:val="0005681E"/>
    <w:rsid w:val="00061039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0E7AE9"/>
    <w:rsid w:val="00103B51"/>
    <w:rsid w:val="00112C69"/>
    <w:rsid w:val="00122F47"/>
    <w:rsid w:val="0015643F"/>
    <w:rsid w:val="00171949"/>
    <w:rsid w:val="001722B4"/>
    <w:rsid w:val="00183AF3"/>
    <w:rsid w:val="00191970"/>
    <w:rsid w:val="001938B0"/>
    <w:rsid w:val="001A5235"/>
    <w:rsid w:val="001B01D8"/>
    <w:rsid w:val="001B2BF9"/>
    <w:rsid w:val="001B6B2B"/>
    <w:rsid w:val="001C19C3"/>
    <w:rsid w:val="001C496B"/>
    <w:rsid w:val="001E2618"/>
    <w:rsid w:val="00221697"/>
    <w:rsid w:val="00233159"/>
    <w:rsid w:val="0024128D"/>
    <w:rsid w:val="002456D8"/>
    <w:rsid w:val="002645F1"/>
    <w:rsid w:val="0027005E"/>
    <w:rsid w:val="002870E1"/>
    <w:rsid w:val="00293A47"/>
    <w:rsid w:val="0029645C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45260"/>
    <w:rsid w:val="00385C65"/>
    <w:rsid w:val="00387CF0"/>
    <w:rsid w:val="0039622B"/>
    <w:rsid w:val="003C0EF7"/>
    <w:rsid w:val="003C2861"/>
    <w:rsid w:val="003D34E8"/>
    <w:rsid w:val="003E0B99"/>
    <w:rsid w:val="003E0BE9"/>
    <w:rsid w:val="003F0F83"/>
    <w:rsid w:val="00404A9D"/>
    <w:rsid w:val="0041626A"/>
    <w:rsid w:val="00442246"/>
    <w:rsid w:val="004450BF"/>
    <w:rsid w:val="0045569C"/>
    <w:rsid w:val="00462838"/>
    <w:rsid w:val="00466C35"/>
    <w:rsid w:val="004912CF"/>
    <w:rsid w:val="004C2792"/>
    <w:rsid w:val="004D44F9"/>
    <w:rsid w:val="004D518C"/>
    <w:rsid w:val="004D743A"/>
    <w:rsid w:val="004F5CC8"/>
    <w:rsid w:val="00524098"/>
    <w:rsid w:val="00525981"/>
    <w:rsid w:val="00526332"/>
    <w:rsid w:val="00534B52"/>
    <w:rsid w:val="005361BA"/>
    <w:rsid w:val="00543AAD"/>
    <w:rsid w:val="00552A0A"/>
    <w:rsid w:val="00552D91"/>
    <w:rsid w:val="00587A08"/>
    <w:rsid w:val="00594AD0"/>
    <w:rsid w:val="00594FFE"/>
    <w:rsid w:val="00596A4A"/>
    <w:rsid w:val="005C6F55"/>
    <w:rsid w:val="005D1BC8"/>
    <w:rsid w:val="005F6CA8"/>
    <w:rsid w:val="00606C97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36589"/>
    <w:rsid w:val="007454A5"/>
    <w:rsid w:val="007579D2"/>
    <w:rsid w:val="007608FB"/>
    <w:rsid w:val="00761D2D"/>
    <w:rsid w:val="00794B2B"/>
    <w:rsid w:val="007C662F"/>
    <w:rsid w:val="007E5721"/>
    <w:rsid w:val="007F1523"/>
    <w:rsid w:val="00800D57"/>
    <w:rsid w:val="0080628F"/>
    <w:rsid w:val="00810514"/>
    <w:rsid w:val="00815B21"/>
    <w:rsid w:val="008247DD"/>
    <w:rsid w:val="00827944"/>
    <w:rsid w:val="00853C28"/>
    <w:rsid w:val="00862034"/>
    <w:rsid w:val="00862D1D"/>
    <w:rsid w:val="00864E57"/>
    <w:rsid w:val="00865D0F"/>
    <w:rsid w:val="00870857"/>
    <w:rsid w:val="008754D3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5F36"/>
    <w:rsid w:val="009C6227"/>
    <w:rsid w:val="009E0383"/>
    <w:rsid w:val="009E2DE5"/>
    <w:rsid w:val="00A32D1D"/>
    <w:rsid w:val="00A5142C"/>
    <w:rsid w:val="00A55D6A"/>
    <w:rsid w:val="00A5722D"/>
    <w:rsid w:val="00A603D1"/>
    <w:rsid w:val="00A619AB"/>
    <w:rsid w:val="00A74DFE"/>
    <w:rsid w:val="00A80985"/>
    <w:rsid w:val="00AA0A7C"/>
    <w:rsid w:val="00AD2B5C"/>
    <w:rsid w:val="00AE7621"/>
    <w:rsid w:val="00AF6948"/>
    <w:rsid w:val="00B30884"/>
    <w:rsid w:val="00B320A8"/>
    <w:rsid w:val="00B478EC"/>
    <w:rsid w:val="00B5520D"/>
    <w:rsid w:val="00B736BA"/>
    <w:rsid w:val="00B9107D"/>
    <w:rsid w:val="00B93249"/>
    <w:rsid w:val="00BA0498"/>
    <w:rsid w:val="00BA0EA7"/>
    <w:rsid w:val="00BD4854"/>
    <w:rsid w:val="00BE5AB0"/>
    <w:rsid w:val="00C2661A"/>
    <w:rsid w:val="00C32768"/>
    <w:rsid w:val="00C47587"/>
    <w:rsid w:val="00C50B9E"/>
    <w:rsid w:val="00C862D5"/>
    <w:rsid w:val="00C94D8F"/>
    <w:rsid w:val="00CB2EF7"/>
    <w:rsid w:val="00CC37B0"/>
    <w:rsid w:val="00CE5DC6"/>
    <w:rsid w:val="00CF45CE"/>
    <w:rsid w:val="00D010DD"/>
    <w:rsid w:val="00D12A67"/>
    <w:rsid w:val="00D4219A"/>
    <w:rsid w:val="00D52FB7"/>
    <w:rsid w:val="00D5427B"/>
    <w:rsid w:val="00D70410"/>
    <w:rsid w:val="00D71B92"/>
    <w:rsid w:val="00D76902"/>
    <w:rsid w:val="00D80322"/>
    <w:rsid w:val="00D92AED"/>
    <w:rsid w:val="00DA6E08"/>
    <w:rsid w:val="00DB34FD"/>
    <w:rsid w:val="00DB758C"/>
    <w:rsid w:val="00DD1D4A"/>
    <w:rsid w:val="00DD36BE"/>
    <w:rsid w:val="00DF057A"/>
    <w:rsid w:val="00DF0DA4"/>
    <w:rsid w:val="00E048F4"/>
    <w:rsid w:val="00E1130E"/>
    <w:rsid w:val="00E24AF7"/>
    <w:rsid w:val="00E51675"/>
    <w:rsid w:val="00E706E0"/>
    <w:rsid w:val="00E9460D"/>
    <w:rsid w:val="00E94F73"/>
    <w:rsid w:val="00E976C8"/>
    <w:rsid w:val="00EA276D"/>
    <w:rsid w:val="00EC0635"/>
    <w:rsid w:val="00ED22E6"/>
    <w:rsid w:val="00ED6464"/>
    <w:rsid w:val="00EE3B42"/>
    <w:rsid w:val="00F02605"/>
    <w:rsid w:val="00F13ED9"/>
    <w:rsid w:val="00F253FB"/>
    <w:rsid w:val="00F35C2D"/>
    <w:rsid w:val="00F41AB9"/>
    <w:rsid w:val="00F44D24"/>
    <w:rsid w:val="00F4628C"/>
    <w:rsid w:val="00F50751"/>
    <w:rsid w:val="00F50F81"/>
    <w:rsid w:val="00F74414"/>
    <w:rsid w:val="00F81D09"/>
    <w:rsid w:val="00F925B5"/>
    <w:rsid w:val="00F931A0"/>
    <w:rsid w:val="00F93757"/>
    <w:rsid w:val="00F9736B"/>
    <w:rsid w:val="00FB2B15"/>
    <w:rsid w:val="00FB3BC7"/>
    <w:rsid w:val="00FC0686"/>
    <w:rsid w:val="00FC7C22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6E1425-444B-4FB1-8103-137FA8F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B3B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3BC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B3BC7"/>
    <w:rPr>
      <w:sz w:val="20"/>
      <w:szCs w:val="20"/>
    </w:rPr>
  </w:style>
  <w:style w:type="character" w:styleId="FootnoteReference">
    <w:name w:val="footnote reference"/>
    <w:semiHidden/>
    <w:rsid w:val="00FB3BC7"/>
    <w:rPr>
      <w:vertAlign w:val="superscript"/>
    </w:rPr>
  </w:style>
  <w:style w:type="character" w:styleId="PageNumber">
    <w:name w:val="page number"/>
    <w:basedOn w:val="DefaultParagraphFont"/>
    <w:rsid w:val="00DB34FD"/>
  </w:style>
  <w:style w:type="character" w:customStyle="1" w:styleId="FooterChar">
    <w:name w:val="Footer Char"/>
    <w:link w:val="Footer"/>
    <w:uiPriority w:val="99"/>
    <w:rsid w:val="00D71B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ורבי אליעזר בן יעקב לית ליה משיב אבידה פטור –</vt:lpstr>
    </vt:vector>
  </TitlesOfParts>
  <Company>Oholei Torah</Company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ורבי אליעזר בן יעקב לית ליה משיב אבידה פטור –</dc:title>
  <dc:subject/>
  <dc:creator>Ephraim piekarski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