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45" w:rsidRDefault="006A2186" w:rsidP="006C4945">
      <w:pPr>
        <w:bidi/>
        <w:spacing w:line="276" w:lineRule="auto"/>
        <w:jc w:val="both"/>
        <w:rPr>
          <w:b/>
          <w:bCs/>
          <w:sz w:val="24"/>
          <w:szCs w:val="24"/>
          <w:lang w:bidi="he-IL"/>
        </w:rPr>
      </w:pPr>
      <w:bookmarkStart w:id="0" w:name="_GoBack"/>
      <w:bookmarkEnd w:id="0"/>
      <w:r>
        <w:rPr>
          <w:rFonts w:hint="cs"/>
          <w:b/>
          <w:bCs/>
          <w:sz w:val="36"/>
          <w:szCs w:val="36"/>
          <w:rtl/>
          <w:lang w:bidi="he-IL"/>
        </w:rPr>
        <w:t>אין</w:t>
      </w:r>
      <w:r>
        <w:rPr>
          <w:rFonts w:hint="cs"/>
          <w:b/>
          <w:bCs/>
          <w:sz w:val="32"/>
          <w:szCs w:val="32"/>
          <w:rtl/>
          <w:lang w:bidi="he-IL"/>
        </w:rPr>
        <w:t xml:space="preserve"> נאמנים</w:t>
      </w:r>
      <w:r>
        <w:rPr>
          <w:b/>
          <w:bCs/>
          <w:sz w:val="32"/>
          <w:szCs w:val="32"/>
          <w:lang w:bidi="he-IL"/>
        </w:rPr>
        <w:t xml:space="preserve"> </w:t>
      </w:r>
      <w:r w:rsidR="006C4945">
        <w:rPr>
          <w:rFonts w:hint="cs"/>
          <w:b/>
          <w:bCs/>
          <w:sz w:val="32"/>
          <w:szCs w:val="32"/>
          <w:rtl/>
          <w:lang w:bidi="he-IL"/>
        </w:rPr>
        <w:t>-</w:t>
      </w:r>
      <w:r w:rsidR="006C4945">
        <w:rPr>
          <w:b/>
          <w:bCs/>
          <w:sz w:val="32"/>
          <w:szCs w:val="32"/>
          <w:lang w:bidi="he-IL"/>
        </w:rPr>
        <w:t xml:space="preserve">  </w:t>
      </w:r>
      <w:r w:rsidR="006C4945">
        <w:rPr>
          <w:b/>
          <w:bCs/>
          <w:sz w:val="16"/>
          <w:szCs w:val="16"/>
          <w:lang w:bidi="he-IL"/>
        </w:rPr>
        <w:t xml:space="preserve">     </w:t>
      </w:r>
      <w:r w:rsidR="006C4945">
        <w:rPr>
          <w:b/>
          <w:bCs/>
          <w:sz w:val="32"/>
          <w:szCs w:val="32"/>
          <w:lang w:bidi="he-IL"/>
        </w:rPr>
        <w:t xml:space="preserve">                                                        </w:t>
      </w:r>
      <w:r w:rsidR="006C4945">
        <w:rPr>
          <w:rFonts w:hint="cs"/>
          <w:b/>
          <w:bCs/>
          <w:sz w:val="32"/>
          <w:szCs w:val="32"/>
          <w:rtl/>
          <w:lang w:bidi="he-IL"/>
        </w:rPr>
        <w:t xml:space="preserve"> </w:t>
      </w:r>
      <w:r w:rsidR="006C4945">
        <w:rPr>
          <w:b/>
          <w:bCs/>
          <w:sz w:val="32"/>
          <w:szCs w:val="32"/>
          <w:lang w:bidi="he-IL"/>
        </w:rPr>
        <w:t>They are not believed</w:t>
      </w:r>
    </w:p>
    <w:p w:rsidR="00FD08B5" w:rsidRPr="006C4945" w:rsidRDefault="006C4945" w:rsidP="006C4945">
      <w:pPr>
        <w:bidi/>
        <w:spacing w:line="276" w:lineRule="auto"/>
        <w:jc w:val="both"/>
        <w:rPr>
          <w:rFonts w:hint="cs"/>
          <w:b/>
          <w:bCs/>
          <w:sz w:val="24"/>
          <w:szCs w:val="24"/>
          <w:rtl/>
          <w:lang w:bidi="he-IL"/>
        </w:rPr>
      </w:pPr>
      <w:r w:rsidRPr="006C4945">
        <w:rPr>
          <w:rFonts w:hint="cs"/>
          <w:b/>
          <w:bCs/>
          <w:sz w:val="24"/>
          <w:szCs w:val="24"/>
          <w:rtl/>
          <w:lang w:bidi="he-IL"/>
        </w:rPr>
        <w:t xml:space="preserve"> </w:t>
      </w:r>
    </w:p>
    <w:p w:rsidR="006A2186" w:rsidRPr="006C4945" w:rsidRDefault="00C5731B" w:rsidP="006C4945">
      <w:pPr>
        <w:spacing w:line="276" w:lineRule="auto"/>
        <w:jc w:val="both"/>
        <w:rPr>
          <w:rFonts w:ascii="Copperplate Gothic Bold" w:hAnsi="Copperplate Gothic Bold"/>
          <w:u w:val="double"/>
          <w:lang w:bidi="he-IL"/>
        </w:rPr>
      </w:pPr>
      <w:r w:rsidRPr="006C4945">
        <w:rPr>
          <w:rFonts w:ascii="Copperplate Gothic Bold" w:hAnsi="Copperplate Gothic Bold"/>
          <w:u w:val="double"/>
          <w:lang w:bidi="he-IL"/>
        </w:rPr>
        <w:t>Overview</w:t>
      </w:r>
    </w:p>
    <w:p w:rsidR="00C5731B" w:rsidRPr="00C5731B" w:rsidRDefault="00C5731B" w:rsidP="00604D3D">
      <w:pPr>
        <w:spacing w:line="276" w:lineRule="auto"/>
        <w:jc w:val="both"/>
        <w:rPr>
          <w:lang w:bidi="he-IL"/>
        </w:rPr>
      </w:pPr>
      <w:r>
        <w:rPr>
          <w:lang w:bidi="he-IL"/>
        </w:rPr>
        <w:t xml:space="preserve">If a </w:t>
      </w:r>
      <w:r>
        <w:rPr>
          <w:rFonts w:hint="cs"/>
          <w:rtl/>
          <w:lang w:bidi="he-IL"/>
        </w:rPr>
        <w:t>שטר</w:t>
      </w:r>
      <w:r>
        <w:rPr>
          <w:lang w:bidi="he-IL"/>
        </w:rPr>
        <w:t xml:space="preserve"> is </w:t>
      </w:r>
      <w:r>
        <w:rPr>
          <w:rFonts w:hint="cs"/>
          <w:rtl/>
          <w:lang w:bidi="he-IL"/>
        </w:rPr>
        <w:t>מקוים</w:t>
      </w:r>
      <w:r>
        <w:rPr>
          <w:lang w:bidi="he-IL"/>
        </w:rPr>
        <w:t xml:space="preserve"> and the </w:t>
      </w:r>
      <w:r>
        <w:rPr>
          <w:rFonts w:hint="cs"/>
          <w:rtl/>
          <w:lang w:bidi="he-IL"/>
        </w:rPr>
        <w:t>עדי השטר</w:t>
      </w:r>
      <w:r>
        <w:rPr>
          <w:lang w:bidi="he-IL"/>
        </w:rPr>
        <w:t xml:space="preserve"> testify that they were </w:t>
      </w:r>
      <w:r>
        <w:rPr>
          <w:rFonts w:hint="cs"/>
          <w:rtl/>
          <w:lang w:bidi="he-IL"/>
        </w:rPr>
        <w:t>פסולי עדות</w:t>
      </w:r>
      <w:r>
        <w:rPr>
          <w:lang w:bidi="he-IL"/>
        </w:rPr>
        <w:t xml:space="preserve"> when they signed the </w:t>
      </w:r>
      <w:r>
        <w:rPr>
          <w:rFonts w:hint="cs"/>
          <w:rtl/>
          <w:lang w:bidi="he-IL"/>
        </w:rPr>
        <w:t>שטר</w:t>
      </w:r>
      <w:r>
        <w:rPr>
          <w:lang w:bidi="he-IL"/>
        </w:rPr>
        <w:t>, they are not believed</w:t>
      </w:r>
      <w:r w:rsidR="00604D3D">
        <w:rPr>
          <w:lang w:bidi="he-IL"/>
        </w:rPr>
        <w:t>.</w:t>
      </w:r>
      <w:r w:rsidR="00B719C7">
        <w:rPr>
          <w:rStyle w:val="FootnoteReference"/>
          <w:lang w:bidi="he-IL"/>
        </w:rPr>
        <w:footnoteReference w:id="1"/>
      </w:r>
    </w:p>
    <w:p w:rsidR="006A2186" w:rsidRPr="00B950E5" w:rsidRDefault="00B950E5" w:rsidP="006C4945">
      <w:pPr>
        <w:spacing w:line="276" w:lineRule="auto"/>
        <w:jc w:val="center"/>
        <w:rPr>
          <w:sz w:val="24"/>
          <w:szCs w:val="24"/>
          <w:lang w:bidi="he-IL"/>
        </w:rPr>
      </w:pPr>
      <w:r>
        <w:rPr>
          <w:sz w:val="24"/>
          <w:szCs w:val="24"/>
          <w:lang w:bidi="he-IL"/>
        </w:rPr>
        <w:t>---------------------</w:t>
      </w:r>
    </w:p>
    <w:p w:rsidR="00E77665" w:rsidRPr="00E77665" w:rsidRDefault="00E77665" w:rsidP="006C4945">
      <w:pPr>
        <w:spacing w:line="276" w:lineRule="auto"/>
        <w:jc w:val="both"/>
        <w:rPr>
          <w:sz w:val="24"/>
          <w:szCs w:val="24"/>
          <w:lang w:bidi="he-IL"/>
        </w:rPr>
      </w:pPr>
      <w:r>
        <w:rPr>
          <w:rFonts w:hint="cs"/>
          <w:sz w:val="24"/>
          <w:szCs w:val="24"/>
          <w:rtl/>
          <w:lang w:bidi="he-IL"/>
        </w:rPr>
        <w:t>תוספות</w:t>
      </w:r>
      <w:r>
        <w:rPr>
          <w:sz w:val="24"/>
          <w:szCs w:val="24"/>
          <w:lang w:bidi="he-IL"/>
        </w:rPr>
        <w:t xml:space="preserve"> anticipates a difficulty:</w:t>
      </w:r>
    </w:p>
    <w:p w:rsidR="006C4945" w:rsidRPr="0057656A" w:rsidRDefault="006A2186" w:rsidP="006C4945">
      <w:pPr>
        <w:bidi/>
        <w:spacing w:line="276" w:lineRule="auto"/>
        <w:jc w:val="both"/>
        <w:rPr>
          <w:rFonts w:cs="David"/>
          <w:b/>
          <w:bCs/>
          <w:lang w:bidi="he-IL"/>
        </w:rPr>
      </w:pPr>
      <w:r w:rsidRPr="0057656A">
        <w:rPr>
          <w:rFonts w:cs="David" w:hint="cs"/>
          <w:b/>
          <w:bCs/>
          <w:rtl/>
          <w:lang w:bidi="he-IL"/>
        </w:rPr>
        <w:t>הכא</w:t>
      </w:r>
      <w:r w:rsidR="00651570">
        <w:rPr>
          <w:rStyle w:val="FootnoteReference"/>
          <w:rFonts w:cs="David"/>
          <w:b/>
          <w:bCs/>
          <w:rtl/>
          <w:lang w:bidi="he-IL"/>
        </w:rPr>
        <w:footnoteReference w:id="2"/>
      </w:r>
      <w:r w:rsidRPr="0057656A">
        <w:rPr>
          <w:rFonts w:cs="David" w:hint="cs"/>
          <w:b/>
          <w:bCs/>
          <w:rtl/>
          <w:lang w:bidi="he-IL"/>
        </w:rPr>
        <w:t xml:space="preserve"> ליכא לאקשויי</w:t>
      </w:r>
      <w:r w:rsidR="006C4945" w:rsidRPr="0057656A">
        <w:rPr>
          <w:rFonts w:cs="David" w:hint="cs"/>
          <w:b/>
          <w:bCs/>
          <w:rtl/>
          <w:lang w:bidi="he-IL"/>
        </w:rPr>
        <w:t xml:space="preserve"> דלהימנו במגו דאי בעי אמרי פרוע הוא</w:t>
      </w:r>
      <w:r w:rsidR="006C4945" w:rsidRPr="0057656A">
        <w:rPr>
          <w:rStyle w:val="FootnoteReference"/>
          <w:rFonts w:cs="David"/>
          <w:b/>
          <w:bCs/>
          <w:rtl/>
          <w:lang w:bidi="he-IL"/>
        </w:rPr>
        <w:footnoteReference w:id="3"/>
      </w:r>
      <w:r w:rsidR="006C4945" w:rsidRPr="0057656A">
        <w:rPr>
          <w:rFonts w:cs="David" w:hint="cs"/>
          <w:b/>
          <w:bCs/>
          <w:rtl/>
          <w:lang w:bidi="he-IL"/>
        </w:rPr>
        <w:t xml:space="preserve"> - </w:t>
      </w:r>
      <w:r w:rsidRPr="0057656A">
        <w:rPr>
          <w:rFonts w:cs="David"/>
          <w:b/>
          <w:bCs/>
          <w:lang w:bidi="he-IL"/>
        </w:rPr>
        <w:t xml:space="preserve"> </w:t>
      </w:r>
    </w:p>
    <w:p w:rsidR="00E77665" w:rsidRPr="00D02BFE" w:rsidRDefault="006A2186" w:rsidP="006C4945">
      <w:pPr>
        <w:spacing w:line="276" w:lineRule="auto"/>
        <w:jc w:val="both"/>
        <w:rPr>
          <w:sz w:val="24"/>
          <w:szCs w:val="24"/>
          <w:lang w:bidi="he-IL"/>
        </w:rPr>
      </w:pPr>
      <w:r>
        <w:rPr>
          <w:b/>
          <w:bCs/>
          <w:lang w:bidi="he-IL"/>
        </w:rPr>
        <w:t xml:space="preserve">We cannot ask here that we should believe </w:t>
      </w:r>
      <w:r>
        <w:rPr>
          <w:lang w:bidi="he-IL"/>
        </w:rPr>
        <w:t>their claim that the</w:t>
      </w:r>
      <w:r w:rsidR="00E77665">
        <w:rPr>
          <w:lang w:bidi="he-IL"/>
        </w:rPr>
        <w:t>y</w:t>
      </w:r>
      <w:r>
        <w:rPr>
          <w:lang w:bidi="he-IL"/>
        </w:rPr>
        <w:t xml:space="preserve"> were </w:t>
      </w:r>
      <w:r w:rsidR="00A36261">
        <w:rPr>
          <w:rFonts w:hint="cs"/>
          <w:rtl/>
          <w:lang w:bidi="he-IL"/>
        </w:rPr>
        <w:t>פסול</w:t>
      </w:r>
      <w:r w:rsidR="00A36261">
        <w:rPr>
          <w:lang w:bidi="he-IL"/>
        </w:rPr>
        <w:t>;</w:t>
      </w:r>
      <w:r>
        <w:rPr>
          <w:lang w:bidi="he-IL"/>
        </w:rPr>
        <w:t xml:space="preserve"> </w:t>
      </w:r>
      <w:r>
        <w:rPr>
          <w:b/>
          <w:bCs/>
          <w:lang w:bidi="he-IL"/>
        </w:rPr>
        <w:t>since</w:t>
      </w:r>
      <w:r w:rsidR="00E77665">
        <w:rPr>
          <w:b/>
          <w:bCs/>
          <w:lang w:bidi="he-IL"/>
        </w:rPr>
        <w:t xml:space="preserve"> </w:t>
      </w:r>
      <w:r w:rsidR="00E77665">
        <w:rPr>
          <w:lang w:bidi="he-IL"/>
        </w:rPr>
        <w:t xml:space="preserve">they have a </w:t>
      </w:r>
      <w:r w:rsidR="00E77665">
        <w:rPr>
          <w:rFonts w:hint="cs"/>
          <w:b/>
          <w:bCs/>
          <w:rtl/>
          <w:lang w:bidi="he-IL"/>
        </w:rPr>
        <w:t>מיגו</w:t>
      </w:r>
      <w:r w:rsidR="00A36261">
        <w:rPr>
          <w:b/>
          <w:bCs/>
          <w:lang w:bidi="he-IL"/>
        </w:rPr>
        <w:t>,</w:t>
      </w:r>
      <w:r w:rsidR="00E77665">
        <w:rPr>
          <w:b/>
          <w:bCs/>
          <w:lang w:bidi="he-IL"/>
        </w:rPr>
        <w:t xml:space="preserve"> for if they wanted they </w:t>
      </w:r>
      <w:r w:rsidR="00E77665">
        <w:rPr>
          <w:lang w:bidi="he-IL"/>
        </w:rPr>
        <w:t xml:space="preserve">could have </w:t>
      </w:r>
      <w:r w:rsidR="00E77665">
        <w:rPr>
          <w:b/>
          <w:bCs/>
          <w:lang w:bidi="he-IL"/>
        </w:rPr>
        <w:t xml:space="preserve">said it is paid up. </w:t>
      </w:r>
      <w:r w:rsidR="00E77665" w:rsidRPr="00D02BFE">
        <w:rPr>
          <w:sz w:val="24"/>
          <w:szCs w:val="24"/>
          <w:lang w:bidi="he-IL"/>
        </w:rPr>
        <w:t xml:space="preserve">If these </w:t>
      </w:r>
      <w:r w:rsidR="00E77665" w:rsidRPr="00D02BFE">
        <w:rPr>
          <w:rFonts w:hint="cs"/>
          <w:sz w:val="24"/>
          <w:szCs w:val="24"/>
          <w:rtl/>
          <w:lang w:bidi="he-IL"/>
        </w:rPr>
        <w:t>עדים</w:t>
      </w:r>
      <w:r w:rsidR="00E77665" w:rsidRPr="00D02BFE">
        <w:rPr>
          <w:sz w:val="24"/>
          <w:szCs w:val="24"/>
          <w:lang w:bidi="he-IL"/>
        </w:rPr>
        <w:t xml:space="preserve"> would have testified that this is indeed our signatures however, the loan was already paid by the </w:t>
      </w:r>
      <w:r w:rsidR="00E77665" w:rsidRPr="00D02BFE">
        <w:rPr>
          <w:rFonts w:hint="cs"/>
          <w:sz w:val="24"/>
          <w:szCs w:val="24"/>
          <w:rtl/>
          <w:lang w:bidi="he-IL"/>
        </w:rPr>
        <w:t>לוה</w:t>
      </w:r>
      <w:r w:rsidR="00E77665" w:rsidRPr="00D02BFE">
        <w:rPr>
          <w:sz w:val="24"/>
          <w:szCs w:val="24"/>
          <w:lang w:bidi="he-IL"/>
        </w:rPr>
        <w:t xml:space="preserve">; they would be believed and the </w:t>
      </w:r>
      <w:r w:rsidR="00E77665" w:rsidRPr="00D02BFE">
        <w:rPr>
          <w:rFonts w:hint="cs"/>
          <w:sz w:val="24"/>
          <w:szCs w:val="24"/>
          <w:rtl/>
          <w:lang w:bidi="he-IL"/>
        </w:rPr>
        <w:t>לוה</w:t>
      </w:r>
      <w:r w:rsidR="00E77665" w:rsidRPr="00D02BFE">
        <w:rPr>
          <w:sz w:val="24"/>
          <w:szCs w:val="24"/>
          <w:lang w:bidi="he-IL"/>
        </w:rPr>
        <w:t xml:space="preserve"> would not have to pay. Therefore we should believe them as well that </w:t>
      </w:r>
      <w:r w:rsidR="00E77665" w:rsidRPr="00D02BFE">
        <w:rPr>
          <w:rFonts w:hint="cs"/>
          <w:sz w:val="24"/>
          <w:szCs w:val="24"/>
          <w:rtl/>
          <w:lang w:bidi="he-IL"/>
        </w:rPr>
        <w:t>פסולי עדות היו</w:t>
      </w:r>
      <w:r w:rsidR="00E77665" w:rsidRPr="00D02BFE">
        <w:rPr>
          <w:sz w:val="24"/>
          <w:szCs w:val="24"/>
          <w:lang w:bidi="he-IL"/>
        </w:rPr>
        <w:t xml:space="preserve">, and the </w:t>
      </w:r>
      <w:r w:rsidR="00E77665" w:rsidRPr="00D02BFE">
        <w:rPr>
          <w:rFonts w:hint="cs"/>
          <w:sz w:val="24"/>
          <w:szCs w:val="24"/>
          <w:rtl/>
          <w:lang w:bidi="he-IL"/>
        </w:rPr>
        <w:t>לוה</w:t>
      </w:r>
      <w:r w:rsidR="00E77665" w:rsidRPr="00D02BFE">
        <w:rPr>
          <w:sz w:val="24"/>
          <w:szCs w:val="24"/>
          <w:lang w:bidi="he-IL"/>
        </w:rPr>
        <w:t xml:space="preserve"> should be exempt from paying.</w:t>
      </w:r>
    </w:p>
    <w:p w:rsidR="00E77665" w:rsidRPr="00D02BFE" w:rsidRDefault="00E77665" w:rsidP="006C4945">
      <w:pPr>
        <w:spacing w:line="276" w:lineRule="auto"/>
        <w:jc w:val="both"/>
        <w:rPr>
          <w:sz w:val="24"/>
          <w:szCs w:val="24"/>
          <w:lang w:bidi="he-IL"/>
        </w:rPr>
      </w:pPr>
    </w:p>
    <w:p w:rsidR="00E77665" w:rsidRPr="00D02BFE" w:rsidRDefault="00E77665" w:rsidP="006C4945">
      <w:pPr>
        <w:spacing w:line="276" w:lineRule="auto"/>
        <w:jc w:val="both"/>
        <w:rPr>
          <w:sz w:val="24"/>
          <w:szCs w:val="24"/>
          <w:lang w:bidi="he-IL"/>
        </w:rPr>
      </w:pPr>
      <w:r w:rsidRPr="00D02BFE">
        <w:rPr>
          <w:rFonts w:hint="cs"/>
          <w:sz w:val="24"/>
          <w:szCs w:val="24"/>
          <w:rtl/>
          <w:lang w:bidi="he-IL"/>
        </w:rPr>
        <w:t>תוספות</w:t>
      </w:r>
      <w:r w:rsidRPr="00D02BFE">
        <w:rPr>
          <w:sz w:val="24"/>
          <w:szCs w:val="24"/>
          <w:lang w:bidi="he-IL"/>
        </w:rPr>
        <w:t xml:space="preserve"> answers that the </w:t>
      </w:r>
      <w:r w:rsidRPr="00D02BFE">
        <w:rPr>
          <w:rFonts w:hint="cs"/>
          <w:sz w:val="24"/>
          <w:szCs w:val="24"/>
          <w:rtl/>
          <w:lang w:bidi="he-IL"/>
        </w:rPr>
        <w:t>מגו</w:t>
      </w:r>
      <w:r w:rsidRPr="00D02BFE">
        <w:rPr>
          <w:sz w:val="24"/>
          <w:szCs w:val="24"/>
          <w:lang w:bidi="he-IL"/>
        </w:rPr>
        <w:t xml:space="preserve"> is not effective:</w:t>
      </w:r>
    </w:p>
    <w:p w:rsidR="000D5D9D" w:rsidRPr="0057656A" w:rsidRDefault="00E77665" w:rsidP="000D5D9D">
      <w:pPr>
        <w:bidi/>
        <w:spacing w:line="276" w:lineRule="auto"/>
        <w:jc w:val="both"/>
        <w:rPr>
          <w:rFonts w:cs="David"/>
          <w:b/>
          <w:bCs/>
          <w:lang w:bidi="he-IL"/>
        </w:rPr>
      </w:pPr>
      <w:r w:rsidRPr="0057656A">
        <w:rPr>
          <w:rFonts w:cs="David" w:hint="cs"/>
          <w:b/>
          <w:bCs/>
          <w:rtl/>
          <w:lang w:bidi="he-IL"/>
        </w:rPr>
        <w:t>דכיון דמקויים הוא</w:t>
      </w:r>
      <w:r w:rsidR="000D5D9D" w:rsidRPr="0057656A">
        <w:rPr>
          <w:rFonts w:cs="David" w:hint="cs"/>
          <w:b/>
          <w:bCs/>
          <w:rtl/>
          <w:lang w:bidi="he-IL"/>
        </w:rPr>
        <w:t xml:space="preserve"> הוי מגו במקום עדים כדפירשנו</w:t>
      </w:r>
      <w:r w:rsidR="000D5D9D" w:rsidRPr="0057656A">
        <w:rPr>
          <w:rStyle w:val="FootnoteReference"/>
          <w:rFonts w:cs="David"/>
          <w:b/>
          <w:bCs/>
          <w:sz w:val="24"/>
          <w:szCs w:val="24"/>
          <w:rtl/>
          <w:lang w:bidi="he-IL"/>
        </w:rPr>
        <w:footnoteReference w:id="4"/>
      </w:r>
      <w:r w:rsidRPr="0057656A">
        <w:rPr>
          <w:rFonts w:cs="David"/>
          <w:b/>
          <w:bCs/>
          <w:lang w:bidi="he-IL"/>
        </w:rPr>
        <w:t xml:space="preserve"> – </w:t>
      </w:r>
    </w:p>
    <w:p w:rsidR="00E77665" w:rsidRPr="00D02BFE" w:rsidRDefault="00E77665" w:rsidP="000D5D9D">
      <w:pPr>
        <w:spacing w:line="276" w:lineRule="auto"/>
        <w:jc w:val="both"/>
        <w:rPr>
          <w:sz w:val="24"/>
          <w:szCs w:val="24"/>
          <w:lang w:bidi="he-IL"/>
        </w:rPr>
      </w:pPr>
      <w:r>
        <w:rPr>
          <w:b/>
          <w:bCs/>
          <w:lang w:bidi="he-IL"/>
        </w:rPr>
        <w:t xml:space="preserve">for since </w:t>
      </w:r>
      <w:r>
        <w:rPr>
          <w:lang w:bidi="he-IL"/>
        </w:rPr>
        <w:t xml:space="preserve">the </w:t>
      </w:r>
      <w:r>
        <w:rPr>
          <w:rFonts w:hint="cs"/>
          <w:rtl/>
          <w:lang w:bidi="he-IL"/>
        </w:rPr>
        <w:t>שטר</w:t>
      </w:r>
      <w:r>
        <w:rPr>
          <w:lang w:bidi="he-IL"/>
        </w:rPr>
        <w:t xml:space="preserve"> </w:t>
      </w:r>
      <w:r>
        <w:rPr>
          <w:b/>
          <w:bCs/>
          <w:lang w:bidi="he-IL"/>
        </w:rPr>
        <w:t>is authenticated;</w:t>
      </w:r>
      <w:r>
        <w:rPr>
          <w:lang w:bidi="he-IL"/>
        </w:rPr>
        <w:t xml:space="preserve"> </w:t>
      </w:r>
      <w:r w:rsidRPr="000D5D9D">
        <w:rPr>
          <w:lang w:bidi="he-IL"/>
        </w:rPr>
        <w:t xml:space="preserve">as it states in the </w:t>
      </w:r>
      <w:r w:rsidRPr="000D5D9D">
        <w:rPr>
          <w:rFonts w:hint="cs"/>
          <w:rtl/>
          <w:lang w:bidi="he-IL"/>
        </w:rPr>
        <w:t>משנה</w:t>
      </w:r>
      <w:r w:rsidRPr="000D5D9D">
        <w:rPr>
          <w:lang w:bidi="he-IL"/>
        </w:rPr>
        <w:t xml:space="preserve"> that </w:t>
      </w:r>
      <w:r w:rsidRPr="000D5D9D">
        <w:rPr>
          <w:rFonts w:hint="cs"/>
          <w:rtl/>
          <w:lang w:bidi="he-IL"/>
        </w:rPr>
        <w:t>כתב ידם יוצא ממקום אחר</w:t>
      </w:r>
      <w:r w:rsidRPr="000D5D9D">
        <w:rPr>
          <w:lang w:bidi="he-IL"/>
        </w:rPr>
        <w:t>, therefore</w:t>
      </w:r>
      <w:r w:rsidRPr="00D02BFE">
        <w:rPr>
          <w:sz w:val="24"/>
          <w:szCs w:val="24"/>
          <w:lang w:bidi="he-IL"/>
        </w:rPr>
        <w:t xml:space="preserve"> </w:t>
      </w:r>
      <w:r>
        <w:rPr>
          <w:b/>
          <w:bCs/>
          <w:lang w:bidi="he-IL"/>
        </w:rPr>
        <w:t xml:space="preserve">it is a </w:t>
      </w:r>
      <w:r>
        <w:rPr>
          <w:rFonts w:hint="cs"/>
          <w:b/>
          <w:bCs/>
          <w:rtl/>
          <w:lang w:bidi="he-IL"/>
        </w:rPr>
        <w:t>מגו</w:t>
      </w:r>
      <w:r>
        <w:rPr>
          <w:b/>
          <w:bCs/>
          <w:lang w:bidi="he-IL"/>
        </w:rPr>
        <w:t xml:space="preserve"> that contradicts </w:t>
      </w:r>
      <w:r>
        <w:rPr>
          <w:rFonts w:hint="cs"/>
          <w:b/>
          <w:bCs/>
          <w:rtl/>
          <w:lang w:bidi="he-IL"/>
        </w:rPr>
        <w:t>עדים</w:t>
      </w:r>
      <w:r w:rsidR="00705C22">
        <w:rPr>
          <w:b/>
          <w:bCs/>
          <w:lang w:bidi="he-IL"/>
        </w:rPr>
        <w:t>,</w:t>
      </w:r>
      <w:r>
        <w:rPr>
          <w:b/>
          <w:bCs/>
          <w:lang w:bidi="he-IL"/>
        </w:rPr>
        <w:t xml:space="preserve"> as we explained </w:t>
      </w:r>
      <w:r w:rsidRPr="00D02BFE">
        <w:rPr>
          <w:sz w:val="24"/>
          <w:szCs w:val="24"/>
          <w:lang w:bidi="he-IL"/>
        </w:rPr>
        <w:t xml:space="preserve">in the previous </w:t>
      </w:r>
      <w:r w:rsidRPr="00D02BFE">
        <w:rPr>
          <w:rFonts w:hint="cs"/>
          <w:sz w:val="24"/>
          <w:szCs w:val="24"/>
          <w:rtl/>
          <w:lang w:bidi="he-IL"/>
        </w:rPr>
        <w:t>תוספות</w:t>
      </w:r>
      <w:r w:rsidRPr="00D02BFE">
        <w:rPr>
          <w:sz w:val="24"/>
          <w:szCs w:val="24"/>
          <w:lang w:bidi="he-IL"/>
        </w:rPr>
        <w:t xml:space="preserve">. </w:t>
      </w:r>
      <w:r w:rsidR="00705C22">
        <w:rPr>
          <w:sz w:val="24"/>
          <w:szCs w:val="24"/>
          <w:lang w:bidi="he-IL"/>
        </w:rPr>
        <w:t xml:space="preserve">When </w:t>
      </w:r>
      <w:r w:rsidRPr="00D02BFE">
        <w:rPr>
          <w:sz w:val="24"/>
          <w:szCs w:val="24"/>
          <w:lang w:bidi="he-IL"/>
        </w:rPr>
        <w:t xml:space="preserve">a </w:t>
      </w:r>
      <w:r w:rsidRPr="00D02BFE">
        <w:rPr>
          <w:rFonts w:hint="cs"/>
          <w:sz w:val="24"/>
          <w:szCs w:val="24"/>
          <w:rtl/>
          <w:lang w:bidi="he-IL"/>
        </w:rPr>
        <w:t>שטר</w:t>
      </w:r>
      <w:r w:rsidRPr="00D02BFE">
        <w:rPr>
          <w:sz w:val="24"/>
          <w:szCs w:val="24"/>
          <w:lang w:bidi="he-IL"/>
        </w:rPr>
        <w:t xml:space="preserve"> is </w:t>
      </w:r>
      <w:r w:rsidRPr="00D02BFE">
        <w:rPr>
          <w:rFonts w:hint="cs"/>
          <w:sz w:val="24"/>
          <w:szCs w:val="24"/>
          <w:rtl/>
          <w:lang w:bidi="he-IL"/>
        </w:rPr>
        <w:t>מקויים</w:t>
      </w:r>
      <w:r w:rsidRPr="00D02BFE">
        <w:rPr>
          <w:sz w:val="24"/>
          <w:szCs w:val="24"/>
          <w:lang w:bidi="he-IL"/>
        </w:rPr>
        <w:t xml:space="preserve">, </w:t>
      </w:r>
      <w:r w:rsidR="00357900">
        <w:rPr>
          <w:sz w:val="24"/>
          <w:szCs w:val="24"/>
          <w:lang w:bidi="he-IL"/>
        </w:rPr>
        <w:t>it creates</w:t>
      </w:r>
      <w:r w:rsidRPr="00D02BFE">
        <w:rPr>
          <w:sz w:val="24"/>
          <w:szCs w:val="24"/>
          <w:lang w:bidi="he-IL"/>
        </w:rPr>
        <w:t xml:space="preserve"> an </w:t>
      </w:r>
      <w:r w:rsidRPr="00D02BFE">
        <w:rPr>
          <w:rFonts w:hint="cs"/>
          <w:sz w:val="24"/>
          <w:szCs w:val="24"/>
          <w:rtl/>
          <w:lang w:bidi="he-IL"/>
        </w:rPr>
        <w:t>אנן סהדי</w:t>
      </w:r>
      <w:r w:rsidRPr="00D02BFE">
        <w:rPr>
          <w:sz w:val="24"/>
          <w:szCs w:val="24"/>
          <w:lang w:bidi="he-IL"/>
        </w:rPr>
        <w:t xml:space="preserve"> that it was signed by </w:t>
      </w:r>
      <w:r w:rsidRPr="00D02BFE">
        <w:rPr>
          <w:rFonts w:hint="cs"/>
          <w:sz w:val="24"/>
          <w:szCs w:val="24"/>
          <w:rtl/>
          <w:lang w:bidi="he-IL"/>
        </w:rPr>
        <w:t>כשרים</w:t>
      </w:r>
      <w:r w:rsidRPr="00D02BFE">
        <w:rPr>
          <w:sz w:val="24"/>
          <w:szCs w:val="24"/>
          <w:lang w:bidi="he-IL"/>
        </w:rPr>
        <w:t xml:space="preserve">. The claim of these </w:t>
      </w:r>
      <w:r w:rsidRPr="00D02BFE">
        <w:rPr>
          <w:rFonts w:hint="cs"/>
          <w:sz w:val="24"/>
          <w:szCs w:val="24"/>
          <w:rtl/>
          <w:lang w:bidi="he-IL"/>
        </w:rPr>
        <w:t>עדים</w:t>
      </w:r>
      <w:r w:rsidRPr="00D02BFE">
        <w:rPr>
          <w:sz w:val="24"/>
          <w:szCs w:val="24"/>
          <w:lang w:bidi="he-IL"/>
        </w:rPr>
        <w:t xml:space="preserve"> is that they </w:t>
      </w:r>
      <w:r w:rsidR="00D02BFE" w:rsidRPr="00D02BFE">
        <w:rPr>
          <w:sz w:val="24"/>
          <w:szCs w:val="24"/>
          <w:lang w:bidi="he-IL"/>
        </w:rPr>
        <w:t>were</w:t>
      </w:r>
      <w:r w:rsidRPr="00D02BFE">
        <w:rPr>
          <w:sz w:val="24"/>
          <w:szCs w:val="24"/>
          <w:lang w:bidi="he-IL"/>
        </w:rPr>
        <w:t xml:space="preserve"> </w:t>
      </w:r>
      <w:r w:rsidRPr="00D02BFE">
        <w:rPr>
          <w:rFonts w:hint="cs"/>
          <w:sz w:val="24"/>
          <w:szCs w:val="24"/>
          <w:rtl/>
          <w:lang w:bidi="he-IL"/>
        </w:rPr>
        <w:t>פסולים</w:t>
      </w:r>
      <w:r w:rsidRPr="00D02BFE">
        <w:rPr>
          <w:sz w:val="24"/>
          <w:szCs w:val="24"/>
          <w:lang w:bidi="he-IL"/>
        </w:rPr>
        <w:t xml:space="preserve">. Their claim contradicts the </w:t>
      </w:r>
      <w:r w:rsidRPr="00D02BFE">
        <w:rPr>
          <w:rFonts w:hint="cs"/>
          <w:sz w:val="24"/>
          <w:szCs w:val="24"/>
          <w:rtl/>
          <w:lang w:bidi="he-IL"/>
        </w:rPr>
        <w:t>אנן סהדי</w:t>
      </w:r>
      <w:r w:rsidRPr="00D02BFE">
        <w:rPr>
          <w:sz w:val="24"/>
          <w:szCs w:val="24"/>
          <w:lang w:bidi="he-IL"/>
        </w:rPr>
        <w:t xml:space="preserve">. A </w:t>
      </w:r>
      <w:r w:rsidRPr="00D02BFE">
        <w:rPr>
          <w:rFonts w:hint="cs"/>
          <w:sz w:val="24"/>
          <w:szCs w:val="24"/>
          <w:rtl/>
          <w:lang w:bidi="he-IL"/>
        </w:rPr>
        <w:t>מגו</w:t>
      </w:r>
      <w:r w:rsidRPr="00D02BFE">
        <w:rPr>
          <w:sz w:val="24"/>
          <w:szCs w:val="24"/>
          <w:lang w:bidi="he-IL"/>
        </w:rPr>
        <w:t xml:space="preserve"> is not effective</w:t>
      </w:r>
      <w:r w:rsidR="00705C22">
        <w:rPr>
          <w:sz w:val="24"/>
          <w:szCs w:val="24"/>
          <w:lang w:bidi="he-IL"/>
        </w:rPr>
        <w:t xml:space="preserve"> when the claim contradicts</w:t>
      </w:r>
      <w:r w:rsidRPr="00D02BFE">
        <w:rPr>
          <w:sz w:val="24"/>
          <w:szCs w:val="24"/>
          <w:lang w:bidi="he-IL"/>
        </w:rPr>
        <w:t xml:space="preserve"> </w:t>
      </w:r>
      <w:r w:rsidRPr="00D02BFE">
        <w:rPr>
          <w:rFonts w:hint="cs"/>
          <w:sz w:val="24"/>
          <w:szCs w:val="24"/>
          <w:rtl/>
          <w:lang w:bidi="he-IL"/>
        </w:rPr>
        <w:t>עדים</w:t>
      </w:r>
      <w:r w:rsidRPr="00D02BFE">
        <w:rPr>
          <w:sz w:val="24"/>
          <w:szCs w:val="24"/>
          <w:lang w:bidi="he-IL"/>
        </w:rPr>
        <w:t>.</w:t>
      </w:r>
    </w:p>
    <w:p w:rsidR="00752BAA" w:rsidRPr="00D02BFE" w:rsidRDefault="00752BAA" w:rsidP="006C4945">
      <w:pPr>
        <w:spacing w:line="276" w:lineRule="auto"/>
        <w:jc w:val="both"/>
        <w:rPr>
          <w:sz w:val="24"/>
          <w:szCs w:val="24"/>
          <w:lang w:bidi="he-IL"/>
        </w:rPr>
      </w:pPr>
    </w:p>
    <w:p w:rsidR="00752BAA" w:rsidRPr="00D02BFE" w:rsidRDefault="00752BAA" w:rsidP="006C4945">
      <w:pPr>
        <w:spacing w:line="276" w:lineRule="auto"/>
        <w:jc w:val="both"/>
        <w:rPr>
          <w:sz w:val="24"/>
          <w:szCs w:val="24"/>
          <w:lang w:bidi="he-IL"/>
        </w:rPr>
      </w:pPr>
      <w:r w:rsidRPr="00D02BFE">
        <w:rPr>
          <w:rFonts w:hint="cs"/>
          <w:sz w:val="24"/>
          <w:szCs w:val="24"/>
          <w:rtl/>
          <w:lang w:bidi="he-IL"/>
        </w:rPr>
        <w:t>תוספות</w:t>
      </w:r>
      <w:r w:rsidRPr="00D02BFE">
        <w:rPr>
          <w:sz w:val="24"/>
          <w:szCs w:val="24"/>
          <w:lang w:bidi="he-IL"/>
        </w:rPr>
        <w:t xml:space="preserve"> offers another explanation why they are not believed:</w:t>
      </w:r>
    </w:p>
    <w:p w:rsidR="000D5D9D" w:rsidRPr="0057656A" w:rsidRDefault="00752BAA" w:rsidP="000928F7">
      <w:pPr>
        <w:widowControl w:val="0"/>
        <w:bidi/>
        <w:spacing w:line="276" w:lineRule="auto"/>
        <w:jc w:val="both"/>
        <w:rPr>
          <w:rFonts w:cs="David"/>
          <w:b/>
          <w:bCs/>
          <w:lang w:bidi="he-IL"/>
        </w:rPr>
      </w:pPr>
      <w:r w:rsidRPr="0057656A">
        <w:rPr>
          <w:rFonts w:cs="David" w:hint="cs"/>
          <w:b/>
          <w:bCs/>
          <w:rtl/>
          <w:lang w:bidi="he-IL"/>
        </w:rPr>
        <w:t>ועוד</w:t>
      </w:r>
      <w:r w:rsidR="000D5D9D" w:rsidRPr="0057656A">
        <w:rPr>
          <w:rStyle w:val="FootnoteReference"/>
          <w:rFonts w:cs="David"/>
          <w:b/>
          <w:bCs/>
          <w:lang w:bidi="he-IL"/>
        </w:rPr>
        <w:footnoteReference w:id="5"/>
      </w:r>
      <w:r w:rsidRPr="0057656A">
        <w:rPr>
          <w:rFonts w:cs="David" w:hint="cs"/>
          <w:b/>
          <w:bCs/>
          <w:rtl/>
          <w:lang w:bidi="he-IL"/>
        </w:rPr>
        <w:t xml:space="preserve"> דחוזרים ומגידים הם</w:t>
      </w:r>
      <w:r w:rsidR="000D5D9D" w:rsidRPr="0057656A">
        <w:rPr>
          <w:rFonts w:cs="David" w:hint="cs"/>
          <w:b/>
          <w:bCs/>
          <w:rtl/>
          <w:lang w:bidi="he-IL"/>
        </w:rPr>
        <w:t xml:space="preserve"> וכיון שהגיד שוב אינו חוזר ומגיד כדאמרינן בגמרא</w:t>
      </w:r>
      <w:r w:rsidRPr="0057656A">
        <w:rPr>
          <w:rFonts w:cs="David"/>
          <w:b/>
          <w:bCs/>
          <w:lang w:bidi="he-IL"/>
        </w:rPr>
        <w:t xml:space="preserve"> – </w:t>
      </w:r>
    </w:p>
    <w:p w:rsidR="00ED7F72" w:rsidRPr="00D02BFE" w:rsidRDefault="000D5D9D" w:rsidP="000928F7">
      <w:pPr>
        <w:widowControl w:val="0"/>
        <w:spacing w:line="276" w:lineRule="auto"/>
        <w:jc w:val="both"/>
        <w:rPr>
          <w:sz w:val="24"/>
          <w:szCs w:val="24"/>
          <w:lang w:bidi="he-IL"/>
        </w:rPr>
      </w:pPr>
      <w:r w:rsidRPr="000D5D9D">
        <w:rPr>
          <w:b/>
          <w:bCs/>
          <w:lang w:bidi="he-IL"/>
        </w:rPr>
        <w:t>And</w:t>
      </w:r>
      <w:r w:rsidR="00752BAA" w:rsidRPr="000D5D9D">
        <w:rPr>
          <w:b/>
          <w:bCs/>
          <w:lang w:bidi="he-IL"/>
        </w:rPr>
        <w:t xml:space="preserve"> furthermore, </w:t>
      </w:r>
      <w:r w:rsidR="00752BAA" w:rsidRPr="000D5D9D">
        <w:rPr>
          <w:lang w:bidi="he-IL"/>
        </w:rPr>
        <w:t xml:space="preserve">this claim that they </w:t>
      </w:r>
      <w:r w:rsidR="00D02BFE" w:rsidRPr="000D5D9D">
        <w:rPr>
          <w:lang w:bidi="he-IL"/>
        </w:rPr>
        <w:t>we</w:t>
      </w:r>
      <w:r w:rsidR="00752BAA" w:rsidRPr="000D5D9D">
        <w:rPr>
          <w:lang w:bidi="he-IL"/>
        </w:rPr>
        <w:t xml:space="preserve">re </w:t>
      </w:r>
      <w:r w:rsidR="00752BAA" w:rsidRPr="000D5D9D">
        <w:rPr>
          <w:rFonts w:hint="cs"/>
          <w:rtl/>
          <w:lang w:bidi="he-IL"/>
        </w:rPr>
        <w:t>פסולים</w:t>
      </w:r>
      <w:r w:rsidR="00752BAA" w:rsidRPr="000D5D9D">
        <w:rPr>
          <w:lang w:bidi="he-IL"/>
        </w:rPr>
        <w:t xml:space="preserve"> (which is offered after the </w:t>
      </w:r>
      <w:r w:rsidR="00752BAA" w:rsidRPr="000D5D9D">
        <w:rPr>
          <w:rFonts w:hint="cs"/>
          <w:rtl/>
          <w:lang w:bidi="he-IL"/>
        </w:rPr>
        <w:t>שטר</w:t>
      </w:r>
      <w:r w:rsidR="00752BAA" w:rsidRPr="000D5D9D">
        <w:rPr>
          <w:lang w:bidi="he-IL"/>
        </w:rPr>
        <w:t xml:space="preserve"> </w:t>
      </w:r>
      <w:r w:rsidR="00752BAA" w:rsidRPr="000D5D9D">
        <w:rPr>
          <w:lang w:bidi="he-IL"/>
        </w:rPr>
        <w:lastRenderedPageBreak/>
        <w:t xml:space="preserve">is </w:t>
      </w:r>
      <w:r w:rsidR="00752BAA" w:rsidRPr="000D5D9D">
        <w:rPr>
          <w:rFonts w:hint="cs"/>
          <w:rtl/>
          <w:lang w:bidi="he-IL"/>
        </w:rPr>
        <w:t>מקוים</w:t>
      </w:r>
      <w:r w:rsidR="00752BAA" w:rsidRPr="000D5D9D">
        <w:rPr>
          <w:lang w:bidi="he-IL"/>
        </w:rPr>
        <w:t>), is considered</w:t>
      </w:r>
      <w:r w:rsidR="00FC411C" w:rsidRPr="000D5D9D">
        <w:rPr>
          <w:lang w:bidi="he-IL"/>
        </w:rPr>
        <w:t xml:space="preserve"> </w:t>
      </w:r>
      <w:r w:rsidR="00FC411C" w:rsidRPr="000D5D9D">
        <w:rPr>
          <w:b/>
          <w:bCs/>
          <w:lang w:bidi="he-IL"/>
        </w:rPr>
        <w:t>that they are</w:t>
      </w:r>
      <w:r w:rsidR="00752BAA" w:rsidRPr="000D5D9D">
        <w:rPr>
          <w:lang w:bidi="he-IL"/>
        </w:rPr>
        <w:t xml:space="preserve"> </w:t>
      </w:r>
      <w:r w:rsidR="00FC411C" w:rsidRPr="000D5D9D">
        <w:rPr>
          <w:b/>
          <w:bCs/>
          <w:lang w:bidi="he-IL"/>
        </w:rPr>
        <w:t xml:space="preserve">retracting and testifying </w:t>
      </w:r>
      <w:r w:rsidR="00FC411C" w:rsidRPr="000D5D9D">
        <w:rPr>
          <w:lang w:bidi="he-IL"/>
        </w:rPr>
        <w:t>anew</w:t>
      </w:r>
      <w:r w:rsidR="00752BAA" w:rsidRPr="000D5D9D">
        <w:rPr>
          <w:b/>
          <w:bCs/>
          <w:lang w:bidi="he-IL"/>
        </w:rPr>
        <w:t>.</w:t>
      </w:r>
      <w:r w:rsidR="00752BAA" w:rsidRPr="000D5D9D">
        <w:rPr>
          <w:lang w:bidi="he-IL"/>
        </w:rPr>
        <w:t xml:space="preserve"> </w:t>
      </w:r>
      <w:r w:rsidRPr="000D5D9D">
        <w:rPr>
          <w:lang w:bidi="he-IL"/>
        </w:rPr>
        <w:t xml:space="preserve">This they cannot do, for there is a rule </w:t>
      </w:r>
      <w:r w:rsidRPr="000D5D9D">
        <w:rPr>
          <w:b/>
          <w:bCs/>
          <w:lang w:bidi="he-IL"/>
        </w:rPr>
        <w:t xml:space="preserve">that once he testified, he cannot retract </w:t>
      </w:r>
      <w:r w:rsidRPr="000D5D9D">
        <w:rPr>
          <w:lang w:bidi="he-IL"/>
        </w:rPr>
        <w:t xml:space="preserve">his previous testimony, </w:t>
      </w:r>
      <w:r w:rsidRPr="000D5D9D">
        <w:rPr>
          <w:b/>
          <w:bCs/>
          <w:lang w:bidi="he-IL"/>
        </w:rPr>
        <w:t xml:space="preserve">and testify </w:t>
      </w:r>
      <w:r w:rsidRPr="000D5D9D">
        <w:rPr>
          <w:lang w:bidi="he-IL"/>
        </w:rPr>
        <w:t>differently</w:t>
      </w:r>
      <w:r>
        <w:rPr>
          <w:lang w:bidi="he-IL"/>
        </w:rPr>
        <w:t>,</w:t>
      </w:r>
      <w:r w:rsidRPr="000D5D9D">
        <w:rPr>
          <w:b/>
          <w:bCs/>
          <w:lang w:bidi="he-IL"/>
        </w:rPr>
        <w:t xml:space="preserve"> as it is stated in the </w:t>
      </w:r>
      <w:r w:rsidRPr="000D5D9D">
        <w:rPr>
          <w:rFonts w:hint="cs"/>
          <w:b/>
          <w:bCs/>
          <w:rtl/>
          <w:lang w:bidi="he-IL"/>
        </w:rPr>
        <w:t>גמרא</w:t>
      </w:r>
      <w:r>
        <w:rPr>
          <w:b/>
          <w:bCs/>
          <w:lang w:bidi="he-IL"/>
        </w:rPr>
        <w:t xml:space="preserve"> </w:t>
      </w:r>
      <w:r w:rsidRPr="00D02BFE">
        <w:rPr>
          <w:sz w:val="24"/>
          <w:szCs w:val="24"/>
          <w:lang w:bidi="he-IL"/>
        </w:rPr>
        <w:t xml:space="preserve">(immediately following the </w:t>
      </w:r>
      <w:r w:rsidRPr="00D02BFE">
        <w:rPr>
          <w:rFonts w:hint="cs"/>
          <w:sz w:val="24"/>
          <w:szCs w:val="24"/>
          <w:rtl/>
          <w:lang w:bidi="he-IL"/>
        </w:rPr>
        <w:t>משנה</w:t>
      </w:r>
      <w:r w:rsidRPr="00D02BFE">
        <w:rPr>
          <w:sz w:val="24"/>
          <w:szCs w:val="24"/>
          <w:lang w:bidi="he-IL"/>
        </w:rPr>
        <w:t>).</w:t>
      </w:r>
      <w:r w:rsidRPr="00D02BFE">
        <w:rPr>
          <w:b/>
          <w:bCs/>
          <w:sz w:val="24"/>
          <w:szCs w:val="24"/>
          <w:lang w:bidi="he-IL"/>
        </w:rPr>
        <w:t xml:space="preserve"> </w:t>
      </w:r>
      <w:r w:rsidR="00752BAA" w:rsidRPr="00D02BFE">
        <w:rPr>
          <w:sz w:val="24"/>
          <w:szCs w:val="24"/>
          <w:lang w:bidi="he-IL"/>
        </w:rPr>
        <w:t xml:space="preserve">The </w:t>
      </w:r>
      <w:r w:rsidR="00752BAA" w:rsidRPr="00D02BFE">
        <w:rPr>
          <w:rFonts w:hint="cs"/>
          <w:sz w:val="24"/>
          <w:szCs w:val="24"/>
          <w:rtl/>
          <w:lang w:bidi="he-IL"/>
        </w:rPr>
        <w:t>שטר</w:t>
      </w:r>
      <w:r w:rsidR="00752BAA" w:rsidRPr="00D02BFE">
        <w:rPr>
          <w:sz w:val="24"/>
          <w:szCs w:val="24"/>
          <w:lang w:bidi="he-IL"/>
        </w:rPr>
        <w:t xml:space="preserve"> is already </w:t>
      </w:r>
      <w:r w:rsidR="00752BAA" w:rsidRPr="00D02BFE">
        <w:rPr>
          <w:rFonts w:hint="cs"/>
          <w:sz w:val="24"/>
          <w:szCs w:val="24"/>
          <w:rtl/>
          <w:lang w:bidi="he-IL"/>
        </w:rPr>
        <w:t>מקוים</w:t>
      </w:r>
      <w:r w:rsidR="00752BAA" w:rsidRPr="00D02BFE">
        <w:rPr>
          <w:sz w:val="24"/>
          <w:szCs w:val="24"/>
          <w:lang w:bidi="he-IL"/>
        </w:rPr>
        <w:t xml:space="preserve">. </w:t>
      </w:r>
      <w:r w:rsidR="00FC411C" w:rsidRPr="00D02BFE">
        <w:rPr>
          <w:sz w:val="24"/>
          <w:szCs w:val="24"/>
          <w:lang w:bidi="he-IL"/>
        </w:rPr>
        <w:t xml:space="preserve">The </w:t>
      </w:r>
      <w:r w:rsidR="00FC411C" w:rsidRPr="00D02BFE">
        <w:rPr>
          <w:rFonts w:hint="cs"/>
          <w:sz w:val="24"/>
          <w:szCs w:val="24"/>
          <w:rtl/>
          <w:lang w:bidi="he-IL"/>
        </w:rPr>
        <w:t>שטר</w:t>
      </w:r>
      <w:r w:rsidR="00FC411C" w:rsidRPr="00D02BFE">
        <w:rPr>
          <w:sz w:val="24"/>
          <w:szCs w:val="24"/>
          <w:lang w:bidi="he-IL"/>
        </w:rPr>
        <w:t xml:space="preserve"> states in the name of the </w:t>
      </w:r>
      <w:r w:rsidR="00FC411C" w:rsidRPr="00D02BFE">
        <w:rPr>
          <w:rFonts w:hint="cs"/>
          <w:sz w:val="24"/>
          <w:szCs w:val="24"/>
          <w:rtl/>
          <w:lang w:bidi="he-IL"/>
        </w:rPr>
        <w:t>עדים</w:t>
      </w:r>
      <w:r w:rsidR="00FC411C" w:rsidRPr="00D02BFE">
        <w:rPr>
          <w:sz w:val="24"/>
          <w:szCs w:val="24"/>
          <w:lang w:bidi="he-IL"/>
        </w:rPr>
        <w:t xml:space="preserve"> that the </w:t>
      </w:r>
      <w:r w:rsidR="00FC411C" w:rsidRPr="00D02BFE">
        <w:rPr>
          <w:rFonts w:hint="cs"/>
          <w:sz w:val="24"/>
          <w:szCs w:val="24"/>
          <w:rtl/>
          <w:lang w:bidi="he-IL"/>
        </w:rPr>
        <w:t>לוה</w:t>
      </w:r>
      <w:r w:rsidR="00FC411C" w:rsidRPr="00D02BFE">
        <w:rPr>
          <w:sz w:val="24"/>
          <w:szCs w:val="24"/>
          <w:lang w:bidi="he-IL"/>
        </w:rPr>
        <w:t xml:space="preserve"> owes money. These </w:t>
      </w:r>
      <w:r w:rsidR="00FC411C" w:rsidRPr="00D02BFE">
        <w:rPr>
          <w:rFonts w:hint="cs"/>
          <w:sz w:val="24"/>
          <w:szCs w:val="24"/>
          <w:rtl/>
          <w:lang w:bidi="he-IL"/>
        </w:rPr>
        <w:t>עדים</w:t>
      </w:r>
      <w:r w:rsidR="00FC411C" w:rsidRPr="00D02BFE">
        <w:rPr>
          <w:sz w:val="24"/>
          <w:szCs w:val="24"/>
          <w:lang w:bidi="he-IL"/>
        </w:rPr>
        <w:t xml:space="preserve"> are</w:t>
      </w:r>
      <w:r w:rsidR="00ED7F72" w:rsidRPr="00D02BFE">
        <w:rPr>
          <w:sz w:val="24"/>
          <w:szCs w:val="24"/>
          <w:lang w:bidi="he-IL"/>
        </w:rPr>
        <w:t xml:space="preserve"> now</w:t>
      </w:r>
      <w:r w:rsidR="00FC411C" w:rsidRPr="00D02BFE">
        <w:rPr>
          <w:sz w:val="24"/>
          <w:szCs w:val="24"/>
          <w:lang w:bidi="he-IL"/>
        </w:rPr>
        <w:t xml:space="preserve"> claiming</w:t>
      </w:r>
      <w:r w:rsidR="00ED7F72" w:rsidRPr="00D02BFE">
        <w:rPr>
          <w:sz w:val="24"/>
          <w:szCs w:val="24"/>
          <w:lang w:bidi="he-IL"/>
        </w:rPr>
        <w:t xml:space="preserve"> that</w:t>
      </w:r>
      <w:r w:rsidR="00FC411C" w:rsidRPr="00D02BFE">
        <w:rPr>
          <w:sz w:val="24"/>
          <w:szCs w:val="24"/>
          <w:lang w:bidi="he-IL"/>
        </w:rPr>
        <w:t xml:space="preserve"> they were </w:t>
      </w:r>
      <w:r w:rsidR="00FC411C" w:rsidRPr="00D02BFE">
        <w:rPr>
          <w:rFonts w:hint="cs"/>
          <w:sz w:val="24"/>
          <w:szCs w:val="24"/>
          <w:rtl/>
          <w:lang w:bidi="he-IL"/>
        </w:rPr>
        <w:t>פסולי עדות</w:t>
      </w:r>
      <w:r w:rsidR="00FC411C" w:rsidRPr="00D02BFE">
        <w:rPr>
          <w:sz w:val="24"/>
          <w:szCs w:val="24"/>
          <w:lang w:bidi="he-IL"/>
        </w:rPr>
        <w:t xml:space="preserve"> and the </w:t>
      </w:r>
      <w:r w:rsidR="00FC411C" w:rsidRPr="00D02BFE">
        <w:rPr>
          <w:rFonts w:hint="cs"/>
          <w:sz w:val="24"/>
          <w:szCs w:val="24"/>
          <w:rtl/>
          <w:lang w:bidi="he-IL"/>
        </w:rPr>
        <w:t>שטר</w:t>
      </w:r>
      <w:r w:rsidR="00FC411C" w:rsidRPr="00D02BFE">
        <w:rPr>
          <w:sz w:val="24"/>
          <w:szCs w:val="24"/>
          <w:lang w:bidi="he-IL"/>
        </w:rPr>
        <w:t xml:space="preserve"> is </w:t>
      </w:r>
      <w:r w:rsidR="00FC411C" w:rsidRPr="00D02BFE">
        <w:rPr>
          <w:rFonts w:hint="cs"/>
          <w:sz w:val="24"/>
          <w:szCs w:val="24"/>
          <w:rtl/>
          <w:lang w:bidi="he-IL"/>
        </w:rPr>
        <w:t>פסול</w:t>
      </w:r>
      <w:r w:rsidR="00FC411C" w:rsidRPr="00D02BFE">
        <w:rPr>
          <w:sz w:val="24"/>
          <w:szCs w:val="24"/>
          <w:lang w:bidi="he-IL"/>
        </w:rPr>
        <w:t xml:space="preserve">. This in effect means the </w:t>
      </w:r>
      <w:r w:rsidR="00FC411C" w:rsidRPr="00D02BFE">
        <w:rPr>
          <w:rFonts w:hint="cs"/>
          <w:sz w:val="24"/>
          <w:szCs w:val="24"/>
          <w:rtl/>
          <w:lang w:bidi="he-IL"/>
        </w:rPr>
        <w:t>לוה</w:t>
      </w:r>
      <w:r w:rsidR="00FC411C" w:rsidRPr="00D02BFE">
        <w:rPr>
          <w:sz w:val="24"/>
          <w:szCs w:val="24"/>
          <w:lang w:bidi="he-IL"/>
        </w:rPr>
        <w:t xml:space="preserve"> owes no money. This is a contradict</w:t>
      </w:r>
      <w:r w:rsidR="00D02BFE" w:rsidRPr="00D02BFE">
        <w:rPr>
          <w:sz w:val="24"/>
          <w:szCs w:val="24"/>
          <w:lang w:bidi="he-IL"/>
        </w:rPr>
        <w:t>ion to their previous testimony.</w:t>
      </w:r>
      <w:r w:rsidR="00FC411C" w:rsidRPr="00D02BFE">
        <w:rPr>
          <w:sz w:val="24"/>
          <w:szCs w:val="24"/>
          <w:lang w:bidi="he-IL"/>
        </w:rPr>
        <w:t xml:space="preserve"> Therefore the claim of </w:t>
      </w:r>
      <w:r w:rsidR="00FC411C" w:rsidRPr="00D02BFE">
        <w:rPr>
          <w:rFonts w:hint="cs"/>
          <w:sz w:val="24"/>
          <w:szCs w:val="24"/>
          <w:rtl/>
          <w:lang w:bidi="he-IL"/>
        </w:rPr>
        <w:t>פסולים</w:t>
      </w:r>
      <w:r w:rsidR="00705C22">
        <w:rPr>
          <w:rFonts w:hint="cs"/>
          <w:sz w:val="24"/>
          <w:szCs w:val="24"/>
          <w:rtl/>
          <w:lang w:bidi="he-IL"/>
        </w:rPr>
        <w:t xml:space="preserve"> היינו</w:t>
      </w:r>
      <w:r w:rsidR="00ED7F72" w:rsidRPr="00D02BFE">
        <w:rPr>
          <w:sz w:val="24"/>
          <w:szCs w:val="24"/>
          <w:lang w:bidi="he-IL"/>
        </w:rPr>
        <w:t xml:space="preserve">, which disqualifies the </w:t>
      </w:r>
      <w:r w:rsidR="00ED7F72" w:rsidRPr="00D02BFE">
        <w:rPr>
          <w:rFonts w:hint="cs"/>
          <w:sz w:val="24"/>
          <w:szCs w:val="24"/>
          <w:rtl/>
          <w:lang w:bidi="he-IL"/>
        </w:rPr>
        <w:t>שטר</w:t>
      </w:r>
      <w:r w:rsidR="00ED7F72" w:rsidRPr="00D02BFE">
        <w:rPr>
          <w:sz w:val="24"/>
          <w:szCs w:val="24"/>
          <w:lang w:bidi="he-IL"/>
        </w:rPr>
        <w:t>,</w:t>
      </w:r>
      <w:r w:rsidR="00FC411C" w:rsidRPr="00D02BFE">
        <w:rPr>
          <w:sz w:val="24"/>
          <w:szCs w:val="24"/>
          <w:lang w:bidi="he-IL"/>
        </w:rPr>
        <w:t xml:space="preserve"> contradicts their original testimony</w:t>
      </w:r>
      <w:r w:rsidR="00ED7F72" w:rsidRPr="00D02BFE">
        <w:rPr>
          <w:sz w:val="24"/>
          <w:szCs w:val="24"/>
          <w:lang w:bidi="he-IL"/>
        </w:rPr>
        <w:t xml:space="preserve"> that the </w:t>
      </w:r>
      <w:r w:rsidR="00ED7F72" w:rsidRPr="00D02BFE">
        <w:rPr>
          <w:rFonts w:hint="cs"/>
          <w:sz w:val="24"/>
          <w:szCs w:val="24"/>
          <w:rtl/>
          <w:lang w:bidi="he-IL"/>
        </w:rPr>
        <w:t>לוה</w:t>
      </w:r>
      <w:r w:rsidR="00ED7F72" w:rsidRPr="00D02BFE">
        <w:rPr>
          <w:sz w:val="24"/>
          <w:szCs w:val="24"/>
          <w:lang w:bidi="he-IL"/>
        </w:rPr>
        <w:t xml:space="preserve"> owes the money</w:t>
      </w:r>
      <w:r>
        <w:rPr>
          <w:sz w:val="24"/>
          <w:szCs w:val="24"/>
          <w:lang w:bidi="he-IL"/>
        </w:rPr>
        <w:t>.</w:t>
      </w:r>
      <w:r w:rsidR="00ED7F72">
        <w:rPr>
          <w:b/>
          <w:bCs/>
          <w:lang w:bidi="he-IL"/>
        </w:rPr>
        <w:t xml:space="preserve"> </w:t>
      </w:r>
    </w:p>
    <w:p w:rsidR="00ED7F72" w:rsidRPr="00D02BFE" w:rsidRDefault="00ED7F72" w:rsidP="000928F7">
      <w:pPr>
        <w:widowControl w:val="0"/>
        <w:spacing w:line="276" w:lineRule="auto"/>
        <w:jc w:val="both"/>
        <w:rPr>
          <w:sz w:val="24"/>
          <w:szCs w:val="24"/>
          <w:lang w:bidi="he-IL"/>
        </w:rPr>
      </w:pPr>
    </w:p>
    <w:p w:rsidR="00ED7F72" w:rsidRPr="00D02BFE" w:rsidRDefault="00ED7F72" w:rsidP="000928F7">
      <w:pPr>
        <w:widowControl w:val="0"/>
        <w:spacing w:line="276" w:lineRule="auto"/>
        <w:jc w:val="both"/>
        <w:rPr>
          <w:sz w:val="24"/>
          <w:szCs w:val="24"/>
          <w:lang w:bidi="he-IL"/>
        </w:rPr>
      </w:pPr>
      <w:r w:rsidRPr="00D02BFE">
        <w:rPr>
          <w:rFonts w:hint="cs"/>
          <w:sz w:val="24"/>
          <w:szCs w:val="24"/>
          <w:rtl/>
          <w:lang w:bidi="he-IL"/>
        </w:rPr>
        <w:t>תוספות</w:t>
      </w:r>
      <w:r w:rsidRPr="00D02BFE">
        <w:rPr>
          <w:sz w:val="24"/>
          <w:szCs w:val="24"/>
          <w:lang w:bidi="he-IL"/>
        </w:rPr>
        <w:t xml:space="preserve"> offers a final explanation why they are not believed with a </w:t>
      </w:r>
      <w:r w:rsidRPr="00D02BFE">
        <w:rPr>
          <w:rFonts w:hint="cs"/>
          <w:sz w:val="24"/>
          <w:szCs w:val="24"/>
          <w:rtl/>
          <w:lang w:bidi="he-IL"/>
        </w:rPr>
        <w:t>מגו</w:t>
      </w:r>
      <w:r w:rsidRPr="00D02BFE">
        <w:rPr>
          <w:sz w:val="24"/>
          <w:szCs w:val="24"/>
          <w:lang w:bidi="he-IL"/>
        </w:rPr>
        <w:t>:</w:t>
      </w:r>
    </w:p>
    <w:p w:rsidR="000D5D9D" w:rsidRPr="00604D3D" w:rsidRDefault="00ED7F72" w:rsidP="00604D3D">
      <w:pPr>
        <w:bidi/>
        <w:spacing w:line="276" w:lineRule="auto"/>
        <w:jc w:val="both"/>
        <w:rPr>
          <w:rFonts w:cs="David"/>
          <w:b/>
          <w:bCs/>
          <w:lang w:bidi="he-IL"/>
        </w:rPr>
      </w:pPr>
      <w:r w:rsidRPr="00604D3D">
        <w:rPr>
          <w:rFonts w:cs="David" w:hint="cs"/>
          <w:b/>
          <w:bCs/>
          <w:rtl/>
          <w:lang w:bidi="he-IL"/>
        </w:rPr>
        <w:t>ועוד</w:t>
      </w:r>
      <w:r w:rsidR="00604D3D">
        <w:rPr>
          <w:rStyle w:val="FootnoteReference"/>
          <w:rFonts w:cs="David"/>
          <w:b/>
          <w:bCs/>
          <w:rtl/>
          <w:lang w:bidi="he-IL"/>
        </w:rPr>
        <w:footnoteReference w:id="6"/>
      </w:r>
      <w:r w:rsidRPr="00604D3D">
        <w:rPr>
          <w:rFonts w:cs="David" w:hint="cs"/>
          <w:b/>
          <w:bCs/>
          <w:rtl/>
          <w:lang w:bidi="he-IL"/>
        </w:rPr>
        <w:t xml:space="preserve"> דבשני עדים</w:t>
      </w:r>
      <w:r w:rsidR="000D5D9D" w:rsidRPr="00604D3D">
        <w:rPr>
          <w:rFonts w:cs="David" w:hint="cs"/>
          <w:b/>
          <w:bCs/>
          <w:rtl/>
          <w:lang w:bidi="he-IL"/>
        </w:rPr>
        <w:t xml:space="preserve"> לא אמרינן מגו</w:t>
      </w:r>
      <w:r w:rsidR="00604D3D">
        <w:rPr>
          <w:rStyle w:val="FootnoteReference"/>
          <w:rFonts w:cs="David"/>
          <w:b/>
          <w:bCs/>
          <w:rtl/>
          <w:lang w:bidi="he-IL"/>
        </w:rPr>
        <w:footnoteReference w:id="7"/>
      </w:r>
      <w:r w:rsidR="000D5D9D" w:rsidRPr="00604D3D">
        <w:rPr>
          <w:rFonts w:cs="David" w:hint="cs"/>
          <w:b/>
          <w:bCs/>
          <w:rtl/>
          <w:lang w:bidi="he-IL"/>
        </w:rPr>
        <w:t xml:space="preserve"> -</w:t>
      </w:r>
    </w:p>
    <w:p w:rsidR="00FB2BE5" w:rsidRPr="00D02BFE" w:rsidRDefault="000D5D9D" w:rsidP="000D5D9D">
      <w:pPr>
        <w:spacing w:line="276" w:lineRule="auto"/>
        <w:jc w:val="both"/>
        <w:rPr>
          <w:sz w:val="24"/>
          <w:szCs w:val="24"/>
          <w:lang w:bidi="he-IL"/>
        </w:rPr>
      </w:pPr>
      <w:r>
        <w:rPr>
          <w:b/>
          <w:bCs/>
          <w:lang w:bidi="he-IL"/>
        </w:rPr>
        <w:t>And</w:t>
      </w:r>
      <w:r w:rsidR="00ED7F72">
        <w:rPr>
          <w:b/>
          <w:bCs/>
          <w:lang w:bidi="he-IL"/>
        </w:rPr>
        <w:t xml:space="preserve"> furthermore </w:t>
      </w:r>
      <w:r w:rsidR="00ED7F72">
        <w:rPr>
          <w:lang w:bidi="he-IL"/>
        </w:rPr>
        <w:t xml:space="preserve">there is a rule </w:t>
      </w:r>
      <w:r w:rsidR="00ED7F72">
        <w:rPr>
          <w:b/>
          <w:bCs/>
          <w:lang w:bidi="he-IL"/>
        </w:rPr>
        <w:t xml:space="preserve">that by two witnesses </w:t>
      </w:r>
      <w:r w:rsidR="00ED7F72">
        <w:rPr>
          <w:lang w:bidi="he-IL"/>
        </w:rPr>
        <w:t xml:space="preserve">the rule </w:t>
      </w:r>
      <w:r w:rsidR="00ED7F72">
        <w:rPr>
          <w:b/>
          <w:bCs/>
          <w:lang w:bidi="he-IL"/>
        </w:rPr>
        <w:t xml:space="preserve">of </w:t>
      </w:r>
      <w:r w:rsidR="00ED7F72">
        <w:rPr>
          <w:rFonts w:hint="cs"/>
          <w:b/>
          <w:bCs/>
          <w:rtl/>
          <w:lang w:bidi="he-IL"/>
        </w:rPr>
        <w:t>מגו</w:t>
      </w:r>
      <w:r w:rsidR="00ED7F72">
        <w:rPr>
          <w:b/>
          <w:bCs/>
          <w:lang w:bidi="he-IL"/>
        </w:rPr>
        <w:t xml:space="preserve"> does not apply</w:t>
      </w:r>
      <w:r w:rsidR="00ED7F72">
        <w:rPr>
          <w:lang w:bidi="he-IL"/>
        </w:rPr>
        <w:t xml:space="preserve">. </w:t>
      </w:r>
      <w:r w:rsidR="00ED7F72" w:rsidRPr="00D02BFE">
        <w:rPr>
          <w:sz w:val="24"/>
          <w:szCs w:val="24"/>
          <w:lang w:bidi="he-IL"/>
        </w:rPr>
        <w:t xml:space="preserve">A </w:t>
      </w:r>
      <w:r w:rsidR="00ED7F72" w:rsidRPr="00D02BFE">
        <w:rPr>
          <w:rFonts w:hint="cs"/>
          <w:sz w:val="24"/>
          <w:szCs w:val="24"/>
          <w:rtl/>
          <w:lang w:bidi="he-IL"/>
        </w:rPr>
        <w:t>מגו</w:t>
      </w:r>
      <w:r w:rsidR="00ED7F72" w:rsidRPr="00D02BFE">
        <w:rPr>
          <w:sz w:val="24"/>
          <w:szCs w:val="24"/>
          <w:lang w:bidi="he-IL"/>
        </w:rPr>
        <w:t xml:space="preserve"> is effective only when there is one person making a claim and he has a </w:t>
      </w:r>
      <w:r w:rsidR="00ED7F72" w:rsidRPr="00D02BFE">
        <w:rPr>
          <w:rFonts w:hint="cs"/>
          <w:sz w:val="24"/>
          <w:szCs w:val="24"/>
          <w:rtl/>
          <w:lang w:bidi="he-IL"/>
        </w:rPr>
        <w:t>מגו</w:t>
      </w:r>
      <w:r w:rsidR="00ED7F72" w:rsidRPr="00D02BFE">
        <w:rPr>
          <w:sz w:val="24"/>
          <w:szCs w:val="24"/>
          <w:lang w:bidi="he-IL"/>
        </w:rPr>
        <w:t xml:space="preserve">. However by two people who are making a claim even though they have a </w:t>
      </w:r>
      <w:r w:rsidR="00ED7F72" w:rsidRPr="00D02BFE">
        <w:rPr>
          <w:rFonts w:hint="cs"/>
          <w:sz w:val="24"/>
          <w:szCs w:val="24"/>
          <w:rtl/>
          <w:lang w:bidi="he-IL"/>
        </w:rPr>
        <w:t>מגו</w:t>
      </w:r>
      <w:r w:rsidR="00ED7F72" w:rsidRPr="00D02BFE">
        <w:rPr>
          <w:sz w:val="24"/>
          <w:szCs w:val="24"/>
          <w:lang w:bidi="he-IL"/>
        </w:rPr>
        <w:t>, they are not believed.</w:t>
      </w:r>
    </w:p>
    <w:p w:rsidR="00FB2BE5" w:rsidRPr="00D02BFE" w:rsidRDefault="00FB2BE5" w:rsidP="006C4945">
      <w:pPr>
        <w:spacing w:line="276" w:lineRule="auto"/>
        <w:jc w:val="both"/>
        <w:rPr>
          <w:sz w:val="24"/>
          <w:szCs w:val="24"/>
          <w:lang w:bidi="he-IL"/>
        </w:rPr>
      </w:pPr>
    </w:p>
    <w:p w:rsidR="00FB2BE5" w:rsidRPr="00D02BFE" w:rsidRDefault="00FB2BE5" w:rsidP="00E94283">
      <w:pPr>
        <w:spacing w:line="276" w:lineRule="auto"/>
        <w:jc w:val="both"/>
        <w:rPr>
          <w:sz w:val="24"/>
          <w:szCs w:val="24"/>
          <w:lang w:bidi="he-IL"/>
        </w:rPr>
      </w:pPr>
      <w:r w:rsidRPr="00D02BFE">
        <w:rPr>
          <w:rFonts w:hint="cs"/>
          <w:sz w:val="24"/>
          <w:szCs w:val="24"/>
          <w:rtl/>
          <w:lang w:bidi="he-IL"/>
        </w:rPr>
        <w:t>תוספות</w:t>
      </w:r>
      <w:r w:rsidRPr="00D02BFE">
        <w:rPr>
          <w:sz w:val="24"/>
          <w:szCs w:val="24"/>
          <w:lang w:bidi="he-IL"/>
        </w:rPr>
        <w:t xml:space="preserve"> </w:t>
      </w:r>
      <w:r w:rsidR="00E94283">
        <w:rPr>
          <w:sz w:val="24"/>
          <w:szCs w:val="24"/>
          <w:lang w:bidi="he-IL"/>
        </w:rPr>
        <w:t xml:space="preserve">responds to an </w:t>
      </w:r>
      <w:r w:rsidRPr="00D02BFE">
        <w:rPr>
          <w:sz w:val="24"/>
          <w:szCs w:val="24"/>
          <w:lang w:bidi="he-IL"/>
        </w:rPr>
        <w:t>anticipate</w:t>
      </w:r>
      <w:r w:rsidR="00E94283">
        <w:rPr>
          <w:sz w:val="24"/>
          <w:szCs w:val="24"/>
          <w:lang w:bidi="he-IL"/>
        </w:rPr>
        <w:t>d</w:t>
      </w:r>
      <w:r w:rsidRPr="00D02BFE">
        <w:rPr>
          <w:sz w:val="24"/>
          <w:szCs w:val="24"/>
          <w:lang w:bidi="he-IL"/>
        </w:rPr>
        <w:t xml:space="preserve"> a question: </w:t>
      </w:r>
    </w:p>
    <w:p w:rsidR="00E94283" w:rsidRPr="0057656A" w:rsidRDefault="00FB2BE5" w:rsidP="00295BB5">
      <w:pPr>
        <w:bidi/>
        <w:spacing w:line="276" w:lineRule="auto"/>
        <w:jc w:val="both"/>
        <w:rPr>
          <w:rFonts w:cs="David" w:hint="cs"/>
          <w:b/>
          <w:bCs/>
          <w:rtl/>
          <w:lang w:bidi="he-IL"/>
        </w:rPr>
      </w:pPr>
      <w:r w:rsidRPr="0057656A">
        <w:rPr>
          <w:rFonts w:cs="David" w:hint="cs"/>
          <w:b/>
          <w:bCs/>
          <w:rtl/>
          <w:lang w:bidi="he-IL"/>
        </w:rPr>
        <w:t>וברישא נאמנים</w:t>
      </w:r>
      <w:r w:rsidR="00E94283" w:rsidRPr="0057656A">
        <w:rPr>
          <w:rFonts w:cs="David" w:hint="cs"/>
          <w:b/>
          <w:bCs/>
          <w:rtl/>
          <w:lang w:bidi="he-IL"/>
        </w:rPr>
        <w:t xml:space="preserve"> משום דאי בעי שתקי</w:t>
      </w:r>
      <w:r w:rsidR="00295BB5">
        <w:rPr>
          <w:rFonts w:cs="David" w:hint="cs"/>
          <w:b/>
          <w:bCs/>
          <w:rtl/>
          <w:lang w:bidi="he-IL"/>
        </w:rPr>
        <w:t>:</w:t>
      </w:r>
      <w:r w:rsidR="00E94283" w:rsidRPr="0057656A">
        <w:rPr>
          <w:rStyle w:val="FootnoteReference"/>
          <w:rFonts w:cs="David"/>
          <w:b/>
          <w:bCs/>
          <w:sz w:val="24"/>
          <w:szCs w:val="24"/>
          <w:lang w:bidi="he-IL"/>
        </w:rPr>
        <w:footnoteReference w:id="8"/>
      </w:r>
      <w:r w:rsidR="00E94283" w:rsidRPr="0057656A">
        <w:rPr>
          <w:rFonts w:cs="David" w:hint="cs"/>
          <w:b/>
          <w:bCs/>
          <w:rtl/>
          <w:lang w:bidi="he-IL"/>
        </w:rPr>
        <w:t xml:space="preserve"> </w:t>
      </w:r>
    </w:p>
    <w:p w:rsidR="00E94283" w:rsidRDefault="00E94283" w:rsidP="00E94283">
      <w:pPr>
        <w:spacing w:line="276" w:lineRule="auto"/>
        <w:jc w:val="both"/>
        <w:rPr>
          <w:sz w:val="24"/>
          <w:szCs w:val="24"/>
          <w:lang w:bidi="he-IL"/>
        </w:rPr>
      </w:pPr>
      <w:r>
        <w:rPr>
          <w:b/>
          <w:bCs/>
          <w:lang w:bidi="he-IL"/>
        </w:rPr>
        <w:t>However, i</w:t>
      </w:r>
      <w:r w:rsidR="00FB2BE5">
        <w:rPr>
          <w:b/>
          <w:bCs/>
          <w:lang w:bidi="he-IL"/>
        </w:rPr>
        <w:t xml:space="preserve">n the </w:t>
      </w:r>
      <w:r w:rsidR="00FB2BE5">
        <w:rPr>
          <w:rFonts w:hint="cs"/>
          <w:b/>
          <w:bCs/>
          <w:rtl/>
          <w:lang w:bidi="he-IL"/>
        </w:rPr>
        <w:t>רישא</w:t>
      </w:r>
      <w:r w:rsidR="00FB2BE5">
        <w:rPr>
          <w:b/>
          <w:bCs/>
          <w:lang w:bidi="he-IL"/>
        </w:rPr>
        <w:t xml:space="preserve"> </w:t>
      </w:r>
      <w:r w:rsidR="00FB2BE5" w:rsidRPr="00FB2BE5">
        <w:rPr>
          <w:lang w:bidi="he-IL"/>
        </w:rPr>
        <w:t xml:space="preserve">of the </w:t>
      </w:r>
      <w:r w:rsidR="00FB2BE5" w:rsidRPr="00FB2BE5">
        <w:rPr>
          <w:rFonts w:hint="cs"/>
          <w:rtl/>
          <w:lang w:bidi="he-IL"/>
        </w:rPr>
        <w:t>משנה</w:t>
      </w:r>
      <w:r w:rsidR="00FB2BE5">
        <w:rPr>
          <w:lang w:bidi="he-IL"/>
        </w:rPr>
        <w:t xml:space="preserve"> the </w:t>
      </w:r>
      <w:r w:rsidR="00FB2BE5">
        <w:rPr>
          <w:rFonts w:hint="cs"/>
          <w:rtl/>
          <w:lang w:bidi="he-IL"/>
        </w:rPr>
        <w:t>עדים</w:t>
      </w:r>
      <w:r w:rsidR="00FB2BE5">
        <w:rPr>
          <w:lang w:bidi="he-IL"/>
        </w:rPr>
        <w:t xml:space="preserve"> </w:t>
      </w:r>
      <w:r w:rsidR="00FB2BE5" w:rsidRPr="00FB2BE5">
        <w:rPr>
          <w:b/>
          <w:bCs/>
          <w:lang w:bidi="he-IL"/>
        </w:rPr>
        <w:t>are believed</w:t>
      </w:r>
      <w:r w:rsidR="00FB2BE5">
        <w:rPr>
          <w:b/>
          <w:bCs/>
          <w:lang w:bidi="he-IL"/>
        </w:rPr>
        <w:t xml:space="preserve"> </w:t>
      </w:r>
      <w:r w:rsidR="00FB2BE5" w:rsidRPr="00D02BFE">
        <w:rPr>
          <w:sz w:val="24"/>
          <w:szCs w:val="24"/>
          <w:lang w:bidi="he-IL"/>
        </w:rPr>
        <w:t xml:space="preserve">on account of a </w:t>
      </w:r>
      <w:r w:rsidR="00FB2BE5" w:rsidRPr="00D02BFE">
        <w:rPr>
          <w:rFonts w:hint="cs"/>
          <w:sz w:val="24"/>
          <w:szCs w:val="24"/>
          <w:rtl/>
          <w:lang w:bidi="he-IL"/>
        </w:rPr>
        <w:t>מגו</w:t>
      </w:r>
      <w:r w:rsidR="00DF55FF">
        <w:rPr>
          <w:sz w:val="24"/>
          <w:szCs w:val="24"/>
          <w:lang w:bidi="he-IL"/>
        </w:rPr>
        <w:t>,</w:t>
      </w:r>
      <w:r w:rsidR="00FB2BE5" w:rsidRPr="00D02BFE">
        <w:rPr>
          <w:sz w:val="24"/>
          <w:szCs w:val="24"/>
          <w:lang w:bidi="he-IL"/>
        </w:rPr>
        <w:t xml:space="preserve"> to claim </w:t>
      </w:r>
      <w:r w:rsidR="00FB2BE5" w:rsidRPr="00D02BFE">
        <w:rPr>
          <w:rFonts w:hint="cs"/>
          <w:sz w:val="24"/>
          <w:szCs w:val="24"/>
          <w:rtl/>
          <w:lang w:bidi="he-IL"/>
        </w:rPr>
        <w:t>פסולי עדות היינו</w:t>
      </w:r>
      <w:r w:rsidR="00FB2BE5" w:rsidRPr="00D02BFE">
        <w:rPr>
          <w:sz w:val="24"/>
          <w:szCs w:val="24"/>
          <w:lang w:bidi="he-IL"/>
        </w:rPr>
        <w:t xml:space="preserve">. In the </w:t>
      </w:r>
      <w:r w:rsidR="00FB2BE5" w:rsidRPr="00D02BFE">
        <w:rPr>
          <w:rFonts w:hint="cs"/>
          <w:sz w:val="24"/>
          <w:szCs w:val="24"/>
          <w:rtl/>
          <w:lang w:bidi="he-IL"/>
        </w:rPr>
        <w:t>רישא</w:t>
      </w:r>
      <w:r w:rsidR="00FB2BE5" w:rsidRPr="00D02BFE">
        <w:rPr>
          <w:sz w:val="24"/>
          <w:szCs w:val="24"/>
          <w:lang w:bidi="he-IL"/>
        </w:rPr>
        <w:t xml:space="preserve"> </w:t>
      </w:r>
      <w:r>
        <w:rPr>
          <w:sz w:val="24"/>
          <w:szCs w:val="24"/>
          <w:lang w:bidi="he-IL"/>
        </w:rPr>
        <w:t>we do not say</w:t>
      </w:r>
      <w:r w:rsidR="00FB2BE5" w:rsidRPr="00D02BFE">
        <w:rPr>
          <w:sz w:val="24"/>
          <w:szCs w:val="24"/>
          <w:lang w:bidi="he-IL"/>
        </w:rPr>
        <w:t xml:space="preserve"> </w:t>
      </w:r>
      <w:r w:rsidR="00FB2BE5" w:rsidRPr="00D02BFE">
        <w:rPr>
          <w:rFonts w:hint="cs"/>
          <w:sz w:val="24"/>
          <w:szCs w:val="24"/>
          <w:rtl/>
          <w:lang w:bidi="he-IL"/>
        </w:rPr>
        <w:t>מגו בי תרי לא אמרינן</w:t>
      </w:r>
      <w:r w:rsidR="00FB2BE5" w:rsidRPr="00D02BFE">
        <w:rPr>
          <w:sz w:val="24"/>
          <w:szCs w:val="24"/>
          <w:lang w:bidi="he-IL"/>
        </w:rPr>
        <w:t>!</w:t>
      </w:r>
      <w:r>
        <w:rPr>
          <w:sz w:val="24"/>
          <w:szCs w:val="24"/>
          <w:lang w:bidi="he-IL"/>
        </w:rPr>
        <w:t xml:space="preserve"> B</w:t>
      </w:r>
      <w:r w:rsidR="00FB2BE5">
        <w:rPr>
          <w:b/>
          <w:bCs/>
          <w:lang w:bidi="he-IL"/>
        </w:rPr>
        <w:t xml:space="preserve">ecause if they chose </w:t>
      </w:r>
      <w:r w:rsidR="00FB2BE5">
        <w:rPr>
          <w:lang w:bidi="he-IL"/>
        </w:rPr>
        <w:t xml:space="preserve">they could have been </w:t>
      </w:r>
      <w:r w:rsidR="00FB2BE5">
        <w:rPr>
          <w:b/>
          <w:bCs/>
          <w:lang w:bidi="he-IL"/>
        </w:rPr>
        <w:t xml:space="preserve">silent </w:t>
      </w:r>
      <w:r w:rsidR="00FB2BE5" w:rsidRPr="00D02BFE">
        <w:rPr>
          <w:sz w:val="24"/>
          <w:szCs w:val="24"/>
          <w:lang w:bidi="he-IL"/>
        </w:rPr>
        <w:t xml:space="preserve">and not testify at all. The </w:t>
      </w:r>
      <w:r w:rsidR="00FB2BE5" w:rsidRPr="00D02BFE">
        <w:rPr>
          <w:rFonts w:hint="cs"/>
          <w:sz w:val="24"/>
          <w:szCs w:val="24"/>
          <w:rtl/>
          <w:lang w:bidi="he-IL"/>
        </w:rPr>
        <w:t>מגו</w:t>
      </w:r>
      <w:r w:rsidR="00FB2BE5" w:rsidRPr="00D02BFE">
        <w:rPr>
          <w:sz w:val="24"/>
          <w:szCs w:val="24"/>
          <w:lang w:bidi="he-IL"/>
        </w:rPr>
        <w:t xml:space="preserve"> of the </w:t>
      </w:r>
      <w:r w:rsidR="00FB2BE5" w:rsidRPr="00D02BFE">
        <w:rPr>
          <w:rFonts w:hint="cs"/>
          <w:sz w:val="24"/>
          <w:szCs w:val="24"/>
          <w:rtl/>
          <w:lang w:bidi="he-IL"/>
        </w:rPr>
        <w:t>רישא</w:t>
      </w:r>
      <w:r w:rsidR="00FB2BE5" w:rsidRPr="00D02BFE">
        <w:rPr>
          <w:sz w:val="24"/>
          <w:szCs w:val="24"/>
          <w:lang w:bidi="he-IL"/>
        </w:rPr>
        <w:t xml:space="preserve"> is that the </w:t>
      </w:r>
      <w:r w:rsidR="00FB2BE5" w:rsidRPr="00D02BFE">
        <w:rPr>
          <w:rFonts w:hint="cs"/>
          <w:sz w:val="24"/>
          <w:szCs w:val="24"/>
          <w:rtl/>
          <w:lang w:bidi="he-IL"/>
        </w:rPr>
        <w:t>עדים</w:t>
      </w:r>
      <w:r w:rsidR="00FB2BE5" w:rsidRPr="00D02BFE">
        <w:rPr>
          <w:sz w:val="24"/>
          <w:szCs w:val="24"/>
          <w:lang w:bidi="he-IL"/>
        </w:rPr>
        <w:t xml:space="preserve"> did not have to testify that </w:t>
      </w:r>
      <w:r w:rsidR="00FB2BE5" w:rsidRPr="00D02BFE">
        <w:rPr>
          <w:rFonts w:hint="cs"/>
          <w:sz w:val="24"/>
          <w:szCs w:val="24"/>
          <w:rtl/>
          <w:lang w:bidi="he-IL"/>
        </w:rPr>
        <w:t>כת"י הוא זה</w:t>
      </w:r>
      <w:r w:rsidR="00FB2BE5" w:rsidRPr="00D02BFE">
        <w:rPr>
          <w:sz w:val="24"/>
          <w:szCs w:val="24"/>
          <w:lang w:bidi="he-IL"/>
        </w:rPr>
        <w:t xml:space="preserve">, then there would be no </w:t>
      </w:r>
      <w:r w:rsidR="00FB2BE5" w:rsidRPr="00D02BFE">
        <w:rPr>
          <w:rFonts w:hint="cs"/>
          <w:sz w:val="24"/>
          <w:szCs w:val="24"/>
          <w:rtl/>
          <w:lang w:bidi="he-IL"/>
        </w:rPr>
        <w:t>שטר</w:t>
      </w:r>
      <w:r w:rsidR="00FB2BE5" w:rsidRPr="00D02BFE">
        <w:rPr>
          <w:sz w:val="24"/>
          <w:szCs w:val="24"/>
          <w:lang w:bidi="he-IL"/>
        </w:rPr>
        <w:t xml:space="preserve">. This type of a </w:t>
      </w:r>
      <w:r w:rsidR="00FB2BE5" w:rsidRPr="00D02BFE">
        <w:rPr>
          <w:rFonts w:hint="cs"/>
          <w:sz w:val="24"/>
          <w:szCs w:val="24"/>
          <w:rtl/>
          <w:lang w:bidi="he-IL"/>
        </w:rPr>
        <w:t>מגו</w:t>
      </w:r>
      <w:r w:rsidR="00FB2BE5" w:rsidRPr="00D02BFE">
        <w:rPr>
          <w:sz w:val="24"/>
          <w:szCs w:val="24"/>
          <w:lang w:bidi="he-IL"/>
        </w:rPr>
        <w:t xml:space="preserve"> that </w:t>
      </w:r>
      <w:r w:rsidR="00FB2BE5" w:rsidRPr="00D02BFE">
        <w:rPr>
          <w:rFonts w:hint="cs"/>
          <w:sz w:val="24"/>
          <w:szCs w:val="24"/>
          <w:rtl/>
          <w:lang w:bidi="he-IL"/>
        </w:rPr>
        <w:t>אי בעי שתקי</w:t>
      </w:r>
      <w:r w:rsidR="00FB2BE5" w:rsidRPr="00D02BFE">
        <w:rPr>
          <w:sz w:val="24"/>
          <w:szCs w:val="24"/>
          <w:lang w:bidi="he-IL"/>
        </w:rPr>
        <w:t xml:space="preserve"> is effective even by two </w:t>
      </w:r>
      <w:r w:rsidR="00FB2BE5" w:rsidRPr="00D02BFE">
        <w:rPr>
          <w:rFonts w:hint="cs"/>
          <w:sz w:val="24"/>
          <w:szCs w:val="24"/>
          <w:rtl/>
          <w:lang w:bidi="he-IL"/>
        </w:rPr>
        <w:t>עדים</w:t>
      </w:r>
      <w:r>
        <w:rPr>
          <w:sz w:val="24"/>
          <w:szCs w:val="24"/>
          <w:lang w:bidi="he-IL"/>
        </w:rPr>
        <w:t>.</w:t>
      </w:r>
      <w:r w:rsidRPr="00E94283">
        <w:rPr>
          <w:rStyle w:val="FootnoteReference"/>
          <w:sz w:val="24"/>
          <w:szCs w:val="24"/>
          <w:rtl/>
          <w:lang w:bidi="he-IL"/>
        </w:rPr>
        <w:t xml:space="preserve"> </w:t>
      </w:r>
      <w:r w:rsidRPr="00D02BFE">
        <w:rPr>
          <w:rStyle w:val="FootnoteReference"/>
          <w:sz w:val="24"/>
          <w:szCs w:val="24"/>
          <w:rtl/>
          <w:lang w:bidi="he-IL"/>
        </w:rPr>
        <w:footnoteReference w:id="9"/>
      </w:r>
    </w:p>
    <w:p w:rsidR="004C3F0D" w:rsidRDefault="004C3F0D" w:rsidP="006C4945">
      <w:pPr>
        <w:spacing w:line="276" w:lineRule="auto"/>
        <w:jc w:val="both"/>
        <w:rPr>
          <w:sz w:val="24"/>
          <w:szCs w:val="24"/>
          <w:lang w:bidi="he-IL"/>
        </w:rPr>
      </w:pPr>
    </w:p>
    <w:p w:rsidR="004C3F0D" w:rsidRPr="00E94283" w:rsidRDefault="004C3F0D" w:rsidP="006C4945">
      <w:pPr>
        <w:spacing w:line="276" w:lineRule="auto"/>
        <w:jc w:val="both"/>
        <w:rPr>
          <w:rFonts w:ascii="Copperplate Gothic Bold" w:hAnsi="Copperplate Gothic Bold"/>
          <w:u w:val="double"/>
          <w:lang w:bidi="he-IL"/>
        </w:rPr>
      </w:pPr>
      <w:r w:rsidRPr="00E94283">
        <w:rPr>
          <w:rFonts w:ascii="Copperplate Gothic Bold" w:hAnsi="Copperplate Gothic Bold"/>
          <w:u w:val="double"/>
          <w:lang w:bidi="he-IL"/>
        </w:rPr>
        <w:t>Summary</w:t>
      </w:r>
    </w:p>
    <w:p w:rsidR="004C3F0D" w:rsidRDefault="004C3F0D" w:rsidP="006C4945">
      <w:pPr>
        <w:spacing w:line="276" w:lineRule="auto"/>
        <w:jc w:val="both"/>
        <w:rPr>
          <w:lang w:bidi="he-IL"/>
        </w:rPr>
      </w:pPr>
      <w:r>
        <w:rPr>
          <w:lang w:bidi="he-IL"/>
        </w:rPr>
        <w:t xml:space="preserve">The </w:t>
      </w:r>
      <w:r>
        <w:rPr>
          <w:rFonts w:hint="cs"/>
          <w:rtl/>
          <w:lang w:bidi="he-IL"/>
        </w:rPr>
        <w:t>עדי השטר</w:t>
      </w:r>
      <w:r>
        <w:rPr>
          <w:lang w:bidi="he-IL"/>
        </w:rPr>
        <w:t xml:space="preserve"> are not believed to claim </w:t>
      </w:r>
      <w:r>
        <w:rPr>
          <w:rFonts w:hint="cs"/>
          <w:rtl/>
          <w:lang w:bidi="he-IL"/>
        </w:rPr>
        <w:t>פסולים היינו</w:t>
      </w:r>
      <w:r>
        <w:rPr>
          <w:lang w:bidi="he-IL"/>
        </w:rPr>
        <w:t xml:space="preserve"> (if the </w:t>
      </w:r>
      <w:r>
        <w:rPr>
          <w:rFonts w:hint="cs"/>
          <w:rtl/>
          <w:lang w:bidi="he-IL"/>
        </w:rPr>
        <w:t>שטר</w:t>
      </w:r>
      <w:r>
        <w:rPr>
          <w:lang w:bidi="he-IL"/>
        </w:rPr>
        <w:t xml:space="preserve"> was </w:t>
      </w:r>
      <w:r>
        <w:rPr>
          <w:rFonts w:hint="cs"/>
          <w:rtl/>
          <w:lang w:bidi="he-IL"/>
        </w:rPr>
        <w:t>מקוים</w:t>
      </w:r>
      <w:r>
        <w:rPr>
          <w:lang w:bidi="he-IL"/>
        </w:rPr>
        <w:t xml:space="preserve">) with a </w:t>
      </w:r>
      <w:r>
        <w:rPr>
          <w:rFonts w:hint="cs"/>
          <w:rtl/>
          <w:lang w:bidi="he-IL"/>
        </w:rPr>
        <w:t>מגו</w:t>
      </w:r>
      <w:r>
        <w:rPr>
          <w:lang w:bidi="he-IL"/>
        </w:rPr>
        <w:t xml:space="preserve"> of </w:t>
      </w:r>
      <w:r>
        <w:rPr>
          <w:rFonts w:hint="cs"/>
          <w:rtl/>
          <w:lang w:bidi="he-IL"/>
        </w:rPr>
        <w:t>פרוע</w:t>
      </w:r>
      <w:r>
        <w:rPr>
          <w:lang w:bidi="he-IL"/>
        </w:rPr>
        <w:t xml:space="preserve"> because: a) it is a </w:t>
      </w:r>
      <w:r>
        <w:rPr>
          <w:rFonts w:hint="cs"/>
          <w:rtl/>
          <w:lang w:bidi="he-IL"/>
        </w:rPr>
        <w:t>מגו במקום עדים</w:t>
      </w:r>
      <w:r>
        <w:rPr>
          <w:lang w:bidi="he-IL"/>
        </w:rPr>
        <w:t xml:space="preserve">, b) they are </w:t>
      </w:r>
      <w:r>
        <w:rPr>
          <w:rFonts w:hint="cs"/>
          <w:rtl/>
          <w:lang w:bidi="he-IL"/>
        </w:rPr>
        <w:t>חוזר ומגיד</w:t>
      </w:r>
      <w:r>
        <w:rPr>
          <w:lang w:bidi="he-IL"/>
        </w:rPr>
        <w:t xml:space="preserve">, and c) </w:t>
      </w:r>
      <w:r>
        <w:rPr>
          <w:rFonts w:hint="cs"/>
          <w:rtl/>
          <w:lang w:bidi="he-IL"/>
        </w:rPr>
        <w:t>מגו בי תרי לא אמרינן</w:t>
      </w:r>
      <w:r>
        <w:rPr>
          <w:lang w:bidi="he-IL"/>
        </w:rPr>
        <w:t xml:space="preserve"> except for a </w:t>
      </w:r>
      <w:r>
        <w:rPr>
          <w:rFonts w:hint="cs"/>
          <w:rtl/>
          <w:lang w:bidi="he-IL"/>
        </w:rPr>
        <w:t>מגו דאי בעי שתקי</w:t>
      </w:r>
      <w:r>
        <w:rPr>
          <w:lang w:bidi="he-IL"/>
        </w:rPr>
        <w:t>.</w:t>
      </w:r>
    </w:p>
    <w:p w:rsidR="004C3F0D" w:rsidRPr="00E94283" w:rsidRDefault="004C3F0D" w:rsidP="006C4945">
      <w:pPr>
        <w:spacing w:line="276" w:lineRule="auto"/>
        <w:jc w:val="both"/>
        <w:rPr>
          <w:rFonts w:ascii="Copperplate Gothic Bold" w:hAnsi="Copperplate Gothic Bold"/>
          <w:u w:val="double"/>
          <w:lang w:bidi="he-IL"/>
        </w:rPr>
      </w:pPr>
      <w:r w:rsidRPr="00E94283">
        <w:rPr>
          <w:rFonts w:ascii="Copperplate Gothic Bold" w:hAnsi="Copperplate Gothic Bold"/>
          <w:u w:val="double"/>
          <w:lang w:bidi="he-IL"/>
        </w:rPr>
        <w:lastRenderedPageBreak/>
        <w:t>Thinking it over</w:t>
      </w:r>
    </w:p>
    <w:p w:rsidR="004C3F0D" w:rsidRDefault="004C3F0D" w:rsidP="006C4945">
      <w:pPr>
        <w:spacing w:line="276" w:lineRule="auto"/>
        <w:jc w:val="both"/>
        <w:rPr>
          <w:lang w:bidi="he-IL"/>
        </w:rPr>
      </w:pPr>
      <w:r>
        <w:rPr>
          <w:lang w:bidi="he-IL"/>
        </w:rPr>
        <w:t xml:space="preserve">1. What is the claim of the </w:t>
      </w:r>
      <w:r>
        <w:rPr>
          <w:rFonts w:hint="cs"/>
          <w:rtl/>
          <w:lang w:bidi="he-IL"/>
        </w:rPr>
        <w:t>לוה</w:t>
      </w:r>
      <w:r>
        <w:rPr>
          <w:lang w:bidi="he-IL"/>
        </w:rPr>
        <w:t xml:space="preserve">; is it </w:t>
      </w:r>
      <w:r>
        <w:rPr>
          <w:rFonts w:hint="cs"/>
          <w:rtl/>
          <w:lang w:bidi="he-IL"/>
        </w:rPr>
        <w:t>פרוע</w:t>
      </w:r>
      <w:r>
        <w:rPr>
          <w:lang w:bidi="he-IL"/>
        </w:rPr>
        <w:t xml:space="preserve"> or </w:t>
      </w:r>
      <w:r>
        <w:rPr>
          <w:rFonts w:hint="cs"/>
          <w:rtl/>
          <w:lang w:bidi="he-IL"/>
        </w:rPr>
        <w:t>מזוייף</w:t>
      </w:r>
      <w:r>
        <w:rPr>
          <w:lang w:bidi="he-IL"/>
        </w:rPr>
        <w:t xml:space="preserve"> or something else</w:t>
      </w:r>
      <w:r w:rsidR="00355F73">
        <w:rPr>
          <w:lang w:bidi="he-IL"/>
        </w:rPr>
        <w:t>?</w:t>
      </w:r>
      <w:r w:rsidR="00355F73">
        <w:rPr>
          <w:rStyle w:val="FootnoteReference"/>
          <w:lang w:bidi="he-IL"/>
        </w:rPr>
        <w:footnoteReference w:id="10"/>
      </w:r>
    </w:p>
    <w:p w:rsidR="00355F73" w:rsidRDefault="00355F73" w:rsidP="006C4945">
      <w:pPr>
        <w:spacing w:line="276" w:lineRule="auto"/>
        <w:jc w:val="both"/>
        <w:rPr>
          <w:lang w:bidi="he-IL"/>
        </w:rPr>
      </w:pPr>
    </w:p>
    <w:p w:rsidR="00355F73" w:rsidRPr="004C3F0D" w:rsidRDefault="00355F73" w:rsidP="00E94283">
      <w:pPr>
        <w:spacing w:line="276" w:lineRule="auto"/>
        <w:jc w:val="both"/>
        <w:rPr>
          <w:lang w:bidi="he-IL"/>
        </w:rPr>
      </w:pPr>
      <w:r>
        <w:rPr>
          <w:lang w:bidi="he-IL"/>
        </w:rPr>
        <w:t xml:space="preserve">2. </w:t>
      </w:r>
      <w:r>
        <w:rPr>
          <w:rFonts w:hint="cs"/>
          <w:rtl/>
          <w:lang w:bidi="he-IL"/>
        </w:rPr>
        <w:t>תוספות</w:t>
      </w:r>
      <w:r>
        <w:rPr>
          <w:lang w:bidi="he-IL"/>
        </w:rPr>
        <w:t xml:space="preserve"> answers that it is a </w:t>
      </w:r>
      <w:r>
        <w:rPr>
          <w:rFonts w:hint="cs"/>
          <w:rtl/>
          <w:lang w:bidi="he-IL"/>
        </w:rPr>
        <w:t>חוזר ומגיד</w:t>
      </w:r>
      <w:r>
        <w:rPr>
          <w:lang w:bidi="he-IL"/>
        </w:rPr>
        <w:t>.</w:t>
      </w:r>
      <w:r w:rsidR="00604D3D">
        <w:rPr>
          <w:rStyle w:val="FootnoteReference"/>
          <w:lang w:bidi="he-IL"/>
        </w:rPr>
        <w:footnoteReference w:id="11"/>
      </w:r>
      <w:r>
        <w:rPr>
          <w:lang w:bidi="he-IL"/>
        </w:rPr>
        <w:t xml:space="preserve"> Seemingly </w:t>
      </w:r>
      <w:r>
        <w:rPr>
          <w:rFonts w:hint="cs"/>
          <w:rtl/>
          <w:lang w:bidi="he-IL"/>
        </w:rPr>
        <w:t>תוספות</w:t>
      </w:r>
      <w:r>
        <w:rPr>
          <w:lang w:bidi="he-IL"/>
        </w:rPr>
        <w:t xml:space="preserve"> question was that they should be believed because of a </w:t>
      </w:r>
      <w:r>
        <w:rPr>
          <w:rFonts w:hint="cs"/>
          <w:rtl/>
          <w:lang w:bidi="he-IL"/>
        </w:rPr>
        <w:t>מיגו</w:t>
      </w:r>
      <w:r>
        <w:rPr>
          <w:lang w:bidi="he-IL"/>
        </w:rPr>
        <w:t xml:space="preserve">; not because of </w:t>
      </w:r>
      <w:r>
        <w:rPr>
          <w:rFonts w:hint="cs"/>
          <w:rtl/>
          <w:lang w:bidi="he-IL"/>
        </w:rPr>
        <w:t>הגדת עדות</w:t>
      </w:r>
      <w:r>
        <w:rPr>
          <w:lang w:bidi="he-IL"/>
        </w:rPr>
        <w:t xml:space="preserve">. By </w:t>
      </w:r>
      <w:r>
        <w:rPr>
          <w:rFonts w:hint="cs"/>
          <w:rtl/>
          <w:lang w:bidi="he-IL"/>
        </w:rPr>
        <w:t>מיגו</w:t>
      </w:r>
      <w:r>
        <w:rPr>
          <w:lang w:bidi="he-IL"/>
        </w:rPr>
        <w:t xml:space="preserve"> there is no problem with </w:t>
      </w:r>
      <w:r>
        <w:rPr>
          <w:rFonts w:hint="cs"/>
          <w:rtl/>
          <w:lang w:bidi="he-IL"/>
        </w:rPr>
        <w:t>חוזר ומגיד</w:t>
      </w:r>
      <w:r>
        <w:rPr>
          <w:lang w:bidi="he-IL"/>
        </w:rPr>
        <w:t xml:space="preserve">, as evidenced in the </w:t>
      </w:r>
      <w:r w:rsidR="00E94283">
        <w:rPr>
          <w:rFonts w:hint="cs"/>
          <w:rtl/>
          <w:lang w:bidi="he-IL"/>
        </w:rPr>
        <w:t>ר</w:t>
      </w:r>
      <w:r>
        <w:rPr>
          <w:rFonts w:hint="cs"/>
          <w:rtl/>
          <w:lang w:bidi="he-IL"/>
        </w:rPr>
        <w:t>ישא</w:t>
      </w:r>
      <w:r>
        <w:rPr>
          <w:lang w:bidi="he-IL"/>
        </w:rPr>
        <w:t>.</w:t>
      </w:r>
      <w:r w:rsidR="00E94283">
        <w:rPr>
          <w:rStyle w:val="FootnoteReference"/>
          <w:lang w:bidi="he-IL"/>
        </w:rPr>
        <w:footnoteReference w:id="12"/>
      </w:r>
      <w:r>
        <w:rPr>
          <w:lang w:bidi="he-IL"/>
        </w:rPr>
        <w:t xml:space="preserve"> </w:t>
      </w:r>
    </w:p>
    <w:sectPr w:rsidR="00355F73" w:rsidRPr="004C3F0D" w:rsidSect="00DF55FF">
      <w:headerReference w:type="default" r:id="rId6"/>
      <w:footerReference w:type="even" r:id="rId7"/>
      <w:footerReference w:type="default" r:id="rId8"/>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041" w:rsidRDefault="00122041">
      <w:r>
        <w:separator/>
      </w:r>
    </w:p>
  </w:endnote>
  <w:endnote w:type="continuationSeparator" w:id="0">
    <w:p w:rsidR="00122041" w:rsidRDefault="00122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5FF" w:rsidRDefault="00DF55FF" w:rsidP="000643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F55FF" w:rsidRDefault="00DF55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FB1" w:rsidRDefault="00A30FB1">
    <w:pPr>
      <w:pStyle w:val="Footer"/>
      <w:jc w:val="center"/>
      <w:rPr>
        <w:noProof/>
        <w:sz w:val="16"/>
        <w:szCs w:val="16"/>
      </w:rPr>
    </w:pPr>
    <w:r w:rsidRPr="00A30FB1">
      <w:rPr>
        <w:sz w:val="20"/>
        <w:szCs w:val="20"/>
      </w:rPr>
      <w:fldChar w:fldCharType="begin"/>
    </w:r>
    <w:r w:rsidRPr="00A30FB1">
      <w:rPr>
        <w:sz w:val="20"/>
        <w:szCs w:val="20"/>
      </w:rPr>
      <w:instrText xml:space="preserve"> PAGE   \* MERGEFORMAT </w:instrText>
    </w:r>
    <w:r w:rsidRPr="00A30FB1">
      <w:rPr>
        <w:sz w:val="20"/>
        <w:szCs w:val="20"/>
      </w:rPr>
      <w:fldChar w:fldCharType="separate"/>
    </w:r>
    <w:r w:rsidR="00CD1672">
      <w:rPr>
        <w:noProof/>
        <w:sz w:val="20"/>
        <w:szCs w:val="20"/>
      </w:rPr>
      <w:t>3</w:t>
    </w:r>
    <w:r w:rsidRPr="00A30FB1">
      <w:rPr>
        <w:noProof/>
        <w:sz w:val="20"/>
        <w:szCs w:val="20"/>
      </w:rPr>
      <w:fldChar w:fldCharType="end"/>
    </w:r>
  </w:p>
  <w:p w:rsidR="00A30FB1" w:rsidRPr="00A30FB1" w:rsidRDefault="00A30FB1">
    <w:pPr>
      <w:pStyle w:val="Footer"/>
      <w:jc w:val="center"/>
      <w:rPr>
        <w:sz w:val="16"/>
        <w:szCs w:val="16"/>
      </w:rPr>
    </w:pPr>
    <w:r>
      <w:rPr>
        <w:noProof/>
        <w:sz w:val="16"/>
        <w:szCs w:val="16"/>
      </w:rPr>
      <w:t>TosfosInEnglish.com</w:t>
    </w:r>
  </w:p>
  <w:p w:rsidR="00DF55FF" w:rsidRPr="006A2186" w:rsidRDefault="00DF55FF" w:rsidP="006A2186">
    <w:pPr>
      <w:pStyle w:val="Footer"/>
      <w:jc w:val="center"/>
      <w:rPr>
        <w:sz w:val="16"/>
        <w:szCs w:val="16"/>
        <w:lang w:bidi="he-I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041" w:rsidRDefault="00122041">
      <w:r>
        <w:separator/>
      </w:r>
    </w:p>
  </w:footnote>
  <w:footnote w:type="continuationSeparator" w:id="0">
    <w:p w:rsidR="00122041" w:rsidRDefault="00122041">
      <w:r>
        <w:continuationSeparator/>
      </w:r>
    </w:p>
  </w:footnote>
  <w:footnote w:id="1">
    <w:p w:rsidR="00DF55FF" w:rsidRDefault="00DF55FF" w:rsidP="000928F7">
      <w:pPr>
        <w:pStyle w:val="FootnoteText"/>
        <w:widowControl w:val="0"/>
        <w:spacing w:line="264" w:lineRule="auto"/>
        <w:jc w:val="both"/>
        <w:rPr>
          <w:lang w:bidi="he-IL"/>
        </w:rPr>
      </w:pPr>
      <w:r>
        <w:rPr>
          <w:rStyle w:val="FootnoteReference"/>
        </w:rPr>
        <w:footnoteRef/>
      </w:r>
      <w:r>
        <w:t xml:space="preserve"> There is a dispute whether they are not believed at all and it is a </w:t>
      </w:r>
      <w:r>
        <w:rPr>
          <w:rFonts w:hint="cs"/>
          <w:rtl/>
          <w:lang w:bidi="he-IL"/>
        </w:rPr>
        <w:t>שטר כשר</w:t>
      </w:r>
      <w:r>
        <w:rPr>
          <w:lang w:bidi="he-IL"/>
        </w:rPr>
        <w:t xml:space="preserve">, or they are not believed to nullify the </w:t>
      </w:r>
      <w:r>
        <w:rPr>
          <w:rFonts w:hint="cs"/>
          <w:rtl/>
          <w:lang w:bidi="he-IL"/>
        </w:rPr>
        <w:t>שטר</w:t>
      </w:r>
      <w:r>
        <w:rPr>
          <w:lang w:bidi="he-IL"/>
        </w:rPr>
        <w:t xml:space="preserve">; the status of the </w:t>
      </w:r>
      <w:r>
        <w:rPr>
          <w:rFonts w:hint="cs"/>
          <w:rtl/>
          <w:lang w:bidi="he-IL"/>
        </w:rPr>
        <w:t>שטר</w:t>
      </w:r>
      <w:r>
        <w:rPr>
          <w:lang w:bidi="he-IL"/>
        </w:rPr>
        <w:t xml:space="preserve"> remains suspended (see previous </w:t>
      </w:r>
      <w:r>
        <w:rPr>
          <w:rFonts w:hint="cs"/>
          <w:rtl/>
          <w:lang w:bidi="he-IL"/>
        </w:rPr>
        <w:t>תוספות ד"ה הרי</w:t>
      </w:r>
      <w:r>
        <w:rPr>
          <w:lang w:bidi="he-IL"/>
        </w:rPr>
        <w:t xml:space="preserve"> footnote # 1).</w:t>
      </w:r>
    </w:p>
  </w:footnote>
  <w:footnote w:id="2">
    <w:p w:rsidR="00651570" w:rsidRDefault="00651570" w:rsidP="000928F7">
      <w:pPr>
        <w:pStyle w:val="FootnoteText"/>
        <w:widowControl w:val="0"/>
        <w:spacing w:line="264" w:lineRule="auto"/>
        <w:jc w:val="both"/>
        <w:rPr>
          <w:lang w:bidi="he-IL"/>
        </w:rPr>
      </w:pPr>
      <w:r>
        <w:rPr>
          <w:rStyle w:val="FootnoteReference"/>
        </w:rPr>
        <w:footnoteRef/>
      </w:r>
      <w:r>
        <w:t xml:space="preserve"> </w:t>
      </w:r>
      <w:r>
        <w:rPr>
          <w:rFonts w:hint="cs"/>
          <w:rtl/>
          <w:lang w:bidi="he-IL"/>
        </w:rPr>
        <w:t>תוספות</w:t>
      </w:r>
      <w:r>
        <w:rPr>
          <w:lang w:bidi="he-IL"/>
        </w:rPr>
        <w:t xml:space="preserve"> uses the word </w:t>
      </w:r>
      <w:r w:rsidRPr="000928F7">
        <w:rPr>
          <w:rFonts w:hint="cs"/>
          <w:u w:val="single"/>
          <w:rtl/>
          <w:lang w:bidi="he-IL"/>
        </w:rPr>
        <w:t>הכא</w:t>
      </w:r>
      <w:r>
        <w:rPr>
          <w:lang w:bidi="he-IL"/>
        </w:rPr>
        <w:t xml:space="preserve"> to indicate that the ensuing answers are applicable only </w:t>
      </w:r>
      <w:r>
        <w:rPr>
          <w:rFonts w:hint="cs"/>
          <w:rtl/>
          <w:lang w:bidi="he-IL"/>
        </w:rPr>
        <w:t>'הכא'</w:t>
      </w:r>
      <w:r>
        <w:rPr>
          <w:lang w:bidi="he-IL"/>
        </w:rPr>
        <w:t xml:space="preserve">, according to the </w:t>
      </w:r>
      <w:r>
        <w:rPr>
          <w:rFonts w:hint="cs"/>
          <w:rtl/>
          <w:lang w:bidi="he-IL"/>
        </w:rPr>
        <w:t>מסקנא</w:t>
      </w:r>
      <w:r>
        <w:rPr>
          <w:lang w:bidi="he-IL"/>
        </w:rPr>
        <w:t xml:space="preserve"> that </w:t>
      </w:r>
      <w:r>
        <w:rPr>
          <w:rFonts w:hint="cs"/>
          <w:rtl/>
          <w:lang w:bidi="he-IL"/>
        </w:rPr>
        <w:t>כיון שהגיד שוב אינו חוזר ומגיד</w:t>
      </w:r>
      <w:r>
        <w:rPr>
          <w:lang w:bidi="he-IL"/>
        </w:rPr>
        <w:t xml:space="preserve">; however according to the </w:t>
      </w:r>
      <w:r>
        <w:rPr>
          <w:rFonts w:hint="cs"/>
          <w:rtl/>
          <w:lang w:bidi="he-IL"/>
        </w:rPr>
        <w:t>הו"א</w:t>
      </w:r>
      <w:r>
        <w:rPr>
          <w:lang w:bidi="he-IL"/>
        </w:rPr>
        <w:t xml:space="preserve"> of </w:t>
      </w:r>
      <w:r>
        <w:rPr>
          <w:rFonts w:hint="cs"/>
          <w:rtl/>
          <w:lang w:bidi="he-IL"/>
        </w:rPr>
        <w:t>רב"ח</w:t>
      </w:r>
      <w:r>
        <w:rPr>
          <w:lang w:bidi="he-IL"/>
        </w:rPr>
        <w:t>, these answers are not applicable. See</w:t>
      </w:r>
      <w:r w:rsidR="000928F7">
        <w:rPr>
          <w:lang w:bidi="he-IL"/>
        </w:rPr>
        <w:t xml:space="preserve"> [TIE]</w:t>
      </w:r>
      <w:r>
        <w:rPr>
          <w:lang w:bidi="he-IL"/>
        </w:rPr>
        <w:t xml:space="preserve"> ‘Thinking it over’ # 2 in </w:t>
      </w:r>
      <w:r>
        <w:rPr>
          <w:rFonts w:hint="cs"/>
          <w:rtl/>
          <w:lang w:bidi="he-IL"/>
        </w:rPr>
        <w:t>תוספות ד"ה מחמת</w:t>
      </w:r>
      <w:r w:rsidR="00A30FB1">
        <w:rPr>
          <w:lang w:bidi="he-IL"/>
        </w:rPr>
        <w:t xml:space="preserve"> on this </w:t>
      </w:r>
      <w:r w:rsidR="00A30FB1">
        <w:rPr>
          <w:rFonts w:hint="cs"/>
          <w:rtl/>
          <w:lang w:bidi="he-IL"/>
        </w:rPr>
        <w:t>עמוד</w:t>
      </w:r>
      <w:r>
        <w:rPr>
          <w:lang w:bidi="he-IL"/>
        </w:rPr>
        <w:t xml:space="preserve">. </w:t>
      </w:r>
    </w:p>
  </w:footnote>
  <w:footnote w:id="3">
    <w:p w:rsidR="006C4945" w:rsidRDefault="006C4945" w:rsidP="000928F7">
      <w:pPr>
        <w:pStyle w:val="FootnoteText"/>
        <w:widowControl w:val="0"/>
        <w:spacing w:line="264" w:lineRule="auto"/>
        <w:jc w:val="both"/>
        <w:rPr>
          <w:rFonts w:hint="cs"/>
          <w:rtl/>
          <w:lang w:bidi="he-IL"/>
        </w:rPr>
      </w:pPr>
      <w:r>
        <w:rPr>
          <w:rStyle w:val="FootnoteReference"/>
        </w:rPr>
        <w:footnoteRef/>
      </w:r>
      <w:r>
        <w:t xml:space="preserve"> They are believed to claim </w:t>
      </w:r>
      <w:r>
        <w:rPr>
          <w:rFonts w:hint="cs"/>
          <w:rtl/>
          <w:lang w:bidi="he-IL"/>
        </w:rPr>
        <w:t>פרוע</w:t>
      </w:r>
      <w:r>
        <w:rPr>
          <w:lang w:bidi="he-IL"/>
        </w:rPr>
        <w:t xml:space="preserve">, since that is not contradicting anything that was implied in the </w:t>
      </w:r>
      <w:r>
        <w:rPr>
          <w:rFonts w:hint="cs"/>
          <w:rtl/>
          <w:lang w:bidi="he-IL"/>
        </w:rPr>
        <w:t>שטר</w:t>
      </w:r>
    </w:p>
  </w:footnote>
  <w:footnote w:id="4">
    <w:p w:rsidR="000D5D9D" w:rsidRDefault="000D5D9D" w:rsidP="000D5D9D">
      <w:pPr>
        <w:pStyle w:val="FootnoteText"/>
        <w:spacing w:line="264" w:lineRule="auto"/>
        <w:jc w:val="both"/>
        <w:rPr>
          <w:lang w:bidi="he-IL"/>
        </w:rPr>
      </w:pPr>
      <w:r>
        <w:rPr>
          <w:rStyle w:val="FootnoteReference"/>
        </w:rPr>
        <w:footnoteRef/>
      </w:r>
      <w:r>
        <w:t xml:space="preserve"> </w:t>
      </w:r>
      <w:r>
        <w:rPr>
          <w:rFonts w:hint="cs"/>
          <w:rtl/>
          <w:lang w:bidi="he-IL"/>
        </w:rPr>
        <w:t>ד"ה הרי</w:t>
      </w:r>
      <w:r>
        <w:rPr>
          <w:lang w:bidi="he-IL"/>
        </w:rPr>
        <w:t xml:space="preserve">. A </w:t>
      </w:r>
      <w:r>
        <w:rPr>
          <w:rFonts w:hint="cs"/>
          <w:rtl/>
          <w:lang w:bidi="he-IL"/>
        </w:rPr>
        <w:t>מגו במקום עדים</w:t>
      </w:r>
      <w:r>
        <w:rPr>
          <w:lang w:bidi="he-IL"/>
        </w:rPr>
        <w:t xml:space="preserve"> means that the claim (not the </w:t>
      </w:r>
      <w:r>
        <w:rPr>
          <w:rFonts w:hint="cs"/>
          <w:rtl/>
          <w:lang w:bidi="he-IL"/>
        </w:rPr>
        <w:t>מגו</w:t>
      </w:r>
      <w:r>
        <w:rPr>
          <w:lang w:bidi="he-IL"/>
        </w:rPr>
        <w:t xml:space="preserve">) contradicts </w:t>
      </w:r>
      <w:r>
        <w:rPr>
          <w:rFonts w:hint="cs"/>
          <w:rtl/>
          <w:lang w:bidi="he-IL"/>
        </w:rPr>
        <w:t>עדים</w:t>
      </w:r>
      <w:r>
        <w:rPr>
          <w:lang w:bidi="he-IL"/>
        </w:rPr>
        <w:t>.</w:t>
      </w:r>
    </w:p>
  </w:footnote>
  <w:footnote w:id="5">
    <w:p w:rsidR="000D5D9D" w:rsidRDefault="000D5D9D" w:rsidP="000D5D9D">
      <w:pPr>
        <w:pStyle w:val="FootnoteText"/>
        <w:spacing w:line="264" w:lineRule="auto"/>
        <w:jc w:val="both"/>
      </w:pPr>
      <w:r>
        <w:rPr>
          <w:rStyle w:val="FootnoteReference"/>
        </w:rPr>
        <w:footnoteRef/>
      </w:r>
      <w:r>
        <w:t xml:space="preserve"> The necessity for an additional explanation may possibly be understood if the following is assumed: </w:t>
      </w:r>
      <w:r>
        <w:rPr>
          <w:rFonts w:hint="cs"/>
          <w:rtl/>
          <w:lang w:bidi="he-IL"/>
        </w:rPr>
        <w:t>אין נאמנים</w:t>
      </w:r>
      <w:r>
        <w:rPr>
          <w:lang w:bidi="he-IL"/>
        </w:rPr>
        <w:t xml:space="preserve"> means that they are not believed at all, and the </w:t>
      </w:r>
      <w:r>
        <w:rPr>
          <w:rFonts w:hint="cs"/>
          <w:rtl/>
          <w:lang w:bidi="he-IL"/>
        </w:rPr>
        <w:t>מלוה</w:t>
      </w:r>
      <w:r>
        <w:rPr>
          <w:lang w:bidi="he-IL"/>
        </w:rPr>
        <w:t xml:space="preserve"> can collect with this </w:t>
      </w:r>
      <w:r>
        <w:rPr>
          <w:rFonts w:hint="cs"/>
          <w:rtl/>
          <w:lang w:bidi="he-IL"/>
        </w:rPr>
        <w:t>שטר</w:t>
      </w:r>
      <w:r>
        <w:rPr>
          <w:lang w:bidi="he-IL"/>
        </w:rPr>
        <w:t xml:space="preserve">. </w:t>
      </w:r>
      <w:r>
        <w:rPr>
          <w:rFonts w:hint="cs"/>
          <w:rtl/>
          <w:lang w:bidi="he-IL"/>
        </w:rPr>
        <w:t>תוספות</w:t>
      </w:r>
      <w:r>
        <w:rPr>
          <w:lang w:bidi="he-IL"/>
        </w:rPr>
        <w:t xml:space="preserve"> question, that they should be believed with the </w:t>
      </w:r>
      <w:r>
        <w:rPr>
          <w:rFonts w:hint="cs"/>
          <w:rtl/>
          <w:lang w:bidi="he-IL"/>
        </w:rPr>
        <w:t>מגו</w:t>
      </w:r>
      <w:r>
        <w:rPr>
          <w:lang w:bidi="he-IL"/>
        </w:rPr>
        <w:t xml:space="preserve"> of </w:t>
      </w:r>
      <w:r>
        <w:rPr>
          <w:rFonts w:hint="cs"/>
          <w:rtl/>
          <w:lang w:bidi="he-IL"/>
        </w:rPr>
        <w:t>פרוע</w:t>
      </w:r>
      <w:r>
        <w:rPr>
          <w:lang w:bidi="he-IL"/>
        </w:rPr>
        <w:t xml:space="preserve">, is that the </w:t>
      </w:r>
      <w:r>
        <w:rPr>
          <w:rFonts w:hint="cs"/>
          <w:rtl/>
          <w:lang w:bidi="he-IL"/>
        </w:rPr>
        <w:t>שטר</w:t>
      </w:r>
      <w:r>
        <w:rPr>
          <w:lang w:bidi="he-IL"/>
        </w:rPr>
        <w:t xml:space="preserve"> should be destroyed, for if they would claim </w:t>
      </w:r>
      <w:r>
        <w:rPr>
          <w:rFonts w:hint="cs"/>
          <w:rtl/>
          <w:lang w:bidi="he-IL"/>
        </w:rPr>
        <w:t>פרוע</w:t>
      </w:r>
      <w:r>
        <w:rPr>
          <w:lang w:bidi="he-IL"/>
        </w:rPr>
        <w:t xml:space="preserve"> the </w:t>
      </w:r>
      <w:r>
        <w:rPr>
          <w:rFonts w:hint="cs"/>
          <w:rtl/>
          <w:lang w:bidi="he-IL"/>
        </w:rPr>
        <w:t>שטר</w:t>
      </w:r>
      <w:r>
        <w:rPr>
          <w:lang w:bidi="he-IL"/>
        </w:rPr>
        <w:t xml:space="preserve"> would be void. </w:t>
      </w:r>
      <w:r>
        <w:rPr>
          <w:rFonts w:hint="cs"/>
          <w:rtl/>
          <w:lang w:bidi="he-IL"/>
        </w:rPr>
        <w:t>תוספות</w:t>
      </w:r>
      <w:r>
        <w:rPr>
          <w:lang w:bidi="he-IL"/>
        </w:rPr>
        <w:t xml:space="preserve"> first answer that it is a </w:t>
      </w:r>
      <w:r>
        <w:rPr>
          <w:rFonts w:hint="cs"/>
          <w:rtl/>
          <w:lang w:bidi="he-IL"/>
        </w:rPr>
        <w:t>מגו במקום עדים</w:t>
      </w:r>
      <w:r>
        <w:rPr>
          <w:lang w:bidi="he-IL"/>
        </w:rPr>
        <w:t xml:space="preserve"> is sufficient to explain why the </w:t>
      </w:r>
      <w:r>
        <w:rPr>
          <w:rFonts w:hint="cs"/>
          <w:rtl/>
          <w:lang w:bidi="he-IL"/>
        </w:rPr>
        <w:t>שטר</w:t>
      </w:r>
      <w:r>
        <w:rPr>
          <w:lang w:bidi="he-IL"/>
        </w:rPr>
        <w:t xml:space="preserve"> cannot be destroyed since there is no </w:t>
      </w:r>
      <w:r>
        <w:rPr>
          <w:rFonts w:hint="cs"/>
          <w:rtl/>
          <w:lang w:bidi="he-IL"/>
        </w:rPr>
        <w:t>מגו</w:t>
      </w:r>
      <w:r>
        <w:rPr>
          <w:lang w:bidi="he-IL"/>
        </w:rPr>
        <w:t xml:space="preserve">. However, we still may not collect with this </w:t>
      </w:r>
      <w:r>
        <w:rPr>
          <w:rFonts w:hint="cs"/>
          <w:rtl/>
          <w:lang w:bidi="he-IL"/>
        </w:rPr>
        <w:t>שטר</w:t>
      </w:r>
      <w:r>
        <w:rPr>
          <w:lang w:bidi="he-IL"/>
        </w:rPr>
        <w:t xml:space="preserve">, since it is </w:t>
      </w:r>
      <w:r>
        <w:rPr>
          <w:rFonts w:hint="cs"/>
          <w:rtl/>
          <w:lang w:bidi="he-IL"/>
        </w:rPr>
        <w:t>תרי ותרי</w:t>
      </w:r>
      <w:r>
        <w:rPr>
          <w:lang w:bidi="he-IL"/>
        </w:rPr>
        <w:t xml:space="preserve">; the </w:t>
      </w:r>
      <w:r>
        <w:rPr>
          <w:rFonts w:hint="cs"/>
          <w:rtl/>
          <w:lang w:bidi="he-IL"/>
        </w:rPr>
        <w:t>שטר מקוים</w:t>
      </w:r>
      <w:r>
        <w:rPr>
          <w:lang w:bidi="he-IL"/>
        </w:rPr>
        <w:t xml:space="preserve"> versus their testimony that they were </w:t>
      </w:r>
      <w:r>
        <w:rPr>
          <w:rFonts w:hint="cs"/>
          <w:rtl/>
          <w:lang w:bidi="he-IL"/>
        </w:rPr>
        <w:t>פסולי עדות</w:t>
      </w:r>
      <w:r>
        <w:rPr>
          <w:lang w:bidi="he-IL"/>
        </w:rPr>
        <w:t xml:space="preserve">. The second answer is that </w:t>
      </w:r>
      <w:r>
        <w:rPr>
          <w:rFonts w:hint="cs"/>
          <w:rtl/>
          <w:lang w:bidi="he-IL"/>
        </w:rPr>
        <w:t>כיון שהגיד שוב אינו חוזר ומגיד</w:t>
      </w:r>
      <w:r>
        <w:rPr>
          <w:lang w:bidi="he-IL"/>
        </w:rPr>
        <w:t xml:space="preserve"> removes the </w:t>
      </w:r>
      <w:r>
        <w:rPr>
          <w:rFonts w:hint="cs"/>
          <w:rtl/>
          <w:lang w:bidi="he-IL"/>
        </w:rPr>
        <w:t>תרי ותרי</w:t>
      </w:r>
      <w:r>
        <w:rPr>
          <w:lang w:bidi="he-IL"/>
        </w:rPr>
        <w:t xml:space="preserve">; their second testimony is discarded. There is only the </w:t>
      </w:r>
      <w:r>
        <w:rPr>
          <w:rFonts w:hint="cs"/>
          <w:rtl/>
          <w:lang w:bidi="he-IL"/>
        </w:rPr>
        <w:t>שטר מקוים</w:t>
      </w:r>
      <w:r>
        <w:rPr>
          <w:lang w:bidi="he-IL"/>
        </w:rPr>
        <w:t xml:space="preserve">, and the </w:t>
      </w:r>
      <w:r>
        <w:rPr>
          <w:rFonts w:hint="cs"/>
          <w:rtl/>
          <w:lang w:bidi="he-IL"/>
        </w:rPr>
        <w:t>מלוה</w:t>
      </w:r>
      <w:r>
        <w:rPr>
          <w:lang w:bidi="he-IL"/>
        </w:rPr>
        <w:t xml:space="preserve"> can collect with this </w:t>
      </w:r>
      <w:r>
        <w:rPr>
          <w:rFonts w:hint="cs"/>
          <w:rtl/>
          <w:lang w:bidi="he-IL"/>
        </w:rPr>
        <w:t>שטר</w:t>
      </w:r>
      <w:r>
        <w:rPr>
          <w:lang w:bidi="he-IL"/>
        </w:rPr>
        <w:t xml:space="preserve">. The answer of </w:t>
      </w:r>
      <w:r>
        <w:rPr>
          <w:rFonts w:hint="cs"/>
          <w:rtl/>
          <w:lang w:bidi="he-IL"/>
        </w:rPr>
        <w:t>חוזר ומגיד</w:t>
      </w:r>
      <w:r>
        <w:rPr>
          <w:lang w:bidi="he-IL"/>
        </w:rPr>
        <w:t xml:space="preserve"> alone is also insufficient, for even though they cannot be believed as </w:t>
      </w:r>
      <w:r>
        <w:rPr>
          <w:rFonts w:hint="cs"/>
          <w:rtl/>
          <w:lang w:bidi="he-IL"/>
        </w:rPr>
        <w:t>עדים</w:t>
      </w:r>
      <w:r>
        <w:rPr>
          <w:lang w:bidi="he-IL"/>
        </w:rPr>
        <w:t xml:space="preserve">, nevertheless they should be believed on account of the </w:t>
      </w:r>
      <w:r>
        <w:rPr>
          <w:rFonts w:hint="cs"/>
          <w:rtl/>
          <w:lang w:bidi="he-IL"/>
        </w:rPr>
        <w:t>מגו</w:t>
      </w:r>
      <w:r>
        <w:rPr>
          <w:lang w:bidi="he-IL"/>
        </w:rPr>
        <w:t xml:space="preserve">; to have the </w:t>
      </w:r>
      <w:r>
        <w:rPr>
          <w:rFonts w:hint="cs"/>
          <w:rtl/>
          <w:lang w:bidi="he-IL"/>
        </w:rPr>
        <w:t>שטר</w:t>
      </w:r>
      <w:r>
        <w:rPr>
          <w:lang w:bidi="he-IL"/>
        </w:rPr>
        <w:t xml:space="preserve"> suspended. Therefore each answer complements the other. </w:t>
      </w:r>
      <w:r>
        <w:rPr>
          <w:rFonts w:hint="cs"/>
          <w:rtl/>
          <w:lang w:bidi="he-IL"/>
        </w:rPr>
        <w:t>וצע"ג</w:t>
      </w:r>
      <w:r>
        <w:rPr>
          <w:lang w:bidi="he-IL"/>
        </w:rPr>
        <w:t>.</w:t>
      </w:r>
      <w:r>
        <w:t xml:space="preserve"> See ‘Thinking it over’ # 2.</w:t>
      </w:r>
    </w:p>
  </w:footnote>
  <w:footnote w:id="6">
    <w:p w:rsidR="00604D3D" w:rsidRPr="00604D3D" w:rsidRDefault="00604D3D" w:rsidP="00604D3D">
      <w:pPr>
        <w:pStyle w:val="FootnoteText"/>
        <w:spacing w:line="264" w:lineRule="auto"/>
        <w:jc w:val="both"/>
        <w:rPr>
          <w:rFonts w:hint="cs"/>
          <w:rtl/>
          <w:lang w:bidi="he-IL"/>
        </w:rPr>
      </w:pPr>
      <w:r>
        <w:rPr>
          <w:rStyle w:val="FootnoteReference"/>
        </w:rPr>
        <w:footnoteRef/>
      </w:r>
      <w:r>
        <w:t xml:space="preserve"> Perhaps this answer applies even if we were to assume that this is not considered a </w:t>
      </w:r>
      <w:r>
        <w:rPr>
          <w:rFonts w:hint="cs"/>
          <w:rtl/>
          <w:lang w:bidi="he-IL"/>
        </w:rPr>
        <w:t>מגו במקום עדים</w:t>
      </w:r>
      <w:r>
        <w:rPr>
          <w:lang w:bidi="he-IL"/>
        </w:rPr>
        <w:t xml:space="preserve">. The fact that a </w:t>
      </w:r>
      <w:r>
        <w:rPr>
          <w:rFonts w:hint="cs"/>
          <w:rtl/>
          <w:lang w:bidi="he-IL"/>
        </w:rPr>
        <w:t>שטר</w:t>
      </w:r>
      <w:r>
        <w:rPr>
          <w:lang w:bidi="he-IL"/>
        </w:rPr>
        <w:t xml:space="preserve"> is </w:t>
      </w:r>
      <w:r>
        <w:rPr>
          <w:rFonts w:hint="cs"/>
          <w:rtl/>
          <w:lang w:bidi="he-IL"/>
        </w:rPr>
        <w:t>מקוים</w:t>
      </w:r>
      <w:r>
        <w:rPr>
          <w:lang w:bidi="he-IL"/>
        </w:rPr>
        <w:t xml:space="preserve"> does not necessarily create an actual </w:t>
      </w:r>
      <w:r>
        <w:rPr>
          <w:rFonts w:hint="cs"/>
          <w:rtl/>
          <w:lang w:bidi="he-IL"/>
        </w:rPr>
        <w:t>אנן סהדי</w:t>
      </w:r>
      <w:r>
        <w:rPr>
          <w:lang w:bidi="he-IL"/>
        </w:rPr>
        <w:t xml:space="preserve"> that they are </w:t>
      </w:r>
      <w:r>
        <w:rPr>
          <w:rFonts w:hint="cs"/>
          <w:rtl/>
          <w:lang w:bidi="he-IL"/>
        </w:rPr>
        <w:t>עדים כשרים</w:t>
      </w:r>
      <w:r>
        <w:rPr>
          <w:lang w:bidi="he-IL"/>
        </w:rPr>
        <w:t xml:space="preserve">, especially if the </w:t>
      </w:r>
      <w:r>
        <w:rPr>
          <w:rFonts w:hint="cs"/>
          <w:rtl/>
          <w:lang w:bidi="he-IL"/>
        </w:rPr>
        <w:t>עדי השטר</w:t>
      </w:r>
      <w:r>
        <w:rPr>
          <w:lang w:bidi="he-IL"/>
        </w:rPr>
        <w:t xml:space="preserve"> themselves claim that they were </w:t>
      </w:r>
      <w:r>
        <w:rPr>
          <w:rFonts w:hint="cs"/>
          <w:rtl/>
          <w:lang w:bidi="he-IL"/>
        </w:rPr>
        <w:t>פסולי עדות</w:t>
      </w:r>
      <w:r>
        <w:rPr>
          <w:lang w:bidi="he-IL"/>
        </w:rPr>
        <w:t xml:space="preserve">, and in addition they also have a </w:t>
      </w:r>
      <w:r>
        <w:rPr>
          <w:rFonts w:hint="cs"/>
          <w:rtl/>
          <w:lang w:bidi="he-IL"/>
        </w:rPr>
        <w:t>מגו</w:t>
      </w:r>
      <w:r>
        <w:rPr>
          <w:lang w:bidi="he-IL"/>
        </w:rPr>
        <w:t>.</w:t>
      </w:r>
    </w:p>
  </w:footnote>
  <w:footnote w:id="7">
    <w:p w:rsidR="00604D3D" w:rsidRPr="00604D3D" w:rsidRDefault="00604D3D" w:rsidP="00604D3D">
      <w:pPr>
        <w:pStyle w:val="FootnoteText"/>
        <w:spacing w:line="264" w:lineRule="auto"/>
        <w:jc w:val="both"/>
        <w:rPr>
          <w:rFonts w:hint="cs"/>
          <w:rtl/>
          <w:lang w:bidi="he-IL"/>
        </w:rPr>
      </w:pPr>
      <w:r>
        <w:rPr>
          <w:rStyle w:val="FootnoteReference"/>
        </w:rPr>
        <w:footnoteRef/>
      </w:r>
      <w:r>
        <w:t xml:space="preserve"> The popular explanation is that the idea of a </w:t>
      </w:r>
      <w:r>
        <w:rPr>
          <w:rFonts w:hint="cs"/>
          <w:rtl/>
          <w:lang w:bidi="he-IL"/>
        </w:rPr>
        <w:t>מגו</w:t>
      </w:r>
      <w:r>
        <w:rPr>
          <w:lang w:bidi="he-IL"/>
        </w:rPr>
        <w:t xml:space="preserve"> is that if he was lying he could have said a more effective lie. This proves he is telling the truth. If however there are two claimants, we suspect that perhaps they are lying and the reason they are not claiming the more effective lie is that each one thinks that the other may have not thought of the more effective lie. See </w:t>
      </w:r>
      <w:r>
        <w:rPr>
          <w:rFonts w:hint="cs"/>
          <w:rtl/>
          <w:lang w:bidi="he-IL"/>
        </w:rPr>
        <w:t>תוספות יט,ב ד"ה ואם</w:t>
      </w:r>
      <w:r>
        <w:rPr>
          <w:lang w:bidi="he-IL"/>
        </w:rPr>
        <w:t>.</w:t>
      </w:r>
    </w:p>
  </w:footnote>
  <w:footnote w:id="8">
    <w:p w:rsidR="00E94283" w:rsidRDefault="00E94283" w:rsidP="00E94283">
      <w:pPr>
        <w:pStyle w:val="FootnoteText"/>
        <w:spacing w:line="264" w:lineRule="auto"/>
        <w:jc w:val="both"/>
        <w:rPr>
          <w:lang w:bidi="he-IL"/>
        </w:rPr>
      </w:pPr>
      <w:r>
        <w:rPr>
          <w:rStyle w:val="FootnoteReference"/>
        </w:rPr>
        <w:footnoteRef/>
      </w:r>
      <w:r>
        <w:t xml:space="preserve"> It would seem from this answer that when the </w:t>
      </w:r>
      <w:r>
        <w:rPr>
          <w:rFonts w:hint="cs"/>
          <w:rtl/>
          <w:lang w:bidi="he-IL"/>
        </w:rPr>
        <w:t>משנה</w:t>
      </w:r>
      <w:r>
        <w:rPr>
          <w:lang w:bidi="he-IL"/>
        </w:rPr>
        <w:t xml:space="preserve"> states in the </w:t>
      </w:r>
      <w:r>
        <w:rPr>
          <w:rFonts w:hint="cs"/>
          <w:rtl/>
          <w:lang w:bidi="he-IL"/>
        </w:rPr>
        <w:t>רישא</w:t>
      </w:r>
      <w:r>
        <w:rPr>
          <w:lang w:bidi="he-IL"/>
        </w:rPr>
        <w:t xml:space="preserve">, that </w:t>
      </w:r>
      <w:r>
        <w:rPr>
          <w:rFonts w:hint="cs"/>
          <w:rtl/>
          <w:lang w:bidi="he-IL"/>
        </w:rPr>
        <w:t>הרי אלו נאמנים</w:t>
      </w:r>
      <w:r>
        <w:rPr>
          <w:lang w:bidi="he-IL"/>
        </w:rPr>
        <w:t xml:space="preserve">, it means they are believed (only) to suspend the </w:t>
      </w:r>
      <w:r>
        <w:rPr>
          <w:rFonts w:hint="cs"/>
          <w:rtl/>
          <w:lang w:bidi="he-IL"/>
        </w:rPr>
        <w:t>שטר</w:t>
      </w:r>
      <w:r>
        <w:rPr>
          <w:lang w:bidi="he-IL"/>
        </w:rPr>
        <w:t xml:space="preserve">, but not to destroy it. Their </w:t>
      </w:r>
      <w:r>
        <w:rPr>
          <w:rFonts w:hint="cs"/>
          <w:rtl/>
          <w:lang w:bidi="he-IL"/>
        </w:rPr>
        <w:t>מגו</w:t>
      </w:r>
      <w:r>
        <w:rPr>
          <w:lang w:bidi="he-IL"/>
        </w:rPr>
        <w:t xml:space="preserve"> is that </w:t>
      </w:r>
      <w:r>
        <w:rPr>
          <w:rFonts w:hint="cs"/>
          <w:rtl/>
          <w:lang w:bidi="he-IL"/>
        </w:rPr>
        <w:t>אי בעי שתקי</w:t>
      </w:r>
      <w:r>
        <w:rPr>
          <w:lang w:bidi="he-IL"/>
        </w:rPr>
        <w:t xml:space="preserve">, in which case the </w:t>
      </w:r>
      <w:r>
        <w:rPr>
          <w:rFonts w:hint="cs"/>
          <w:rtl/>
          <w:lang w:bidi="he-IL"/>
        </w:rPr>
        <w:t>שטר</w:t>
      </w:r>
      <w:r>
        <w:rPr>
          <w:lang w:bidi="he-IL"/>
        </w:rPr>
        <w:t xml:space="preserve"> would not be destroyed, but merely suspended.</w:t>
      </w:r>
    </w:p>
  </w:footnote>
  <w:footnote w:id="9">
    <w:p w:rsidR="00E94283" w:rsidRDefault="00E94283" w:rsidP="00A30FB1">
      <w:pPr>
        <w:pStyle w:val="FootnoteText"/>
        <w:spacing w:line="264" w:lineRule="auto"/>
        <w:jc w:val="both"/>
        <w:rPr>
          <w:lang w:bidi="he-IL"/>
        </w:rPr>
      </w:pPr>
      <w:r>
        <w:rPr>
          <w:rStyle w:val="FootnoteReference"/>
        </w:rPr>
        <w:footnoteRef/>
      </w:r>
      <w:r>
        <w:t xml:space="preserve"> One explanation is that there is no concern what the other </w:t>
      </w:r>
      <w:r>
        <w:rPr>
          <w:rFonts w:hint="cs"/>
          <w:rtl/>
          <w:lang w:bidi="he-IL"/>
        </w:rPr>
        <w:t>עד</w:t>
      </w:r>
      <w:r>
        <w:rPr>
          <w:lang w:bidi="he-IL"/>
        </w:rPr>
        <w:t xml:space="preserve"> will say (see previous footnote # </w:t>
      </w:r>
      <w:r w:rsidR="00A30FB1">
        <w:rPr>
          <w:lang w:bidi="he-IL"/>
        </w:rPr>
        <w:t>7</w:t>
      </w:r>
      <w:r>
        <w:rPr>
          <w:lang w:bidi="he-IL"/>
        </w:rPr>
        <w:t xml:space="preserve">); as long as one </w:t>
      </w:r>
      <w:r>
        <w:rPr>
          <w:rFonts w:hint="cs"/>
          <w:rtl/>
          <w:lang w:bidi="he-IL"/>
        </w:rPr>
        <w:t>עד</w:t>
      </w:r>
      <w:r>
        <w:rPr>
          <w:lang w:bidi="he-IL"/>
        </w:rPr>
        <w:t xml:space="preserve"> will not testify, the </w:t>
      </w:r>
      <w:r>
        <w:rPr>
          <w:rFonts w:hint="cs"/>
          <w:rtl/>
          <w:lang w:bidi="he-IL"/>
        </w:rPr>
        <w:t>שטר</w:t>
      </w:r>
      <w:r>
        <w:rPr>
          <w:lang w:bidi="he-IL"/>
        </w:rPr>
        <w:t xml:space="preserve"> will not be </w:t>
      </w:r>
      <w:r>
        <w:rPr>
          <w:rFonts w:hint="cs"/>
          <w:rtl/>
          <w:lang w:bidi="he-IL"/>
        </w:rPr>
        <w:t>מקוים</w:t>
      </w:r>
      <w:r>
        <w:rPr>
          <w:lang w:bidi="he-IL"/>
        </w:rPr>
        <w:t xml:space="preserve">. Another explanation is that a </w:t>
      </w:r>
      <w:r>
        <w:rPr>
          <w:rFonts w:hint="cs"/>
          <w:rtl/>
          <w:lang w:bidi="he-IL"/>
        </w:rPr>
        <w:t>מגו דאי בעי שתקי</w:t>
      </w:r>
      <w:r>
        <w:rPr>
          <w:lang w:bidi="he-IL"/>
        </w:rPr>
        <w:t xml:space="preserve"> is so evident that no one doubts whether the other </w:t>
      </w:r>
      <w:r>
        <w:rPr>
          <w:rFonts w:hint="cs"/>
          <w:rtl/>
          <w:lang w:bidi="he-IL"/>
        </w:rPr>
        <w:t>עד</w:t>
      </w:r>
      <w:r>
        <w:rPr>
          <w:lang w:bidi="he-IL"/>
        </w:rPr>
        <w:t xml:space="preserve"> is aware of this option.</w:t>
      </w:r>
    </w:p>
  </w:footnote>
  <w:footnote w:id="10">
    <w:p w:rsidR="00DF55FF" w:rsidRDefault="00DF55FF" w:rsidP="00604D3D">
      <w:pPr>
        <w:pStyle w:val="FootnoteText"/>
        <w:widowControl w:val="0"/>
        <w:spacing w:line="264" w:lineRule="auto"/>
        <w:jc w:val="both"/>
        <w:rPr>
          <w:lang w:bidi="he-IL"/>
        </w:rPr>
      </w:pPr>
      <w:r>
        <w:rPr>
          <w:rStyle w:val="FootnoteReference"/>
        </w:rPr>
        <w:footnoteRef/>
      </w:r>
      <w:r>
        <w:t xml:space="preserve"> See </w:t>
      </w:r>
      <w:r>
        <w:rPr>
          <w:rFonts w:hint="cs"/>
          <w:rtl/>
          <w:lang w:bidi="he-IL"/>
        </w:rPr>
        <w:t>תוספות יט,א ד"ה טעמא</w:t>
      </w:r>
      <w:r>
        <w:rPr>
          <w:lang w:bidi="he-IL"/>
        </w:rPr>
        <w:t xml:space="preserve"> [footnote # </w:t>
      </w:r>
      <w:r w:rsidR="008D760E">
        <w:rPr>
          <w:rFonts w:hint="cs"/>
          <w:rtl/>
          <w:lang w:bidi="he-IL"/>
        </w:rPr>
        <w:t>8</w:t>
      </w:r>
      <w:r>
        <w:rPr>
          <w:lang w:bidi="he-IL"/>
        </w:rPr>
        <w:t>].</w:t>
      </w:r>
    </w:p>
  </w:footnote>
  <w:footnote w:id="11">
    <w:p w:rsidR="00604D3D" w:rsidRDefault="00604D3D" w:rsidP="00604D3D">
      <w:pPr>
        <w:pStyle w:val="FootnoteText"/>
        <w:widowControl w:val="0"/>
        <w:spacing w:line="264" w:lineRule="auto"/>
      </w:pPr>
      <w:r>
        <w:rPr>
          <w:rStyle w:val="FootnoteReference"/>
        </w:rPr>
        <w:footnoteRef/>
      </w:r>
      <w:r>
        <w:t xml:space="preserve"> See footnote # 5.</w:t>
      </w:r>
    </w:p>
  </w:footnote>
  <w:footnote w:id="12">
    <w:p w:rsidR="00E94283" w:rsidRDefault="00E94283" w:rsidP="00604D3D">
      <w:pPr>
        <w:pStyle w:val="FootnoteText"/>
        <w:widowControl w:val="0"/>
        <w:spacing w:line="264" w:lineRule="auto"/>
        <w:jc w:val="both"/>
        <w:rPr>
          <w:lang w:bidi="he-IL"/>
        </w:rPr>
      </w:pPr>
      <w:r>
        <w:rPr>
          <w:rStyle w:val="FootnoteReference"/>
        </w:rPr>
        <w:footnoteRef/>
      </w:r>
      <w:r>
        <w:t xml:space="preserve"> </w:t>
      </w:r>
      <w:r>
        <w:rPr>
          <w:rFonts w:hint="cs"/>
          <w:rtl/>
          <w:lang w:bidi="he-IL"/>
        </w:rPr>
        <w:t>קושיית הגרע"א</w:t>
      </w:r>
      <w:r>
        <w:rPr>
          <w:lang w:bidi="he-IL"/>
        </w:rPr>
        <w:t xml:space="preserve">. See </w:t>
      </w:r>
      <w:r>
        <w:rPr>
          <w:rFonts w:hint="cs"/>
          <w:rtl/>
          <w:lang w:bidi="he-IL"/>
        </w:rPr>
        <w:t>משכנות הרועים אות רג ורד</w:t>
      </w:r>
      <w:r>
        <w:rPr>
          <w:lang w:bidi="he-I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5FF" w:rsidRPr="006A2186" w:rsidRDefault="00DF55FF" w:rsidP="006A2186">
    <w:pPr>
      <w:pStyle w:val="Header"/>
      <w:jc w:val="right"/>
      <w:rPr>
        <w:rFonts w:hint="cs"/>
        <w:sz w:val="24"/>
        <w:szCs w:val="24"/>
        <w:rtl/>
        <w:lang w:bidi="he-IL"/>
      </w:rPr>
    </w:pPr>
    <w:r>
      <w:rPr>
        <w:rFonts w:hint="cs"/>
        <w:sz w:val="24"/>
        <w:szCs w:val="24"/>
        <w:rtl/>
        <w:lang w:bidi="he-IL"/>
      </w:rPr>
      <w:t>בס"ד. כתובות יח,ב תוס' ד"ה אין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2186"/>
    <w:rsid w:val="0006435A"/>
    <w:rsid w:val="000928F7"/>
    <w:rsid w:val="000D3DCA"/>
    <w:rsid w:val="000D5D9D"/>
    <w:rsid w:val="00122041"/>
    <w:rsid w:val="00122FD0"/>
    <w:rsid w:val="00184D2E"/>
    <w:rsid w:val="001869C2"/>
    <w:rsid w:val="0020216B"/>
    <w:rsid w:val="00210A1E"/>
    <w:rsid w:val="00236174"/>
    <w:rsid w:val="00295BB5"/>
    <w:rsid w:val="00355F73"/>
    <w:rsid w:val="00357900"/>
    <w:rsid w:val="003B795E"/>
    <w:rsid w:val="003F6705"/>
    <w:rsid w:val="00405065"/>
    <w:rsid w:val="00462255"/>
    <w:rsid w:val="004C3F0D"/>
    <w:rsid w:val="00533D23"/>
    <w:rsid w:val="0057656A"/>
    <w:rsid w:val="005E74E4"/>
    <w:rsid w:val="00604D3D"/>
    <w:rsid w:val="0064696C"/>
    <w:rsid w:val="00651570"/>
    <w:rsid w:val="006A2186"/>
    <w:rsid w:val="006C4945"/>
    <w:rsid w:val="00705C22"/>
    <w:rsid w:val="00752BAA"/>
    <w:rsid w:val="007552E7"/>
    <w:rsid w:val="007E7FC9"/>
    <w:rsid w:val="0084563F"/>
    <w:rsid w:val="00860862"/>
    <w:rsid w:val="00882453"/>
    <w:rsid w:val="0089054C"/>
    <w:rsid w:val="008D760E"/>
    <w:rsid w:val="00920434"/>
    <w:rsid w:val="00A00D00"/>
    <w:rsid w:val="00A30FB1"/>
    <w:rsid w:val="00A36261"/>
    <w:rsid w:val="00A41BDD"/>
    <w:rsid w:val="00A5199E"/>
    <w:rsid w:val="00AF5619"/>
    <w:rsid w:val="00B719C7"/>
    <w:rsid w:val="00B950E5"/>
    <w:rsid w:val="00BD5C0E"/>
    <w:rsid w:val="00C5731B"/>
    <w:rsid w:val="00CD1672"/>
    <w:rsid w:val="00D02BFE"/>
    <w:rsid w:val="00D54370"/>
    <w:rsid w:val="00D63394"/>
    <w:rsid w:val="00D80DE2"/>
    <w:rsid w:val="00DF55FF"/>
    <w:rsid w:val="00E77665"/>
    <w:rsid w:val="00E94283"/>
    <w:rsid w:val="00ED7F72"/>
    <w:rsid w:val="00F02811"/>
    <w:rsid w:val="00FB2BE5"/>
    <w:rsid w:val="00FC411C"/>
    <w:rsid w:val="00FD08B5"/>
    <w:rsid w:val="00FF2A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0D8B94B-0DE6-4DCA-8183-270B4619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lang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A2186"/>
    <w:pPr>
      <w:tabs>
        <w:tab w:val="center" w:pos="4320"/>
        <w:tab w:val="right" w:pos="8640"/>
      </w:tabs>
    </w:pPr>
  </w:style>
  <w:style w:type="paragraph" w:styleId="Footer">
    <w:name w:val="footer"/>
    <w:basedOn w:val="Normal"/>
    <w:link w:val="FooterChar"/>
    <w:uiPriority w:val="99"/>
    <w:rsid w:val="006A2186"/>
    <w:pPr>
      <w:tabs>
        <w:tab w:val="center" w:pos="4320"/>
        <w:tab w:val="right" w:pos="8640"/>
      </w:tabs>
    </w:pPr>
  </w:style>
  <w:style w:type="paragraph" w:styleId="FootnoteText">
    <w:name w:val="footnote text"/>
    <w:basedOn w:val="Normal"/>
    <w:semiHidden/>
    <w:rsid w:val="00E77665"/>
    <w:rPr>
      <w:sz w:val="20"/>
      <w:szCs w:val="20"/>
    </w:rPr>
  </w:style>
  <w:style w:type="character" w:styleId="FootnoteReference">
    <w:name w:val="footnote reference"/>
    <w:semiHidden/>
    <w:rsid w:val="00E77665"/>
    <w:rPr>
      <w:vertAlign w:val="superscript"/>
    </w:rPr>
  </w:style>
  <w:style w:type="character" w:styleId="PageNumber">
    <w:name w:val="page number"/>
    <w:basedOn w:val="DefaultParagraphFont"/>
    <w:rsid w:val="00C5731B"/>
  </w:style>
  <w:style w:type="character" w:customStyle="1" w:styleId="FooterChar">
    <w:name w:val="Footer Char"/>
    <w:link w:val="Footer"/>
    <w:uiPriority w:val="99"/>
    <w:rsid w:val="00A30FB1"/>
    <w:rPr>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אין נאמנים – They are not believed</vt:lpstr>
    </vt:vector>
  </TitlesOfParts>
  <Company>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אין נאמנים – They are not believed</dc:title>
  <dc:subject/>
  <dc:creator> </dc:creator>
  <cp:keywords/>
  <dc:description/>
  <cp:lastModifiedBy>Microsoft account</cp:lastModifiedBy>
  <cp:revision>2</cp:revision>
  <dcterms:created xsi:type="dcterms:W3CDTF">2022-04-05T10:44:00Z</dcterms:created>
  <dcterms:modified xsi:type="dcterms:W3CDTF">2022-04-05T10:44:00Z</dcterms:modified>
</cp:coreProperties>
</file>