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32C" w:rsidRDefault="00565279" w:rsidP="0038432C">
      <w:pPr>
        <w:bidi/>
        <w:spacing w:line="264" w:lineRule="auto"/>
        <w:jc w:val="both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</w:rPr>
        <w:t>ואין</w:t>
      </w:r>
      <w:r>
        <w:rPr>
          <w:rFonts w:hint="cs"/>
          <w:b/>
          <w:bCs/>
          <w:sz w:val="32"/>
          <w:szCs w:val="32"/>
          <w:rtl/>
        </w:rPr>
        <w:t xml:space="preserve"> אדם משים עצמו רשע</w:t>
      </w:r>
      <w:r>
        <w:rPr>
          <w:b/>
          <w:bCs/>
          <w:sz w:val="32"/>
          <w:szCs w:val="32"/>
        </w:rPr>
        <w:t xml:space="preserve"> – </w:t>
      </w:r>
    </w:p>
    <w:p w:rsidR="0005681E" w:rsidRDefault="00565279" w:rsidP="0038432C">
      <w:pPr>
        <w:spacing w:line="264" w:lineRule="auto"/>
        <w:jc w:val="both"/>
        <w:rPr>
          <w:b/>
          <w:bCs/>
        </w:rPr>
      </w:pPr>
      <w:r>
        <w:rPr>
          <w:b/>
          <w:bCs/>
          <w:sz w:val="32"/>
          <w:szCs w:val="32"/>
        </w:rPr>
        <w:t>And a person cannot commit himself as being wicked</w:t>
      </w:r>
      <w:r w:rsidR="00946F9E">
        <w:rPr>
          <w:b/>
          <w:bCs/>
          <w:sz w:val="32"/>
          <w:szCs w:val="32"/>
        </w:rPr>
        <w:t>.</w:t>
      </w:r>
    </w:p>
    <w:p w:rsidR="00946F9E" w:rsidRDefault="00946F9E" w:rsidP="0038432C">
      <w:pPr>
        <w:spacing w:line="264" w:lineRule="auto"/>
        <w:jc w:val="both"/>
        <w:rPr>
          <w:b/>
          <w:bCs/>
        </w:rPr>
      </w:pPr>
    </w:p>
    <w:p w:rsidR="00946F9E" w:rsidRPr="0038432C" w:rsidRDefault="00FA3323" w:rsidP="0038432C">
      <w:pPr>
        <w:spacing w:line="264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38432C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FA3323" w:rsidRDefault="00FA3323" w:rsidP="00564704">
      <w:pPr>
        <w:spacing w:line="264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רבי בר חמא</w:t>
      </w:r>
      <w:r>
        <w:rPr>
          <w:sz w:val="28"/>
          <w:szCs w:val="28"/>
        </w:rPr>
        <w:t xml:space="preserve"> taught that (even in a case where </w:t>
      </w:r>
      <w:r>
        <w:rPr>
          <w:rFonts w:hint="cs"/>
          <w:sz w:val="28"/>
          <w:szCs w:val="28"/>
          <w:rtl/>
        </w:rPr>
        <w:t>אין כת"י יוצא ממק"א</w:t>
      </w:r>
      <w:r>
        <w:rPr>
          <w:sz w:val="28"/>
          <w:szCs w:val="28"/>
        </w:rPr>
        <w:t xml:space="preserve">) if the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claim that </w:t>
      </w:r>
      <w:r>
        <w:rPr>
          <w:rFonts w:hint="cs"/>
          <w:sz w:val="28"/>
          <w:szCs w:val="28"/>
          <w:rtl/>
        </w:rPr>
        <w:t>כת"י הוא זה אבל אנוסים היינו מחמת ממון</w:t>
      </w:r>
      <w:r>
        <w:rPr>
          <w:sz w:val="28"/>
          <w:szCs w:val="28"/>
        </w:rPr>
        <w:t xml:space="preserve"> they are not believed to be </w:t>
      </w:r>
      <w:r>
        <w:rPr>
          <w:rFonts w:hint="cs"/>
          <w:sz w:val="28"/>
          <w:szCs w:val="28"/>
          <w:rtl/>
        </w:rPr>
        <w:t>פוסל</w:t>
      </w:r>
      <w:r>
        <w:rPr>
          <w:sz w:val="28"/>
          <w:szCs w:val="28"/>
        </w:rPr>
        <w:t xml:space="preserve"> the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>.</w:t>
      </w:r>
      <w:r w:rsidR="005F2EA7">
        <w:rPr>
          <w:sz w:val="28"/>
          <w:szCs w:val="28"/>
        </w:rPr>
        <w:t xml:space="preserve"> The reason that we do not accept their testimony that they were </w:t>
      </w:r>
      <w:r w:rsidR="005F2EA7">
        <w:rPr>
          <w:rFonts w:hint="cs"/>
          <w:sz w:val="28"/>
          <w:szCs w:val="28"/>
          <w:rtl/>
        </w:rPr>
        <w:t>אנוסים מחמת ממון</w:t>
      </w:r>
      <w:r w:rsidR="005F2EA7">
        <w:rPr>
          <w:sz w:val="28"/>
          <w:szCs w:val="28"/>
        </w:rPr>
        <w:t xml:space="preserve"> is because it is </w:t>
      </w:r>
      <w:r w:rsidR="00564704">
        <w:rPr>
          <w:sz w:val="28"/>
          <w:szCs w:val="28"/>
        </w:rPr>
        <w:t>forbidden</w:t>
      </w:r>
      <w:r w:rsidR="005F2EA7">
        <w:rPr>
          <w:sz w:val="28"/>
          <w:szCs w:val="28"/>
        </w:rPr>
        <w:t xml:space="preserve"> to sign on a </w:t>
      </w:r>
      <w:r w:rsidR="005F2EA7">
        <w:rPr>
          <w:rFonts w:hint="cs"/>
          <w:sz w:val="28"/>
          <w:szCs w:val="28"/>
          <w:rtl/>
        </w:rPr>
        <w:t>שטר</w:t>
      </w:r>
      <w:r w:rsidR="005F2EA7">
        <w:rPr>
          <w:sz w:val="28"/>
          <w:szCs w:val="28"/>
        </w:rPr>
        <w:t xml:space="preserve"> on account of an </w:t>
      </w:r>
      <w:r w:rsidR="005F2EA7">
        <w:rPr>
          <w:rFonts w:hint="cs"/>
          <w:sz w:val="28"/>
          <w:szCs w:val="28"/>
          <w:rtl/>
        </w:rPr>
        <w:t>אונס ממון</w:t>
      </w:r>
      <w:r w:rsidR="005F2EA7">
        <w:rPr>
          <w:sz w:val="28"/>
          <w:szCs w:val="28"/>
        </w:rPr>
        <w:t xml:space="preserve">. A person </w:t>
      </w:r>
      <w:r w:rsidR="00513060">
        <w:rPr>
          <w:sz w:val="28"/>
          <w:szCs w:val="28"/>
        </w:rPr>
        <w:t xml:space="preserve">is not believed to testify anything that will make him a </w:t>
      </w:r>
      <w:r w:rsidR="00513060">
        <w:rPr>
          <w:rFonts w:hint="cs"/>
          <w:sz w:val="28"/>
          <w:szCs w:val="28"/>
          <w:rtl/>
        </w:rPr>
        <w:t>רשע</w:t>
      </w:r>
      <w:r w:rsidR="00513060">
        <w:rPr>
          <w:sz w:val="28"/>
          <w:szCs w:val="28"/>
        </w:rPr>
        <w:t>. The fact that a person is</w:t>
      </w:r>
      <w:r w:rsidR="008E18F1">
        <w:rPr>
          <w:sz w:val="28"/>
          <w:szCs w:val="28"/>
        </w:rPr>
        <w:t xml:space="preserve"> considered</w:t>
      </w:r>
      <w:r w:rsidR="00513060">
        <w:rPr>
          <w:sz w:val="28"/>
          <w:szCs w:val="28"/>
        </w:rPr>
        <w:t xml:space="preserve"> a relative to himself prevents us from accepting any testimony affecting his status (except for an admission of owing money). We cannot therefore accept the testimony that they were </w:t>
      </w:r>
      <w:r w:rsidR="00513060">
        <w:rPr>
          <w:rFonts w:hint="cs"/>
          <w:sz w:val="28"/>
          <w:szCs w:val="28"/>
          <w:rtl/>
        </w:rPr>
        <w:t>אנוסים מחמת ממון</w:t>
      </w:r>
      <w:r w:rsidR="00513060">
        <w:rPr>
          <w:sz w:val="28"/>
          <w:szCs w:val="28"/>
        </w:rPr>
        <w:t xml:space="preserve">. If however they claim </w:t>
      </w:r>
      <w:r w:rsidR="00513060">
        <w:rPr>
          <w:rFonts w:hint="cs"/>
          <w:sz w:val="28"/>
          <w:szCs w:val="28"/>
          <w:rtl/>
        </w:rPr>
        <w:t>אנוסים היינו מחמת נפשות</w:t>
      </w:r>
      <w:r w:rsidR="00513060">
        <w:rPr>
          <w:sz w:val="28"/>
          <w:szCs w:val="28"/>
        </w:rPr>
        <w:t xml:space="preserve">, where they are not testifying in regards to their status (there is no </w:t>
      </w:r>
      <w:r w:rsidR="00513060">
        <w:rPr>
          <w:rFonts w:hint="cs"/>
          <w:sz w:val="28"/>
          <w:szCs w:val="28"/>
          <w:rtl/>
        </w:rPr>
        <w:t>עבירה</w:t>
      </w:r>
      <w:r w:rsidR="00513060">
        <w:rPr>
          <w:sz w:val="28"/>
          <w:szCs w:val="28"/>
        </w:rPr>
        <w:t xml:space="preserve"> if one signed </w:t>
      </w:r>
      <w:r w:rsidR="00513060">
        <w:rPr>
          <w:rFonts w:hint="cs"/>
          <w:sz w:val="28"/>
          <w:szCs w:val="28"/>
          <w:rtl/>
        </w:rPr>
        <w:t>מחמת</w:t>
      </w:r>
      <w:r w:rsidR="00C20CE1">
        <w:rPr>
          <w:rFonts w:hint="cs"/>
          <w:sz w:val="28"/>
          <w:szCs w:val="28"/>
          <w:rtl/>
        </w:rPr>
        <w:t xml:space="preserve"> אונס</w:t>
      </w:r>
      <w:r w:rsidR="00513060">
        <w:rPr>
          <w:rFonts w:hint="cs"/>
          <w:sz w:val="28"/>
          <w:szCs w:val="28"/>
          <w:rtl/>
        </w:rPr>
        <w:t xml:space="preserve"> נפשות</w:t>
      </w:r>
      <w:r w:rsidR="00513060">
        <w:rPr>
          <w:sz w:val="28"/>
          <w:szCs w:val="28"/>
        </w:rPr>
        <w:t xml:space="preserve">), they are believed to be </w:t>
      </w:r>
      <w:r w:rsidR="00513060">
        <w:rPr>
          <w:rFonts w:hint="cs"/>
          <w:sz w:val="28"/>
          <w:szCs w:val="28"/>
          <w:rtl/>
        </w:rPr>
        <w:t>פוסל</w:t>
      </w:r>
      <w:r w:rsidR="00513060">
        <w:rPr>
          <w:sz w:val="28"/>
          <w:szCs w:val="28"/>
        </w:rPr>
        <w:t xml:space="preserve"> the </w:t>
      </w:r>
      <w:r w:rsidR="00513060">
        <w:rPr>
          <w:rFonts w:hint="cs"/>
          <w:sz w:val="28"/>
          <w:szCs w:val="28"/>
          <w:rtl/>
        </w:rPr>
        <w:t>שטר</w:t>
      </w:r>
      <w:r w:rsidR="00C20CE1">
        <w:rPr>
          <w:sz w:val="28"/>
          <w:szCs w:val="28"/>
        </w:rPr>
        <w:t xml:space="preserve"> (for there is a </w:t>
      </w:r>
      <w:r w:rsidR="00C20CE1">
        <w:rPr>
          <w:rFonts w:hint="cs"/>
          <w:sz w:val="28"/>
          <w:szCs w:val="28"/>
          <w:rtl/>
        </w:rPr>
        <w:t>הפה שאסר</w:t>
      </w:r>
      <w:r w:rsidR="004558FC">
        <w:rPr>
          <w:sz w:val="28"/>
          <w:szCs w:val="28"/>
        </w:rPr>
        <w:t>)</w:t>
      </w:r>
      <w:r w:rsidR="00513060">
        <w:rPr>
          <w:sz w:val="28"/>
          <w:szCs w:val="28"/>
        </w:rPr>
        <w:t>.</w:t>
      </w:r>
    </w:p>
    <w:p w:rsidR="00DD4979" w:rsidRDefault="00513060" w:rsidP="00DE3277">
      <w:pPr>
        <w:spacing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statement of </w:t>
      </w:r>
      <w:r>
        <w:rPr>
          <w:rFonts w:hint="cs"/>
          <w:sz w:val="28"/>
          <w:szCs w:val="28"/>
          <w:rtl/>
        </w:rPr>
        <w:t>אנוסים היינו מחמת ממון</w:t>
      </w:r>
      <w:r>
        <w:rPr>
          <w:sz w:val="28"/>
          <w:szCs w:val="28"/>
        </w:rPr>
        <w:t xml:space="preserve"> is (seemingly) composed of two parts; </w:t>
      </w:r>
      <w:r w:rsidR="00DE3277">
        <w:rPr>
          <w:sz w:val="28"/>
          <w:szCs w:val="28"/>
        </w:rPr>
        <w:t>first,</w:t>
      </w:r>
      <w:r>
        <w:rPr>
          <w:sz w:val="28"/>
          <w:szCs w:val="28"/>
        </w:rPr>
        <w:t xml:space="preserve"> that they were forced to sign the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 xml:space="preserve"> (meaning that they did not see any loan taking place</w:t>
      </w:r>
      <w:r w:rsidR="00DD4979">
        <w:rPr>
          <w:sz w:val="28"/>
          <w:szCs w:val="28"/>
        </w:rPr>
        <w:t>,</w:t>
      </w:r>
      <w:r>
        <w:rPr>
          <w:sz w:val="28"/>
          <w:szCs w:val="28"/>
        </w:rPr>
        <w:t xml:space="preserve"> and therefore their signatures are meaningless</w:t>
      </w:r>
      <w:r w:rsidR="00DD4979">
        <w:rPr>
          <w:sz w:val="28"/>
          <w:szCs w:val="28"/>
        </w:rPr>
        <w:t xml:space="preserve"> [this alone can be an acceptable testimony (if it was </w:t>
      </w:r>
      <w:r w:rsidR="00DD4979">
        <w:rPr>
          <w:rFonts w:hint="cs"/>
          <w:sz w:val="28"/>
          <w:szCs w:val="28"/>
          <w:rtl/>
        </w:rPr>
        <w:t>מחמת נפשות</w:t>
      </w:r>
      <w:r w:rsidR="00DD4979">
        <w:rPr>
          <w:sz w:val="28"/>
          <w:szCs w:val="28"/>
        </w:rPr>
        <w:t>)]</w:t>
      </w:r>
      <w:r>
        <w:rPr>
          <w:sz w:val="28"/>
          <w:szCs w:val="28"/>
        </w:rPr>
        <w:t xml:space="preserve">), and </w:t>
      </w:r>
      <w:r w:rsidR="00DE3277">
        <w:rPr>
          <w:sz w:val="28"/>
          <w:szCs w:val="28"/>
        </w:rPr>
        <w:t>second,</w:t>
      </w:r>
      <w:r>
        <w:rPr>
          <w:sz w:val="28"/>
          <w:szCs w:val="28"/>
        </w:rPr>
        <w:t xml:space="preserve"> that the coercion was mo</w:t>
      </w:r>
      <w:r w:rsidR="00C20CE1">
        <w:rPr>
          <w:sz w:val="28"/>
          <w:szCs w:val="28"/>
        </w:rPr>
        <w:t>netary in nature</w:t>
      </w:r>
      <w:r w:rsidR="00DD4979">
        <w:rPr>
          <w:sz w:val="28"/>
          <w:szCs w:val="28"/>
        </w:rPr>
        <w:t xml:space="preserve"> [this is not an acceptable testimony for </w:t>
      </w:r>
      <w:r w:rsidR="00DD4979">
        <w:rPr>
          <w:rFonts w:hint="cs"/>
          <w:sz w:val="28"/>
          <w:szCs w:val="28"/>
          <w:rtl/>
        </w:rPr>
        <w:t>א"א מע"ר</w:t>
      </w:r>
      <w:r w:rsidR="00DD4979">
        <w:rPr>
          <w:sz w:val="28"/>
          <w:szCs w:val="28"/>
        </w:rPr>
        <w:t>]</w:t>
      </w:r>
      <w:r w:rsidR="00C20CE1">
        <w:rPr>
          <w:sz w:val="28"/>
          <w:szCs w:val="28"/>
        </w:rPr>
        <w:t xml:space="preserve">. </w:t>
      </w:r>
    </w:p>
    <w:p w:rsidR="00513060" w:rsidRPr="00FA3323" w:rsidRDefault="00C20CE1" w:rsidP="0038432C">
      <w:pPr>
        <w:spacing w:line="264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There are other cases where</w:t>
      </w:r>
      <w:r>
        <w:rPr>
          <w:sz w:val="28"/>
          <w:szCs w:val="28"/>
        </w:rPr>
        <w:t xml:space="preserve"> an </w:t>
      </w:r>
      <w:r>
        <w:rPr>
          <w:rFonts w:hint="cs"/>
          <w:sz w:val="28"/>
          <w:szCs w:val="28"/>
          <w:rtl/>
        </w:rPr>
        <w:t>עד</w:t>
      </w:r>
      <w:r>
        <w:rPr>
          <w:sz w:val="28"/>
          <w:szCs w:val="28"/>
        </w:rPr>
        <w:t xml:space="preserve"> testifies in  a manner that is seemingly</w:t>
      </w:r>
      <w:r w:rsidR="00347FD0">
        <w:rPr>
          <w:sz w:val="28"/>
          <w:szCs w:val="28"/>
        </w:rPr>
        <w:t xml:space="preserve"> (partially)</w:t>
      </w:r>
      <w:r>
        <w:rPr>
          <w:sz w:val="28"/>
          <w:szCs w:val="28"/>
        </w:rPr>
        <w:t xml:space="preserve"> unacceptable (similar to our case), however we divide this </w:t>
      </w:r>
      <w:r w:rsidR="00DE3277">
        <w:rPr>
          <w:sz w:val="28"/>
          <w:szCs w:val="28"/>
        </w:rPr>
        <w:t>(</w:t>
      </w:r>
      <w:r>
        <w:rPr>
          <w:sz w:val="28"/>
          <w:szCs w:val="28"/>
        </w:rPr>
        <w:t>unacceptable</w:t>
      </w:r>
      <w:r w:rsidR="00DE3277">
        <w:rPr>
          <w:sz w:val="28"/>
          <w:szCs w:val="28"/>
        </w:rPr>
        <w:t>)</w:t>
      </w:r>
      <w:r>
        <w:rPr>
          <w:sz w:val="28"/>
          <w:szCs w:val="28"/>
        </w:rPr>
        <w:t xml:space="preserve"> testimony into two, and accept only the valid part, and reinterpret the invalid part to allow</w:t>
      </w:r>
      <w:r w:rsidR="00395825">
        <w:rPr>
          <w:sz w:val="28"/>
          <w:szCs w:val="28"/>
        </w:rPr>
        <w:t xml:space="preserve"> the testimony. </w:t>
      </w:r>
      <w:r>
        <w:rPr>
          <w:sz w:val="28"/>
          <w:szCs w:val="28"/>
        </w:rPr>
        <w:t xml:space="preserve">The </w:t>
      </w:r>
      <w:r w:rsidR="007173D8">
        <w:rPr>
          <w:sz w:val="28"/>
          <w:szCs w:val="28"/>
        </w:rPr>
        <w:t xml:space="preserve">resultant </w:t>
      </w:r>
      <w:r>
        <w:rPr>
          <w:sz w:val="28"/>
          <w:szCs w:val="28"/>
        </w:rPr>
        <w:t xml:space="preserve">testimony is then accepted. This is known as </w:t>
      </w:r>
      <w:r>
        <w:rPr>
          <w:rFonts w:hint="cs"/>
          <w:sz w:val="28"/>
          <w:szCs w:val="28"/>
          <w:rtl/>
        </w:rPr>
        <w:t>פלגינן דיבורא</w:t>
      </w:r>
      <w:r>
        <w:rPr>
          <w:sz w:val="28"/>
          <w:szCs w:val="28"/>
        </w:rPr>
        <w:t>. We divide the testimony</w:t>
      </w:r>
      <w:r w:rsidR="00395825">
        <w:rPr>
          <w:sz w:val="28"/>
          <w:szCs w:val="28"/>
        </w:rPr>
        <w:t xml:space="preserve">. Seemingly in our situation the idea of </w:t>
      </w:r>
      <w:r w:rsidR="00395825">
        <w:rPr>
          <w:rFonts w:hint="cs"/>
          <w:sz w:val="28"/>
          <w:szCs w:val="28"/>
          <w:rtl/>
        </w:rPr>
        <w:t>פלגינן דיבורא</w:t>
      </w:r>
      <w:r w:rsidR="00395825">
        <w:rPr>
          <w:sz w:val="28"/>
          <w:szCs w:val="28"/>
        </w:rPr>
        <w:t xml:space="preserve"> can (also)</w:t>
      </w:r>
      <w:r w:rsidR="00395825" w:rsidRPr="00395825">
        <w:rPr>
          <w:sz w:val="28"/>
          <w:szCs w:val="28"/>
        </w:rPr>
        <w:t xml:space="preserve"> </w:t>
      </w:r>
      <w:r w:rsidR="00395825">
        <w:rPr>
          <w:sz w:val="28"/>
          <w:szCs w:val="28"/>
        </w:rPr>
        <w:t xml:space="preserve">be applied. However it is not. </w:t>
      </w:r>
      <w:r w:rsidR="00395825">
        <w:rPr>
          <w:rFonts w:hint="cs"/>
          <w:sz w:val="28"/>
          <w:szCs w:val="28"/>
          <w:rtl/>
        </w:rPr>
        <w:t>תוספות</w:t>
      </w:r>
      <w:r w:rsidR="00395825">
        <w:rPr>
          <w:sz w:val="28"/>
          <w:szCs w:val="28"/>
        </w:rPr>
        <w:t xml:space="preserve"> will differentiate our case from those cases where we do say </w:t>
      </w:r>
      <w:r w:rsidR="00395825">
        <w:rPr>
          <w:rFonts w:hint="cs"/>
          <w:sz w:val="28"/>
          <w:szCs w:val="28"/>
          <w:rtl/>
        </w:rPr>
        <w:t>פלגינן דיבורא</w:t>
      </w:r>
      <w:r w:rsidR="00395825">
        <w:rPr>
          <w:sz w:val="28"/>
          <w:szCs w:val="28"/>
        </w:rPr>
        <w:t>.</w:t>
      </w:r>
    </w:p>
    <w:p w:rsidR="00946F9E" w:rsidRPr="00DC0081" w:rsidRDefault="00DC0081" w:rsidP="0038432C">
      <w:pPr>
        <w:spacing w:line="264" w:lineRule="auto"/>
        <w:jc w:val="center"/>
      </w:pPr>
      <w:r w:rsidRPr="00DC0081">
        <w:t>------------------</w:t>
      </w:r>
    </w:p>
    <w:p w:rsidR="00946F9E" w:rsidRDefault="00946F9E" w:rsidP="0038432C">
      <w:pPr>
        <w:spacing w:line="264" w:lineRule="auto"/>
        <w:jc w:val="both"/>
      </w:pPr>
      <w:r>
        <w:rPr>
          <w:rFonts w:hint="cs"/>
          <w:rtl/>
        </w:rPr>
        <w:t>תוספות</w:t>
      </w:r>
      <w:r>
        <w:t xml:space="preserve"> asks:</w:t>
      </w:r>
    </w:p>
    <w:p w:rsidR="0038432C" w:rsidRPr="00DE3277" w:rsidRDefault="00946F9E" w:rsidP="0038432C">
      <w:pPr>
        <w:bidi/>
        <w:spacing w:line="264" w:lineRule="auto"/>
        <w:jc w:val="both"/>
        <w:rPr>
          <w:rFonts w:cs="David"/>
          <w:b/>
          <w:bCs/>
          <w:sz w:val="28"/>
          <w:szCs w:val="28"/>
        </w:rPr>
      </w:pPr>
      <w:r w:rsidRPr="00DE3277">
        <w:rPr>
          <w:rFonts w:cs="David" w:hint="cs"/>
          <w:b/>
          <w:bCs/>
          <w:sz w:val="28"/>
          <w:szCs w:val="28"/>
          <w:rtl/>
        </w:rPr>
        <w:t>ואם תאמר והא קסבר רבא</w:t>
      </w:r>
      <w:r w:rsidR="0038432C" w:rsidRPr="00DE3277">
        <w:rPr>
          <w:rFonts w:cs="David" w:hint="cs"/>
          <w:b/>
          <w:bCs/>
          <w:sz w:val="28"/>
          <w:szCs w:val="28"/>
          <w:rtl/>
        </w:rPr>
        <w:t xml:space="preserve"> פלגינן דיבורא בפרק קמא דסנהדרין</w:t>
      </w:r>
      <w:r w:rsidR="0038432C" w:rsidRPr="00DE3277">
        <w:rPr>
          <w:rFonts w:cs="David" w:hint="cs"/>
          <w:b/>
          <w:bCs/>
          <w:sz w:val="20"/>
          <w:szCs w:val="20"/>
          <w:rtl/>
        </w:rPr>
        <w:t xml:space="preserve"> (דף ט,ב ושם)</w:t>
      </w:r>
      <w:r w:rsidRPr="00DE3277">
        <w:rPr>
          <w:rFonts w:cs="David"/>
          <w:b/>
          <w:bCs/>
          <w:sz w:val="28"/>
          <w:szCs w:val="28"/>
        </w:rPr>
        <w:t xml:space="preserve"> – </w:t>
      </w:r>
    </w:p>
    <w:p w:rsidR="00946F9E" w:rsidRPr="00DE3277" w:rsidRDefault="0038432C" w:rsidP="00DE3277">
      <w:pPr>
        <w:spacing w:line="264" w:lineRule="auto"/>
        <w:jc w:val="both"/>
        <w:rPr>
          <w:b/>
          <w:bCs/>
        </w:rPr>
      </w:pPr>
      <w:r w:rsidRPr="00946F9E">
        <w:rPr>
          <w:b/>
          <w:bCs/>
          <w:sz w:val="28"/>
          <w:szCs w:val="28"/>
        </w:rPr>
        <w:t>And</w:t>
      </w:r>
      <w:r w:rsidR="00946F9E" w:rsidRPr="00946F9E">
        <w:rPr>
          <w:b/>
          <w:bCs/>
          <w:sz w:val="28"/>
          <w:szCs w:val="28"/>
        </w:rPr>
        <w:t xml:space="preserve"> if you will s</w:t>
      </w:r>
      <w:r>
        <w:rPr>
          <w:b/>
          <w:bCs/>
          <w:sz w:val="28"/>
          <w:szCs w:val="28"/>
        </w:rPr>
        <w:t>ay</w:t>
      </w:r>
      <w:r w:rsidR="00946F9E" w:rsidRPr="00946F9E">
        <w:rPr>
          <w:b/>
          <w:bCs/>
          <w:sz w:val="28"/>
          <w:szCs w:val="28"/>
        </w:rPr>
        <w:t xml:space="preserve">; but </w:t>
      </w:r>
      <w:r w:rsidR="00946F9E" w:rsidRPr="00946F9E">
        <w:rPr>
          <w:rFonts w:hint="cs"/>
          <w:b/>
          <w:bCs/>
          <w:sz w:val="28"/>
          <w:szCs w:val="28"/>
          <w:rtl/>
        </w:rPr>
        <w:t>רבא</w:t>
      </w:r>
      <w:r w:rsidR="00946F9E" w:rsidRPr="00946F9E">
        <w:rPr>
          <w:b/>
          <w:bCs/>
          <w:sz w:val="28"/>
          <w:szCs w:val="28"/>
        </w:rPr>
        <w:t xml:space="preserve"> maintains </w:t>
      </w:r>
      <w:r w:rsidR="00DE3277">
        <w:rPr>
          <w:b/>
          <w:bCs/>
          <w:sz w:val="28"/>
          <w:szCs w:val="28"/>
        </w:rPr>
        <w:t xml:space="preserve">in the first </w:t>
      </w:r>
      <w:r w:rsidR="00DE3277">
        <w:rPr>
          <w:rFonts w:hint="cs"/>
          <w:b/>
          <w:bCs/>
          <w:sz w:val="28"/>
          <w:szCs w:val="28"/>
          <w:rtl/>
        </w:rPr>
        <w:t>פרק</w:t>
      </w:r>
      <w:r w:rsidR="00DE3277">
        <w:rPr>
          <w:b/>
          <w:bCs/>
          <w:sz w:val="28"/>
          <w:szCs w:val="28"/>
        </w:rPr>
        <w:t xml:space="preserve"> of </w:t>
      </w:r>
      <w:r w:rsidR="00DE3277">
        <w:rPr>
          <w:rFonts w:hint="cs"/>
          <w:b/>
          <w:bCs/>
          <w:sz w:val="28"/>
          <w:szCs w:val="28"/>
          <w:rtl/>
        </w:rPr>
        <w:t>סנהדרין</w:t>
      </w:r>
      <w:r w:rsidR="00DE3277">
        <w:rPr>
          <w:b/>
          <w:bCs/>
          <w:sz w:val="28"/>
          <w:szCs w:val="28"/>
        </w:rPr>
        <w:t xml:space="preserve"> </w:t>
      </w:r>
      <w:r w:rsidR="00946F9E" w:rsidRPr="00946F9E">
        <w:rPr>
          <w:sz w:val="28"/>
          <w:szCs w:val="28"/>
        </w:rPr>
        <w:t xml:space="preserve">that </w:t>
      </w:r>
      <w:r w:rsidR="00946F9E">
        <w:rPr>
          <w:b/>
          <w:bCs/>
          <w:sz w:val="28"/>
          <w:szCs w:val="28"/>
        </w:rPr>
        <w:t xml:space="preserve">we divide his statement. </w:t>
      </w:r>
      <w:r w:rsidR="00946F9E" w:rsidRPr="00DE3277">
        <w:t xml:space="preserve">This was said by </w:t>
      </w:r>
      <w:r w:rsidR="00946F9E" w:rsidRPr="00DE3277">
        <w:rPr>
          <w:rFonts w:hint="cs"/>
          <w:rtl/>
        </w:rPr>
        <w:t>רבא</w:t>
      </w:r>
      <w:r w:rsidR="00DE3277">
        <w:t xml:space="preserve"> </w:t>
      </w:r>
      <w:r w:rsidR="00946F9E" w:rsidRPr="00DE3277">
        <w:rPr>
          <w:b/>
          <w:bCs/>
        </w:rPr>
        <w:t>–</w:t>
      </w:r>
    </w:p>
    <w:p w:rsidR="0038432C" w:rsidRPr="00DE3277" w:rsidRDefault="00946F9E" w:rsidP="00DE3277">
      <w:pPr>
        <w:bidi/>
        <w:spacing w:line="264" w:lineRule="auto"/>
        <w:jc w:val="both"/>
        <w:rPr>
          <w:rFonts w:cs="David"/>
          <w:b/>
          <w:bCs/>
          <w:sz w:val="28"/>
          <w:szCs w:val="28"/>
        </w:rPr>
      </w:pPr>
      <w:r w:rsidRPr="00DE3277">
        <w:rPr>
          <w:rFonts w:cs="David" w:hint="cs"/>
          <w:b/>
          <w:bCs/>
          <w:sz w:val="28"/>
          <w:szCs w:val="28"/>
          <w:rtl/>
        </w:rPr>
        <w:t>גבי פלוני רבעני לרצוני</w:t>
      </w:r>
      <w:r w:rsidRPr="00DE3277">
        <w:rPr>
          <w:rFonts w:cs="David"/>
          <w:b/>
          <w:bCs/>
          <w:sz w:val="28"/>
          <w:szCs w:val="28"/>
        </w:rPr>
        <w:t xml:space="preserve"> – </w:t>
      </w:r>
    </w:p>
    <w:p w:rsidR="00946F9E" w:rsidRPr="00F65BB4" w:rsidRDefault="00DE3277" w:rsidP="00DE3277">
      <w:pPr>
        <w:spacing w:line="264" w:lineRule="auto"/>
        <w:jc w:val="both"/>
      </w:pPr>
      <w:r>
        <w:rPr>
          <w:b/>
          <w:bCs/>
          <w:sz w:val="28"/>
          <w:szCs w:val="28"/>
        </w:rPr>
        <w:lastRenderedPageBreak/>
        <w:t>Regarding</w:t>
      </w:r>
      <w:r w:rsidR="00946F9E">
        <w:rPr>
          <w:b/>
          <w:bCs/>
          <w:sz w:val="28"/>
          <w:szCs w:val="28"/>
        </w:rPr>
        <w:t xml:space="preserve"> </w:t>
      </w:r>
      <w:r w:rsidR="00946F9E">
        <w:rPr>
          <w:sz w:val="28"/>
          <w:szCs w:val="28"/>
        </w:rPr>
        <w:t xml:space="preserve">the cases where one testified </w:t>
      </w:r>
      <w:r w:rsidR="00946F9E">
        <w:rPr>
          <w:b/>
          <w:bCs/>
          <w:sz w:val="28"/>
          <w:szCs w:val="28"/>
        </w:rPr>
        <w:t>‘that person sodomized me with my consent</w:t>
      </w:r>
      <w:r w:rsidR="00F10E00">
        <w:rPr>
          <w:b/>
          <w:bCs/>
          <w:sz w:val="28"/>
          <w:szCs w:val="28"/>
        </w:rPr>
        <w:t>’</w:t>
      </w:r>
      <w:r w:rsidR="00946F9E">
        <w:rPr>
          <w:b/>
          <w:bCs/>
          <w:sz w:val="28"/>
          <w:szCs w:val="28"/>
        </w:rPr>
        <w:t>;</w:t>
      </w:r>
      <w:r w:rsidR="00F10E00">
        <w:rPr>
          <w:sz w:val="28"/>
          <w:szCs w:val="28"/>
        </w:rPr>
        <w:t xml:space="preserve"> </w:t>
      </w:r>
      <w:r w:rsidR="00F10E00" w:rsidRPr="00F65BB4">
        <w:t xml:space="preserve">the law is that he can team up with another </w:t>
      </w:r>
      <w:r w:rsidR="00F10E00" w:rsidRPr="00F65BB4">
        <w:rPr>
          <w:rFonts w:hint="cs"/>
          <w:rtl/>
        </w:rPr>
        <w:t>עד</w:t>
      </w:r>
      <w:r w:rsidR="00F10E00" w:rsidRPr="00F65BB4">
        <w:t xml:space="preserve"> and have this </w:t>
      </w:r>
      <w:r w:rsidR="00DC0081" w:rsidRPr="00F65BB4">
        <w:t>perpetrator</w:t>
      </w:r>
      <w:r w:rsidR="00F10E00" w:rsidRPr="00F65BB4">
        <w:t xml:space="preserve"> put to death for </w:t>
      </w:r>
      <w:r w:rsidR="00F10E00" w:rsidRPr="00F65BB4">
        <w:rPr>
          <w:rFonts w:hint="cs"/>
          <w:rtl/>
        </w:rPr>
        <w:t>משכב זכר</w:t>
      </w:r>
      <w:r w:rsidR="00F10E00" w:rsidRPr="00F65BB4">
        <w:t>.</w:t>
      </w:r>
      <w:r w:rsidR="00DC0081" w:rsidRPr="00F65BB4">
        <w:rPr>
          <w:rStyle w:val="FootnoteReference"/>
        </w:rPr>
        <w:footnoteReference w:id="1"/>
      </w:r>
      <w:r w:rsidR="00946F9E" w:rsidRPr="00F65BB4">
        <w:t xml:space="preserve"> </w:t>
      </w:r>
      <w:r w:rsidR="00F10E00" w:rsidRPr="00F65BB4">
        <w:t>We split his statement. We accept</w:t>
      </w:r>
      <w:r w:rsidR="00D13B85" w:rsidRPr="00F65BB4">
        <w:t xml:space="preserve"> his testimony</w:t>
      </w:r>
      <w:r w:rsidR="00F10E00" w:rsidRPr="00F65BB4">
        <w:t xml:space="preserve"> that sodomy was performed</w:t>
      </w:r>
      <w:r w:rsidR="008E18F1" w:rsidRPr="00F65BB4">
        <w:t xml:space="preserve"> by the alleged perpetrator</w:t>
      </w:r>
      <w:r w:rsidR="00F10E00" w:rsidRPr="00F65BB4">
        <w:t xml:space="preserve"> but not with </w:t>
      </w:r>
      <w:r w:rsidR="00DC0081" w:rsidRPr="00F65BB4">
        <w:t>the accuser</w:t>
      </w:r>
      <w:r w:rsidR="00F10E00" w:rsidRPr="00F65BB4">
        <w:t>.</w:t>
      </w:r>
      <w:r w:rsidR="0038432C" w:rsidRPr="00F65BB4">
        <w:rPr>
          <w:rStyle w:val="FootnoteReference"/>
        </w:rPr>
        <w:footnoteReference w:id="2"/>
      </w:r>
      <w:r w:rsidR="00D13B85" w:rsidRPr="00F65BB4">
        <w:t xml:space="preserve"> W</w:t>
      </w:r>
      <w:r w:rsidR="00F10E00" w:rsidRPr="00F65BB4">
        <w:t xml:space="preserve">e cannot accept his testimony that he preformed sodomy willingly, for </w:t>
      </w:r>
      <w:r w:rsidR="00F10E00" w:rsidRPr="00F65BB4">
        <w:rPr>
          <w:rFonts w:hint="cs"/>
          <w:rtl/>
        </w:rPr>
        <w:t>אין אדם משים עצמו רשע</w:t>
      </w:r>
      <w:r w:rsidR="00F10E00" w:rsidRPr="00F65BB4">
        <w:t>.</w:t>
      </w:r>
      <w:r w:rsidR="00F10E00" w:rsidRPr="00F65BB4">
        <w:rPr>
          <w:b/>
          <w:bCs/>
        </w:rPr>
        <w:t xml:space="preserve"> </w:t>
      </w:r>
      <w:r w:rsidR="00D13B85" w:rsidRPr="00F65BB4">
        <w:t>A similar ruling applies when he testifies -</w:t>
      </w:r>
    </w:p>
    <w:p w:rsidR="0038432C" w:rsidRPr="00DE3277" w:rsidRDefault="00946F9E" w:rsidP="0038432C">
      <w:pPr>
        <w:bidi/>
        <w:spacing w:line="264" w:lineRule="auto"/>
        <w:jc w:val="both"/>
        <w:rPr>
          <w:rFonts w:cs="David"/>
          <w:b/>
          <w:bCs/>
          <w:sz w:val="28"/>
          <w:szCs w:val="28"/>
        </w:rPr>
      </w:pPr>
      <w:r w:rsidRPr="00DE3277">
        <w:rPr>
          <w:rFonts w:cs="David" w:hint="cs"/>
          <w:b/>
          <w:bCs/>
          <w:sz w:val="28"/>
          <w:szCs w:val="28"/>
          <w:rtl/>
        </w:rPr>
        <w:t>ופלוני בא על אשתי</w:t>
      </w:r>
      <w:r w:rsidRPr="00DE3277">
        <w:rPr>
          <w:rFonts w:cs="David"/>
          <w:b/>
          <w:bCs/>
          <w:sz w:val="28"/>
          <w:szCs w:val="28"/>
        </w:rPr>
        <w:t xml:space="preserve"> – </w:t>
      </w:r>
    </w:p>
    <w:p w:rsidR="00946F9E" w:rsidRPr="00F65BB4" w:rsidRDefault="00DE3277" w:rsidP="0038432C">
      <w:pPr>
        <w:spacing w:line="264" w:lineRule="auto"/>
        <w:jc w:val="both"/>
      </w:pPr>
      <w:r>
        <w:rPr>
          <w:b/>
          <w:bCs/>
          <w:sz w:val="28"/>
          <w:szCs w:val="28"/>
        </w:rPr>
        <w:t>Or</w:t>
      </w:r>
      <w:r w:rsidR="00946F9E">
        <w:rPr>
          <w:b/>
          <w:bCs/>
          <w:sz w:val="28"/>
          <w:szCs w:val="28"/>
        </w:rPr>
        <w:t xml:space="preserve"> </w:t>
      </w:r>
      <w:r w:rsidR="00D13B85">
        <w:rPr>
          <w:b/>
          <w:bCs/>
          <w:sz w:val="28"/>
          <w:szCs w:val="28"/>
        </w:rPr>
        <w:t>‘</w:t>
      </w:r>
      <w:r w:rsidR="00946F9E">
        <w:rPr>
          <w:b/>
          <w:bCs/>
          <w:sz w:val="28"/>
          <w:szCs w:val="28"/>
        </w:rPr>
        <w:t>that person came upon my wife</w:t>
      </w:r>
      <w:r w:rsidR="00D13B85">
        <w:rPr>
          <w:b/>
          <w:bCs/>
          <w:sz w:val="28"/>
          <w:szCs w:val="28"/>
        </w:rPr>
        <w:t>’</w:t>
      </w:r>
      <w:r w:rsidR="00946F9E">
        <w:rPr>
          <w:b/>
          <w:bCs/>
          <w:sz w:val="28"/>
          <w:szCs w:val="28"/>
        </w:rPr>
        <w:t>.</w:t>
      </w:r>
      <w:r w:rsidR="00D13B85">
        <w:rPr>
          <w:b/>
          <w:bCs/>
          <w:sz w:val="28"/>
          <w:szCs w:val="28"/>
        </w:rPr>
        <w:t xml:space="preserve"> </w:t>
      </w:r>
      <w:r w:rsidR="00D13B85" w:rsidRPr="00F65BB4">
        <w:t>The ruling is that together with another</w:t>
      </w:r>
      <w:r w:rsidR="002F0E3E">
        <w:t xml:space="preserve"> supporting</w:t>
      </w:r>
      <w:r w:rsidR="00D13B85" w:rsidRPr="00F65BB4">
        <w:t xml:space="preserve"> </w:t>
      </w:r>
      <w:r w:rsidR="00D13B85" w:rsidRPr="00F65BB4">
        <w:rPr>
          <w:rFonts w:hint="cs"/>
          <w:rtl/>
        </w:rPr>
        <w:t>עד</w:t>
      </w:r>
      <w:r w:rsidR="00D13B85" w:rsidRPr="00F65BB4">
        <w:t xml:space="preserve">, the accused will be killed for </w:t>
      </w:r>
      <w:r w:rsidR="00D13B85" w:rsidRPr="00F65BB4">
        <w:rPr>
          <w:rFonts w:hint="cs"/>
          <w:rtl/>
        </w:rPr>
        <w:t>איסור אשת איש</w:t>
      </w:r>
      <w:r w:rsidR="00D13B85" w:rsidRPr="00F65BB4">
        <w:t xml:space="preserve">; however </w:t>
      </w:r>
      <w:r w:rsidR="002F0E3E">
        <w:t>the</w:t>
      </w:r>
      <w:r w:rsidR="00D13B85" w:rsidRPr="00F65BB4">
        <w:t xml:space="preserve"> wife</w:t>
      </w:r>
      <w:r w:rsidR="002F0E3E">
        <w:t xml:space="preserve"> of the accuser</w:t>
      </w:r>
      <w:r w:rsidR="00D13B85" w:rsidRPr="00F65BB4">
        <w:t xml:space="preserve"> will not be killed even if he testified</w:t>
      </w:r>
      <w:r w:rsidR="00946F9E" w:rsidRPr="00F65BB4">
        <w:rPr>
          <w:b/>
          <w:bCs/>
        </w:rPr>
        <w:t xml:space="preserve"> </w:t>
      </w:r>
      <w:r w:rsidR="00D13B85" w:rsidRPr="00F65BB4">
        <w:t xml:space="preserve">that she consented. The reason </w:t>
      </w:r>
      <w:r w:rsidR="002F0E3E" w:rsidRPr="00F65BB4">
        <w:t>is</w:t>
      </w:r>
      <w:r w:rsidR="00D13B85" w:rsidRPr="00F65BB4">
        <w:t xml:space="preserve"> that he is a relative to his wife and a relative cannot testify. There too</w:t>
      </w:r>
      <w:r w:rsidR="005E12D9" w:rsidRPr="00F65BB4">
        <w:t>,</w:t>
      </w:r>
      <w:r w:rsidR="00D13B85" w:rsidRPr="00F65BB4">
        <w:t xml:space="preserve"> we split his testimony. We accept his </w:t>
      </w:r>
      <w:r w:rsidR="00D13B85" w:rsidRPr="00F65BB4">
        <w:rPr>
          <w:rFonts w:hint="cs"/>
          <w:rtl/>
        </w:rPr>
        <w:t>עדות</w:t>
      </w:r>
      <w:r w:rsidR="00D13B85" w:rsidRPr="00F65BB4">
        <w:t xml:space="preserve"> concerning the adulterer, that the man committed adulte</w:t>
      </w:r>
      <w:r w:rsidR="005E12D9" w:rsidRPr="00F65BB4">
        <w:t>ry, but not concerning his wife</w:t>
      </w:r>
      <w:r w:rsidR="00D13B85" w:rsidRPr="00F65BB4">
        <w:t xml:space="preserve">. This is called </w:t>
      </w:r>
      <w:r w:rsidR="00D13B85" w:rsidRPr="00F65BB4">
        <w:rPr>
          <w:rFonts w:hint="cs"/>
          <w:rtl/>
        </w:rPr>
        <w:t>פלגינן דיבורא</w:t>
      </w:r>
      <w:r w:rsidR="00D13B85" w:rsidRPr="00F65BB4">
        <w:t xml:space="preserve">. We accept that part of the testimony which is acceptable. </w:t>
      </w:r>
      <w:r w:rsidR="00D13B85" w:rsidRPr="00F65BB4">
        <w:rPr>
          <w:rFonts w:hint="cs"/>
          <w:rtl/>
        </w:rPr>
        <w:t>תוספות</w:t>
      </w:r>
      <w:r w:rsidR="00D13B85" w:rsidRPr="00F65BB4">
        <w:t xml:space="preserve"> continues with the question:</w:t>
      </w:r>
    </w:p>
    <w:p w:rsidR="0038432C" w:rsidRPr="00DE3277" w:rsidRDefault="00D13B85" w:rsidP="0038432C">
      <w:pPr>
        <w:bidi/>
        <w:spacing w:line="264" w:lineRule="auto"/>
        <w:jc w:val="both"/>
        <w:rPr>
          <w:rFonts w:cs="David"/>
          <w:b/>
          <w:bCs/>
          <w:sz w:val="28"/>
          <w:szCs w:val="28"/>
        </w:rPr>
      </w:pPr>
      <w:r w:rsidRPr="00DE3277">
        <w:rPr>
          <w:rFonts w:cs="David" w:hint="cs"/>
          <w:b/>
          <w:bCs/>
          <w:sz w:val="28"/>
          <w:szCs w:val="28"/>
          <w:rtl/>
        </w:rPr>
        <w:t>אם כן</w:t>
      </w:r>
      <w:r w:rsidR="0038432C" w:rsidRPr="00DE3277">
        <w:rPr>
          <w:rFonts w:cs="David" w:hint="cs"/>
          <w:b/>
          <w:bCs/>
          <w:sz w:val="28"/>
          <w:szCs w:val="28"/>
          <w:rtl/>
        </w:rPr>
        <w:t xml:space="preserve"> הכא נהימנו דאנוסים היו אבל לא מחמת ממון אלא מחמת נפשות</w:t>
      </w:r>
      <w:r w:rsidRPr="00DE3277">
        <w:rPr>
          <w:rFonts w:cs="David"/>
          <w:b/>
          <w:bCs/>
          <w:sz w:val="28"/>
          <w:szCs w:val="28"/>
        </w:rPr>
        <w:t xml:space="preserve"> – </w:t>
      </w:r>
    </w:p>
    <w:p w:rsidR="002F0E3E" w:rsidRDefault="0038432C" w:rsidP="0038432C">
      <w:pPr>
        <w:spacing w:line="264" w:lineRule="auto"/>
        <w:jc w:val="both"/>
      </w:pPr>
      <w:r>
        <w:rPr>
          <w:b/>
          <w:bCs/>
          <w:sz w:val="28"/>
          <w:szCs w:val="28"/>
        </w:rPr>
        <w:t>If</w:t>
      </w:r>
      <w:r w:rsidR="00D13B85">
        <w:rPr>
          <w:b/>
          <w:bCs/>
          <w:sz w:val="28"/>
          <w:szCs w:val="28"/>
        </w:rPr>
        <w:t xml:space="preserve"> this is so </w:t>
      </w:r>
      <w:r w:rsidR="00D13B85" w:rsidRPr="0038432C">
        <w:rPr>
          <w:sz w:val="28"/>
          <w:szCs w:val="28"/>
        </w:rPr>
        <w:t xml:space="preserve">that </w:t>
      </w:r>
      <w:r w:rsidR="00D13B85" w:rsidRPr="0038432C">
        <w:rPr>
          <w:rFonts w:hint="cs"/>
          <w:sz w:val="28"/>
          <w:szCs w:val="28"/>
          <w:rtl/>
        </w:rPr>
        <w:t>רבא</w:t>
      </w:r>
      <w:r w:rsidR="00D13B85" w:rsidRPr="0038432C">
        <w:rPr>
          <w:sz w:val="28"/>
          <w:szCs w:val="28"/>
        </w:rPr>
        <w:t xml:space="preserve"> maintains </w:t>
      </w:r>
      <w:r w:rsidR="00D13B85" w:rsidRPr="0038432C">
        <w:rPr>
          <w:rFonts w:hint="cs"/>
          <w:sz w:val="28"/>
          <w:szCs w:val="28"/>
          <w:rtl/>
        </w:rPr>
        <w:t>פלגינן דיבורא</w:t>
      </w:r>
      <w:r w:rsidR="00D13B85" w:rsidRPr="0038432C">
        <w:rPr>
          <w:sz w:val="28"/>
          <w:szCs w:val="28"/>
        </w:rPr>
        <w:t xml:space="preserve">, then </w:t>
      </w:r>
      <w:r w:rsidR="00D13B85">
        <w:rPr>
          <w:b/>
          <w:bCs/>
          <w:sz w:val="28"/>
          <w:szCs w:val="28"/>
        </w:rPr>
        <w:t xml:space="preserve">here </w:t>
      </w:r>
      <w:r w:rsidR="00D13B85">
        <w:rPr>
          <w:sz w:val="28"/>
          <w:szCs w:val="28"/>
        </w:rPr>
        <w:t xml:space="preserve">too </w:t>
      </w:r>
      <w:r w:rsidR="009943D0">
        <w:rPr>
          <w:b/>
          <w:bCs/>
          <w:sz w:val="28"/>
          <w:szCs w:val="28"/>
        </w:rPr>
        <w:t>let us believe</w:t>
      </w:r>
      <w:r w:rsidR="00D13B85">
        <w:rPr>
          <w:b/>
          <w:bCs/>
          <w:sz w:val="28"/>
          <w:szCs w:val="28"/>
        </w:rPr>
        <w:t xml:space="preserve"> them that they were coerced </w:t>
      </w:r>
      <w:r w:rsidR="00D13B85" w:rsidRPr="0038432C">
        <w:rPr>
          <w:sz w:val="28"/>
          <w:szCs w:val="28"/>
        </w:rPr>
        <w:t>to</w:t>
      </w:r>
      <w:r w:rsidR="00D13B85" w:rsidRPr="0038432C">
        <w:rPr>
          <w:sz w:val="32"/>
          <w:szCs w:val="32"/>
        </w:rPr>
        <w:t xml:space="preserve"> </w:t>
      </w:r>
      <w:r w:rsidR="00D13B85" w:rsidRPr="0038432C">
        <w:rPr>
          <w:sz w:val="28"/>
          <w:szCs w:val="28"/>
        </w:rPr>
        <w:t xml:space="preserve">sign the </w:t>
      </w:r>
      <w:r w:rsidR="00D13B85" w:rsidRPr="0038432C">
        <w:rPr>
          <w:rFonts w:hint="cs"/>
          <w:sz w:val="28"/>
          <w:szCs w:val="28"/>
          <w:rtl/>
        </w:rPr>
        <w:t>שטר</w:t>
      </w:r>
      <w:r w:rsidR="00D13B85" w:rsidRPr="0038432C">
        <w:rPr>
          <w:sz w:val="28"/>
          <w:szCs w:val="28"/>
        </w:rPr>
        <w:t xml:space="preserve"> (which is an acceptable testimony</w:t>
      </w:r>
      <w:r w:rsidR="00DE3277" w:rsidRPr="0038432C">
        <w:rPr>
          <w:sz w:val="28"/>
          <w:szCs w:val="28"/>
        </w:rPr>
        <w:t>)</w:t>
      </w:r>
      <w:r w:rsidR="00DE3277">
        <w:rPr>
          <w:sz w:val="28"/>
          <w:szCs w:val="28"/>
        </w:rPr>
        <w:t>,</w:t>
      </w:r>
      <w:r w:rsidR="00DE3277" w:rsidRPr="0038432C">
        <w:rPr>
          <w:sz w:val="28"/>
          <w:szCs w:val="28"/>
        </w:rPr>
        <w:t xml:space="preserve"> </w:t>
      </w:r>
      <w:r w:rsidR="00DE3277">
        <w:rPr>
          <w:b/>
          <w:bCs/>
          <w:sz w:val="28"/>
          <w:szCs w:val="28"/>
        </w:rPr>
        <w:t>however</w:t>
      </w:r>
      <w:r w:rsidR="00D13B85">
        <w:rPr>
          <w:b/>
          <w:bCs/>
          <w:sz w:val="28"/>
          <w:szCs w:val="28"/>
        </w:rPr>
        <w:t xml:space="preserve"> it was not for monetary </w:t>
      </w:r>
      <w:r w:rsidR="00D13B85" w:rsidRPr="0038432C">
        <w:rPr>
          <w:sz w:val="28"/>
          <w:szCs w:val="28"/>
        </w:rPr>
        <w:t xml:space="preserve">reasons as they testified (which is an unacceptable testimony since they are </w:t>
      </w:r>
      <w:r w:rsidR="00D13B85" w:rsidRPr="0038432C">
        <w:rPr>
          <w:rFonts w:hint="cs"/>
          <w:sz w:val="28"/>
          <w:szCs w:val="28"/>
          <w:rtl/>
        </w:rPr>
        <w:t>משים עצמם רשעים</w:t>
      </w:r>
      <w:r w:rsidR="00D13B85" w:rsidRPr="0038432C">
        <w:rPr>
          <w:sz w:val="28"/>
          <w:szCs w:val="28"/>
        </w:rPr>
        <w:t>)</w:t>
      </w:r>
      <w:r w:rsidR="009430AB" w:rsidRPr="0038432C">
        <w:rPr>
          <w:sz w:val="28"/>
          <w:szCs w:val="28"/>
        </w:rPr>
        <w:t xml:space="preserve"> </w:t>
      </w:r>
      <w:r w:rsidR="009430AB">
        <w:rPr>
          <w:b/>
          <w:bCs/>
          <w:sz w:val="28"/>
          <w:szCs w:val="28"/>
        </w:rPr>
        <w:t xml:space="preserve">but rather on account of </w:t>
      </w:r>
      <w:r w:rsidR="009430AB">
        <w:rPr>
          <w:sz w:val="28"/>
          <w:szCs w:val="28"/>
        </w:rPr>
        <w:t xml:space="preserve">saving their </w:t>
      </w:r>
      <w:r w:rsidR="009430AB">
        <w:rPr>
          <w:b/>
          <w:bCs/>
          <w:sz w:val="28"/>
          <w:szCs w:val="28"/>
        </w:rPr>
        <w:t xml:space="preserve">lives </w:t>
      </w:r>
      <w:r w:rsidR="009430AB" w:rsidRPr="00F65BB4">
        <w:t xml:space="preserve">(which is an acceptable testimony). </w:t>
      </w:r>
    </w:p>
    <w:p w:rsidR="002F0E3E" w:rsidRDefault="002F0E3E" w:rsidP="0038432C">
      <w:pPr>
        <w:spacing w:line="264" w:lineRule="auto"/>
        <w:jc w:val="both"/>
      </w:pPr>
    </w:p>
    <w:p w:rsidR="009430AB" w:rsidRPr="00F65BB4" w:rsidRDefault="009430AB" w:rsidP="0038432C">
      <w:pPr>
        <w:spacing w:line="264" w:lineRule="auto"/>
        <w:jc w:val="both"/>
      </w:pPr>
      <w:r w:rsidRPr="00F65BB4">
        <w:t xml:space="preserve">We cannot argue that our </w:t>
      </w:r>
      <w:r w:rsidRPr="00F65BB4">
        <w:rPr>
          <w:rFonts w:hint="cs"/>
          <w:rtl/>
        </w:rPr>
        <w:t>גמרא</w:t>
      </w:r>
      <w:r w:rsidRPr="00F65BB4">
        <w:t xml:space="preserve"> does not subscribe to </w:t>
      </w:r>
      <w:r w:rsidRPr="00F65BB4">
        <w:rPr>
          <w:rFonts w:hint="cs"/>
          <w:rtl/>
        </w:rPr>
        <w:t>פלגינן דיבורא</w:t>
      </w:r>
      <w:r w:rsidR="00ED7E5F">
        <w:rPr>
          <w:rStyle w:val="FootnoteReference"/>
          <w:rtl/>
        </w:rPr>
        <w:footnoteReference w:id="3"/>
      </w:r>
      <w:r w:rsidRPr="00F65BB4">
        <w:t xml:space="preserve"> –</w:t>
      </w:r>
    </w:p>
    <w:p w:rsidR="0038432C" w:rsidRPr="00DE3277" w:rsidRDefault="009430AB" w:rsidP="0038432C">
      <w:pPr>
        <w:bidi/>
        <w:spacing w:line="264" w:lineRule="auto"/>
        <w:jc w:val="both"/>
        <w:rPr>
          <w:rFonts w:cs="David"/>
          <w:b/>
          <w:bCs/>
          <w:sz w:val="28"/>
          <w:szCs w:val="28"/>
        </w:rPr>
      </w:pPr>
      <w:r w:rsidRPr="00DE3277">
        <w:rPr>
          <w:rFonts w:cs="David" w:hint="cs"/>
          <w:b/>
          <w:bCs/>
          <w:sz w:val="28"/>
          <w:szCs w:val="28"/>
          <w:rtl/>
        </w:rPr>
        <w:t>דאליבא דרבא קיימא</w:t>
      </w:r>
      <w:r w:rsidR="00460BCD" w:rsidRPr="00DE3277">
        <w:rPr>
          <w:rStyle w:val="FootnoteReference"/>
          <w:rFonts w:cs="David"/>
          <w:b/>
          <w:bCs/>
          <w:sz w:val="28"/>
          <w:szCs w:val="28"/>
          <w:rtl/>
        </w:rPr>
        <w:footnoteReference w:id="4"/>
      </w:r>
      <w:r w:rsidRPr="00DE3277">
        <w:rPr>
          <w:rFonts w:cs="David"/>
          <w:b/>
          <w:bCs/>
          <w:sz w:val="28"/>
          <w:szCs w:val="28"/>
        </w:rPr>
        <w:t xml:space="preserve"> – </w:t>
      </w:r>
    </w:p>
    <w:p w:rsidR="00D13B85" w:rsidRPr="00F65BB4" w:rsidRDefault="0038432C" w:rsidP="0038432C">
      <w:pPr>
        <w:spacing w:line="264" w:lineRule="auto"/>
        <w:jc w:val="both"/>
      </w:pPr>
      <w:r>
        <w:rPr>
          <w:b/>
          <w:bCs/>
          <w:sz w:val="28"/>
          <w:szCs w:val="28"/>
        </w:rPr>
        <w:t>For</w:t>
      </w:r>
      <w:r w:rsidR="009430AB">
        <w:rPr>
          <w:b/>
          <w:bCs/>
          <w:sz w:val="28"/>
          <w:szCs w:val="28"/>
        </w:rPr>
        <w:t xml:space="preserve"> we are following the view of </w:t>
      </w:r>
      <w:r w:rsidR="009430AB">
        <w:rPr>
          <w:rFonts w:hint="cs"/>
          <w:b/>
          <w:bCs/>
          <w:sz w:val="28"/>
          <w:szCs w:val="28"/>
          <w:rtl/>
        </w:rPr>
        <w:t>רבא</w:t>
      </w:r>
      <w:r w:rsidR="009430AB">
        <w:rPr>
          <w:b/>
          <w:bCs/>
          <w:sz w:val="28"/>
          <w:szCs w:val="28"/>
        </w:rPr>
        <w:t xml:space="preserve">! </w:t>
      </w:r>
      <w:r w:rsidR="00D13B85">
        <w:rPr>
          <w:b/>
          <w:bCs/>
          <w:sz w:val="28"/>
          <w:szCs w:val="28"/>
        </w:rPr>
        <w:t xml:space="preserve"> </w:t>
      </w:r>
      <w:r w:rsidR="009430AB" w:rsidRPr="00F65BB4">
        <w:t xml:space="preserve">He is the one who maintains </w:t>
      </w:r>
      <w:r w:rsidR="009430AB" w:rsidRPr="00F65BB4">
        <w:rPr>
          <w:rFonts w:hint="cs"/>
          <w:rtl/>
        </w:rPr>
        <w:t>פלגינן דיבורא</w:t>
      </w:r>
      <w:r w:rsidR="009430AB" w:rsidRPr="00F65BB4">
        <w:t xml:space="preserve">. </w:t>
      </w:r>
      <w:r w:rsidR="009430AB" w:rsidRPr="00F65BB4">
        <w:rPr>
          <w:rFonts w:hint="cs"/>
          <w:rtl/>
        </w:rPr>
        <w:t>תוספות</w:t>
      </w:r>
      <w:r w:rsidR="009430AB" w:rsidRPr="00F65BB4">
        <w:t xml:space="preserve"> is asking why by </w:t>
      </w:r>
      <w:r w:rsidR="009430AB" w:rsidRPr="00F65BB4">
        <w:rPr>
          <w:rFonts w:hint="cs"/>
          <w:rtl/>
        </w:rPr>
        <w:t>פלוני רבעני לרצוני</w:t>
      </w:r>
      <w:r w:rsidR="009430AB" w:rsidRPr="00F65BB4">
        <w:t xml:space="preserve"> which is an unacceptable testimony, for he is </w:t>
      </w:r>
      <w:r w:rsidR="009430AB" w:rsidRPr="00F65BB4">
        <w:rPr>
          <w:rFonts w:hint="cs"/>
          <w:rtl/>
        </w:rPr>
        <w:t>משים עצמו רשע</w:t>
      </w:r>
      <w:r w:rsidR="009430AB" w:rsidRPr="00F65BB4">
        <w:t xml:space="preserve"> by saying </w:t>
      </w:r>
      <w:r w:rsidR="002F0E3E">
        <w:rPr>
          <w:rFonts w:hint="cs"/>
          <w:rtl/>
        </w:rPr>
        <w:t xml:space="preserve">רבעני </w:t>
      </w:r>
      <w:r w:rsidR="009430AB" w:rsidRPr="00F65BB4">
        <w:rPr>
          <w:rFonts w:hint="cs"/>
          <w:rtl/>
        </w:rPr>
        <w:t>לרצוני</w:t>
      </w:r>
      <w:r w:rsidR="009430AB" w:rsidRPr="00F65BB4">
        <w:t xml:space="preserve">, nevertheless we accept </w:t>
      </w:r>
      <w:r w:rsidR="009430AB" w:rsidRPr="00F65BB4">
        <w:rPr>
          <w:rFonts w:hint="cs"/>
          <w:rtl/>
        </w:rPr>
        <w:t>פלוני רבע</w:t>
      </w:r>
      <w:r w:rsidR="009430AB" w:rsidRPr="00F65BB4">
        <w:t xml:space="preserve">, </w:t>
      </w:r>
      <w:r w:rsidR="009943D0" w:rsidRPr="00F65BB4">
        <w:t>(</w:t>
      </w:r>
      <w:r w:rsidR="009430AB" w:rsidRPr="00F65BB4">
        <w:t xml:space="preserve">and we reinterpret </w:t>
      </w:r>
      <w:r w:rsidR="009943D0" w:rsidRPr="00F65BB4">
        <w:rPr>
          <w:rFonts w:hint="cs"/>
          <w:rtl/>
        </w:rPr>
        <w:t>רבעני לרצוני</w:t>
      </w:r>
      <w:r w:rsidR="009943D0" w:rsidRPr="00F65BB4">
        <w:t xml:space="preserve"> to mean </w:t>
      </w:r>
      <w:r w:rsidR="009943D0" w:rsidRPr="00F65BB4">
        <w:rPr>
          <w:rFonts w:hint="cs"/>
          <w:rtl/>
        </w:rPr>
        <w:t>רבע לפלוני</w:t>
      </w:r>
      <w:r w:rsidR="009943D0" w:rsidRPr="00F65BB4">
        <w:t>).</w:t>
      </w:r>
      <w:r w:rsidR="009430AB" w:rsidRPr="00F65BB4">
        <w:t xml:space="preserve"> The same should be here where they testify </w:t>
      </w:r>
      <w:r w:rsidR="009430AB" w:rsidRPr="00F65BB4">
        <w:rPr>
          <w:rFonts w:hint="cs"/>
          <w:rtl/>
        </w:rPr>
        <w:t>אנוסים היינו מחמת ממון</w:t>
      </w:r>
      <w:r w:rsidR="009430AB" w:rsidRPr="00F65BB4">
        <w:t xml:space="preserve"> </w:t>
      </w:r>
      <w:r w:rsidR="009943D0" w:rsidRPr="00F65BB4">
        <w:t>(</w:t>
      </w:r>
      <w:r w:rsidR="009430AB" w:rsidRPr="00F65BB4">
        <w:t xml:space="preserve">which is an unacceptable testimony, for they are </w:t>
      </w:r>
      <w:r w:rsidR="009430AB" w:rsidRPr="00F65BB4">
        <w:rPr>
          <w:rFonts w:hint="cs"/>
          <w:rtl/>
        </w:rPr>
        <w:t>משים עצמם רשעים</w:t>
      </w:r>
      <w:r w:rsidR="009430AB" w:rsidRPr="00F65BB4">
        <w:t xml:space="preserve"> by saying </w:t>
      </w:r>
      <w:r w:rsidR="009430AB" w:rsidRPr="00F65BB4">
        <w:rPr>
          <w:rFonts w:hint="cs"/>
          <w:rtl/>
        </w:rPr>
        <w:t>מחמת ממון</w:t>
      </w:r>
      <w:r w:rsidR="009943D0" w:rsidRPr="00F65BB4">
        <w:t>)</w:t>
      </w:r>
      <w:r w:rsidR="009430AB" w:rsidRPr="00F65BB4">
        <w:t xml:space="preserve">. Let us also accept only the </w:t>
      </w:r>
      <w:r w:rsidR="009430AB" w:rsidRPr="00F65BB4">
        <w:rPr>
          <w:rFonts w:hint="cs"/>
          <w:rtl/>
        </w:rPr>
        <w:t>אנוסים היינו</w:t>
      </w:r>
      <w:r w:rsidR="00227BD5" w:rsidRPr="00F65BB4">
        <w:t>,</w:t>
      </w:r>
      <w:r w:rsidR="009430AB" w:rsidRPr="00F65BB4">
        <w:t xml:space="preserve"> and reinterpret </w:t>
      </w:r>
      <w:r w:rsidR="009430AB" w:rsidRPr="00F65BB4">
        <w:rPr>
          <w:rFonts w:hint="cs"/>
          <w:rtl/>
        </w:rPr>
        <w:t>מחמת ממון</w:t>
      </w:r>
      <w:r w:rsidR="009430AB" w:rsidRPr="00F65BB4">
        <w:t xml:space="preserve"> to mean </w:t>
      </w:r>
      <w:r w:rsidR="009430AB" w:rsidRPr="00F65BB4">
        <w:rPr>
          <w:rFonts w:hint="cs"/>
          <w:rtl/>
        </w:rPr>
        <w:t>מחמת נפשות</w:t>
      </w:r>
      <w:r w:rsidR="009430AB" w:rsidRPr="00F65BB4">
        <w:t xml:space="preserve"> as we did by </w:t>
      </w:r>
      <w:r w:rsidR="009430AB" w:rsidRPr="00F65BB4">
        <w:rPr>
          <w:rFonts w:hint="cs"/>
          <w:rtl/>
        </w:rPr>
        <w:t>פלוני רבעני לרצוני</w:t>
      </w:r>
      <w:r w:rsidR="009430AB" w:rsidRPr="00F65BB4">
        <w:t>.</w:t>
      </w:r>
      <w:r w:rsidR="00227BD5" w:rsidRPr="00F65BB4">
        <w:t xml:space="preserve"> The </w:t>
      </w:r>
      <w:r w:rsidR="00227BD5" w:rsidRPr="00F65BB4">
        <w:rPr>
          <w:rFonts w:hint="cs"/>
          <w:rtl/>
        </w:rPr>
        <w:t>שטר</w:t>
      </w:r>
      <w:r w:rsidR="00227BD5" w:rsidRPr="00F65BB4">
        <w:t xml:space="preserve"> would then be </w:t>
      </w:r>
      <w:r w:rsidR="00227BD5" w:rsidRPr="00F65BB4">
        <w:rPr>
          <w:rFonts w:hint="cs"/>
          <w:rtl/>
        </w:rPr>
        <w:t>פסול</w:t>
      </w:r>
      <w:r w:rsidR="00227BD5" w:rsidRPr="00F65BB4">
        <w:t>.</w:t>
      </w:r>
    </w:p>
    <w:p w:rsidR="00227BD5" w:rsidRPr="00F65BB4" w:rsidRDefault="00227BD5" w:rsidP="0038432C">
      <w:pPr>
        <w:spacing w:line="264" w:lineRule="auto"/>
        <w:jc w:val="both"/>
      </w:pPr>
    </w:p>
    <w:p w:rsidR="00227BD5" w:rsidRPr="00F65BB4" w:rsidRDefault="00227BD5" w:rsidP="0038432C">
      <w:pPr>
        <w:spacing w:line="264" w:lineRule="auto"/>
        <w:jc w:val="both"/>
      </w:pPr>
      <w:r w:rsidRPr="00F65BB4">
        <w:rPr>
          <w:rFonts w:hint="cs"/>
          <w:rtl/>
        </w:rPr>
        <w:t>תוספות</w:t>
      </w:r>
      <w:r w:rsidRPr="00F65BB4">
        <w:t xml:space="preserve"> answers:</w:t>
      </w:r>
    </w:p>
    <w:p w:rsidR="00B96992" w:rsidRPr="00DE3277" w:rsidRDefault="005E12D9" w:rsidP="00B96992">
      <w:pPr>
        <w:bidi/>
        <w:spacing w:line="264" w:lineRule="auto"/>
        <w:jc w:val="both"/>
        <w:rPr>
          <w:rFonts w:cs="David"/>
          <w:b/>
          <w:bCs/>
          <w:sz w:val="28"/>
          <w:szCs w:val="28"/>
        </w:rPr>
      </w:pPr>
      <w:r w:rsidRPr="00DE3277">
        <w:rPr>
          <w:rFonts w:cs="David" w:hint="cs"/>
          <w:b/>
          <w:bCs/>
          <w:sz w:val="28"/>
          <w:szCs w:val="28"/>
          <w:rtl/>
        </w:rPr>
        <w:t>ויש לומר</w:t>
      </w:r>
      <w:r w:rsidR="00B96992" w:rsidRPr="00DE3277">
        <w:rPr>
          <w:rFonts w:cs="David"/>
          <w:b/>
          <w:bCs/>
          <w:sz w:val="28"/>
          <w:szCs w:val="28"/>
        </w:rPr>
        <w:t xml:space="preserve"> </w:t>
      </w:r>
      <w:r w:rsidR="00B96992" w:rsidRPr="00DE3277">
        <w:rPr>
          <w:rFonts w:cs="David" w:hint="cs"/>
          <w:b/>
          <w:bCs/>
          <w:sz w:val="28"/>
          <w:szCs w:val="28"/>
          <w:rtl/>
        </w:rPr>
        <w:t>כיון דקיום שטרות מדרבנן לא פלגינן דיבורא כדי לפסול את השטר</w:t>
      </w:r>
      <w:r w:rsidR="00460BCD" w:rsidRPr="00DE3277">
        <w:rPr>
          <w:rStyle w:val="FootnoteReference"/>
          <w:rFonts w:cs="David"/>
          <w:b/>
          <w:bCs/>
          <w:sz w:val="28"/>
          <w:szCs w:val="28"/>
          <w:rtl/>
        </w:rPr>
        <w:footnoteReference w:id="5"/>
      </w:r>
      <w:r w:rsidR="00B96992" w:rsidRPr="00DE3277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5E12D9" w:rsidRPr="00F65BB4" w:rsidRDefault="00B96992" w:rsidP="00B96992">
      <w:pPr>
        <w:spacing w:line="264" w:lineRule="auto"/>
        <w:jc w:val="both"/>
      </w:pPr>
      <w:r>
        <w:rPr>
          <w:b/>
          <w:bCs/>
          <w:sz w:val="28"/>
          <w:szCs w:val="28"/>
        </w:rPr>
        <w:lastRenderedPageBreak/>
        <w:t>And</w:t>
      </w:r>
      <w:r w:rsidR="005E12D9">
        <w:rPr>
          <w:b/>
          <w:bCs/>
          <w:sz w:val="28"/>
          <w:szCs w:val="28"/>
        </w:rPr>
        <w:t xml:space="preserve"> one can say since </w:t>
      </w:r>
      <w:r w:rsidR="005E12D9">
        <w:rPr>
          <w:sz w:val="28"/>
          <w:szCs w:val="28"/>
        </w:rPr>
        <w:t xml:space="preserve">the necessity </w:t>
      </w:r>
      <w:r w:rsidR="005E12D9">
        <w:rPr>
          <w:b/>
          <w:bCs/>
          <w:sz w:val="28"/>
          <w:szCs w:val="28"/>
        </w:rPr>
        <w:t xml:space="preserve">to authenticate documents is a </w:t>
      </w:r>
      <w:r w:rsidR="007173D8">
        <w:rPr>
          <w:b/>
          <w:bCs/>
          <w:sz w:val="28"/>
          <w:szCs w:val="28"/>
        </w:rPr>
        <w:t>rabbinic</w:t>
      </w:r>
      <w:r w:rsidR="005E12D9">
        <w:rPr>
          <w:b/>
          <w:bCs/>
          <w:sz w:val="28"/>
          <w:szCs w:val="28"/>
        </w:rPr>
        <w:t xml:space="preserve"> enactment</w:t>
      </w:r>
      <w:r w:rsidR="005E12D9">
        <w:rPr>
          <w:sz w:val="28"/>
          <w:szCs w:val="28"/>
        </w:rPr>
        <w:t xml:space="preserve">; </w:t>
      </w:r>
      <w:r w:rsidR="005E12D9" w:rsidRPr="00DE3277">
        <w:rPr>
          <w:rFonts w:hint="cs"/>
          <w:sz w:val="28"/>
          <w:szCs w:val="28"/>
          <w:rtl/>
        </w:rPr>
        <w:t>מן</w:t>
      </w:r>
      <w:r w:rsidR="005E12D9" w:rsidRPr="00F65BB4">
        <w:rPr>
          <w:rFonts w:hint="cs"/>
          <w:rtl/>
        </w:rPr>
        <w:t xml:space="preserve"> </w:t>
      </w:r>
      <w:r w:rsidR="005E12D9" w:rsidRPr="00B96992">
        <w:rPr>
          <w:rFonts w:hint="cs"/>
          <w:sz w:val="28"/>
          <w:szCs w:val="28"/>
          <w:rtl/>
        </w:rPr>
        <w:t>התורה</w:t>
      </w:r>
      <w:r w:rsidR="005E12D9" w:rsidRPr="00B96992">
        <w:rPr>
          <w:sz w:val="28"/>
          <w:szCs w:val="28"/>
        </w:rPr>
        <w:t xml:space="preserve"> we assume that </w:t>
      </w:r>
      <w:r w:rsidR="005E12D9" w:rsidRPr="00B96992">
        <w:rPr>
          <w:rFonts w:hint="cs"/>
          <w:sz w:val="28"/>
          <w:szCs w:val="28"/>
          <w:rtl/>
        </w:rPr>
        <w:t xml:space="preserve">עדים החתומים על השטר </w:t>
      </w:r>
      <w:r w:rsidR="00E737C9" w:rsidRPr="00B96992">
        <w:rPr>
          <w:rFonts w:hint="cs"/>
          <w:sz w:val="28"/>
          <w:szCs w:val="28"/>
          <w:rtl/>
        </w:rPr>
        <w:t xml:space="preserve">נעשה </w:t>
      </w:r>
      <w:r w:rsidR="005E12D9" w:rsidRPr="00B96992">
        <w:rPr>
          <w:rFonts w:hint="cs"/>
          <w:sz w:val="28"/>
          <w:szCs w:val="28"/>
          <w:rtl/>
        </w:rPr>
        <w:t>כמי שנחקרה עדותן בבי"</w:t>
      </w:r>
      <w:r w:rsidR="007173D8" w:rsidRPr="00B96992">
        <w:rPr>
          <w:rFonts w:hint="cs"/>
          <w:sz w:val="28"/>
          <w:szCs w:val="28"/>
          <w:rtl/>
        </w:rPr>
        <w:t>ד</w:t>
      </w:r>
      <w:r w:rsidR="005E12D9" w:rsidRPr="00B96992">
        <w:rPr>
          <w:sz w:val="28"/>
          <w:szCs w:val="28"/>
        </w:rPr>
        <w:t xml:space="preserve"> and no </w:t>
      </w:r>
      <w:r w:rsidR="005E12D9" w:rsidRPr="00B96992">
        <w:rPr>
          <w:rFonts w:hint="cs"/>
          <w:sz w:val="28"/>
          <w:szCs w:val="28"/>
          <w:rtl/>
        </w:rPr>
        <w:t>קיום</w:t>
      </w:r>
      <w:r w:rsidR="005E12D9" w:rsidRPr="00B96992">
        <w:rPr>
          <w:sz w:val="28"/>
          <w:szCs w:val="28"/>
        </w:rPr>
        <w:t xml:space="preserve"> is required. Therefore, since this </w:t>
      </w:r>
      <w:r w:rsidR="005E12D9" w:rsidRPr="00B96992">
        <w:rPr>
          <w:rFonts w:hint="cs"/>
          <w:sz w:val="28"/>
          <w:szCs w:val="28"/>
          <w:rtl/>
        </w:rPr>
        <w:t>שטר</w:t>
      </w:r>
      <w:r w:rsidR="005E12D9" w:rsidRPr="00B96992">
        <w:rPr>
          <w:sz w:val="28"/>
          <w:szCs w:val="28"/>
        </w:rPr>
        <w:t xml:space="preserve"> is </w:t>
      </w:r>
      <w:r w:rsidR="005E12D9" w:rsidRPr="00B96992">
        <w:rPr>
          <w:rFonts w:hint="cs"/>
          <w:sz w:val="28"/>
          <w:szCs w:val="28"/>
          <w:rtl/>
        </w:rPr>
        <w:t>מקוים מן התורה</w:t>
      </w:r>
      <w:r w:rsidR="005E12D9" w:rsidRPr="00B96992">
        <w:rPr>
          <w:sz w:val="28"/>
          <w:szCs w:val="28"/>
        </w:rPr>
        <w:t xml:space="preserve"> </w:t>
      </w:r>
      <w:r w:rsidR="005E12D9">
        <w:rPr>
          <w:b/>
          <w:bCs/>
          <w:sz w:val="28"/>
          <w:szCs w:val="28"/>
        </w:rPr>
        <w:t xml:space="preserve">we do not divide their statement in order to invalidate the </w:t>
      </w:r>
      <w:r w:rsidR="005E12D9">
        <w:rPr>
          <w:rFonts w:hint="cs"/>
          <w:b/>
          <w:bCs/>
          <w:sz w:val="28"/>
          <w:szCs w:val="28"/>
          <w:rtl/>
        </w:rPr>
        <w:t>שטר</w:t>
      </w:r>
      <w:r w:rsidR="005E12D9">
        <w:rPr>
          <w:b/>
          <w:bCs/>
          <w:sz w:val="28"/>
          <w:szCs w:val="28"/>
        </w:rPr>
        <w:t>.</w:t>
      </w:r>
      <w:r w:rsidR="00ED7E5F">
        <w:rPr>
          <w:rStyle w:val="FootnoteReference"/>
          <w:b/>
          <w:bCs/>
          <w:sz w:val="28"/>
          <w:szCs w:val="28"/>
        </w:rPr>
        <w:footnoteReference w:id="6"/>
      </w:r>
      <w:r w:rsidR="00E737C9">
        <w:rPr>
          <w:b/>
          <w:bCs/>
          <w:sz w:val="28"/>
          <w:szCs w:val="28"/>
        </w:rPr>
        <w:t xml:space="preserve"> </w:t>
      </w:r>
      <w:r w:rsidR="00E737C9" w:rsidRPr="00F65BB4">
        <w:t xml:space="preserve">The testimony of these </w:t>
      </w:r>
      <w:r w:rsidR="00E737C9" w:rsidRPr="00F65BB4">
        <w:rPr>
          <w:rFonts w:hint="cs"/>
          <w:rtl/>
        </w:rPr>
        <w:t>עדים</w:t>
      </w:r>
      <w:r w:rsidR="00E737C9" w:rsidRPr="00F65BB4">
        <w:t xml:space="preserve">, as given, is unacceptable since </w:t>
      </w:r>
      <w:r w:rsidR="00E737C9" w:rsidRPr="00F65BB4">
        <w:rPr>
          <w:rFonts w:hint="cs"/>
          <w:rtl/>
        </w:rPr>
        <w:t>א"א מע"ר</w:t>
      </w:r>
      <w:r w:rsidR="00E737C9" w:rsidRPr="00F65BB4">
        <w:t xml:space="preserve">. The </w:t>
      </w:r>
      <w:r w:rsidR="00E737C9" w:rsidRPr="00F65BB4">
        <w:rPr>
          <w:rFonts w:hint="cs"/>
          <w:rtl/>
        </w:rPr>
        <w:t>שטר</w:t>
      </w:r>
      <w:r w:rsidR="00E737C9" w:rsidRPr="00F65BB4">
        <w:t xml:space="preserve"> is </w:t>
      </w:r>
      <w:r w:rsidR="00E737C9" w:rsidRPr="00F65BB4">
        <w:rPr>
          <w:rFonts w:hint="cs"/>
          <w:rtl/>
        </w:rPr>
        <w:t>מקויים מן התורה</w:t>
      </w:r>
      <w:r w:rsidR="00E737C9" w:rsidRPr="00F65BB4">
        <w:t xml:space="preserve">. The </w:t>
      </w:r>
      <w:r w:rsidR="00E737C9" w:rsidRPr="00F65BB4">
        <w:rPr>
          <w:rFonts w:hint="cs"/>
          <w:rtl/>
        </w:rPr>
        <w:t>חכמים</w:t>
      </w:r>
      <w:r w:rsidR="00E737C9" w:rsidRPr="00F65BB4">
        <w:t xml:space="preserve"> will not use </w:t>
      </w:r>
      <w:r w:rsidR="009943D0" w:rsidRPr="00F65BB4">
        <w:t xml:space="preserve">the </w:t>
      </w:r>
      <w:r w:rsidR="00E737C9" w:rsidRPr="00F65BB4">
        <w:t>extraordinary measure</w:t>
      </w:r>
      <w:r w:rsidR="009943D0" w:rsidRPr="00F65BB4">
        <w:t xml:space="preserve"> of </w:t>
      </w:r>
      <w:r w:rsidR="009943D0" w:rsidRPr="00F65BB4">
        <w:rPr>
          <w:rFonts w:hint="cs"/>
          <w:rtl/>
        </w:rPr>
        <w:t>פלגינן דיבורא</w:t>
      </w:r>
      <w:r w:rsidR="00E737C9" w:rsidRPr="00F65BB4">
        <w:t xml:space="preserve"> to invalidate this </w:t>
      </w:r>
      <w:r w:rsidR="00E737C9" w:rsidRPr="00F65BB4">
        <w:rPr>
          <w:rFonts w:hint="cs"/>
          <w:rtl/>
        </w:rPr>
        <w:t>קיום</w:t>
      </w:r>
      <w:r w:rsidR="00E737C9" w:rsidRPr="00F65BB4">
        <w:t>.</w:t>
      </w:r>
    </w:p>
    <w:p w:rsidR="00E737C9" w:rsidRPr="00F65BB4" w:rsidRDefault="00E737C9" w:rsidP="0038432C">
      <w:pPr>
        <w:spacing w:line="264" w:lineRule="auto"/>
        <w:jc w:val="both"/>
      </w:pPr>
    </w:p>
    <w:p w:rsidR="00E737C9" w:rsidRPr="00F65BB4" w:rsidRDefault="00E737C9" w:rsidP="00B96992">
      <w:pPr>
        <w:spacing w:line="264" w:lineRule="auto"/>
        <w:jc w:val="both"/>
      </w:pPr>
      <w:r w:rsidRPr="00F65BB4">
        <w:rPr>
          <w:rFonts w:hint="cs"/>
          <w:rtl/>
        </w:rPr>
        <w:t>תוספות</w:t>
      </w:r>
      <w:r w:rsidRPr="00F65BB4">
        <w:t xml:space="preserve"> </w:t>
      </w:r>
      <w:r w:rsidR="00B96992">
        <w:t>offer</w:t>
      </w:r>
      <w:r w:rsidRPr="00F65BB4">
        <w:t>s another answer:</w:t>
      </w:r>
    </w:p>
    <w:p w:rsidR="00B96992" w:rsidRPr="00DE3277" w:rsidRDefault="00E737C9" w:rsidP="00B96992">
      <w:pPr>
        <w:bidi/>
        <w:spacing w:line="264" w:lineRule="auto"/>
        <w:jc w:val="both"/>
        <w:rPr>
          <w:rFonts w:cs="David"/>
          <w:b/>
          <w:bCs/>
          <w:sz w:val="28"/>
          <w:szCs w:val="28"/>
        </w:rPr>
      </w:pPr>
      <w:r w:rsidRPr="00DE3277">
        <w:rPr>
          <w:rFonts w:cs="David" w:hint="cs"/>
          <w:b/>
          <w:bCs/>
          <w:sz w:val="28"/>
          <w:szCs w:val="28"/>
          <w:rtl/>
        </w:rPr>
        <w:t>ועוד</w:t>
      </w:r>
      <w:r w:rsidR="00B96992" w:rsidRPr="00DE3277">
        <w:rPr>
          <w:rFonts w:cs="David" w:hint="cs"/>
          <w:b/>
          <w:bCs/>
          <w:sz w:val="28"/>
          <w:szCs w:val="28"/>
          <w:rtl/>
        </w:rPr>
        <w:t xml:space="preserve"> דאין לנו לומר מעצמינו דאנוסים היו מחמת נפשות</w:t>
      </w:r>
      <w:r w:rsidRPr="00DE3277">
        <w:rPr>
          <w:rFonts w:cs="David"/>
          <w:b/>
          <w:bCs/>
          <w:sz w:val="28"/>
          <w:szCs w:val="28"/>
        </w:rPr>
        <w:t xml:space="preserve"> – </w:t>
      </w:r>
    </w:p>
    <w:p w:rsidR="00E737C9" w:rsidRDefault="00B96992" w:rsidP="00B96992">
      <w:pPr>
        <w:spacing w:line="264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And</w:t>
      </w:r>
      <w:r w:rsidR="00E737C9">
        <w:rPr>
          <w:b/>
          <w:bCs/>
          <w:sz w:val="28"/>
          <w:szCs w:val="28"/>
        </w:rPr>
        <w:t xml:space="preserve"> furthermore</w:t>
      </w:r>
      <w:r w:rsidR="00E737C9">
        <w:rPr>
          <w:sz w:val="28"/>
          <w:szCs w:val="28"/>
        </w:rPr>
        <w:t xml:space="preserve"> </w:t>
      </w:r>
      <w:r w:rsidR="00E737C9" w:rsidRPr="00B96992">
        <w:rPr>
          <w:sz w:val="28"/>
          <w:szCs w:val="28"/>
        </w:rPr>
        <w:t xml:space="preserve">our case of </w:t>
      </w:r>
      <w:r w:rsidR="00E737C9" w:rsidRPr="00B96992">
        <w:rPr>
          <w:rFonts w:hint="cs"/>
          <w:sz w:val="28"/>
          <w:szCs w:val="28"/>
          <w:rtl/>
        </w:rPr>
        <w:t>אנוסים היינו</w:t>
      </w:r>
      <w:r w:rsidR="00E737C9" w:rsidRPr="00B96992">
        <w:rPr>
          <w:sz w:val="28"/>
          <w:szCs w:val="28"/>
        </w:rPr>
        <w:t xml:space="preserve"> is different than </w:t>
      </w:r>
      <w:r w:rsidR="00E737C9" w:rsidRPr="00B96992">
        <w:rPr>
          <w:rFonts w:hint="cs"/>
          <w:sz w:val="28"/>
          <w:szCs w:val="28"/>
          <w:rtl/>
        </w:rPr>
        <w:t>פלוני רבעני</w:t>
      </w:r>
      <w:r w:rsidR="00E737C9" w:rsidRPr="00B96992">
        <w:rPr>
          <w:sz w:val="28"/>
          <w:szCs w:val="28"/>
        </w:rPr>
        <w:t xml:space="preserve"> </w:t>
      </w:r>
      <w:r w:rsidR="00E737C9">
        <w:rPr>
          <w:b/>
          <w:bCs/>
          <w:sz w:val="28"/>
          <w:szCs w:val="28"/>
        </w:rPr>
        <w:t xml:space="preserve">for we cannot claim on our own that they were forced under a death </w:t>
      </w:r>
      <w:r w:rsidR="00E737C9" w:rsidRPr="00F65BB4">
        <w:t>threat –</w:t>
      </w:r>
    </w:p>
    <w:p w:rsidR="00B96992" w:rsidRPr="00DE3277" w:rsidRDefault="004577F3" w:rsidP="00B96992">
      <w:pPr>
        <w:bidi/>
        <w:spacing w:line="264" w:lineRule="auto"/>
        <w:jc w:val="both"/>
        <w:rPr>
          <w:rFonts w:cs="David"/>
          <w:b/>
          <w:bCs/>
          <w:sz w:val="28"/>
          <w:szCs w:val="28"/>
        </w:rPr>
      </w:pPr>
      <w:r w:rsidRPr="00DE3277">
        <w:rPr>
          <w:rFonts w:cs="David" w:hint="cs"/>
          <w:b/>
          <w:bCs/>
          <w:sz w:val="28"/>
          <w:szCs w:val="28"/>
          <w:rtl/>
        </w:rPr>
        <w:t>דאונס  מחמת נפשות לא שכיח</w:t>
      </w:r>
      <w:r w:rsidR="00B96992" w:rsidRPr="00DE3277">
        <w:rPr>
          <w:rFonts w:cs="David" w:hint="cs"/>
          <w:b/>
          <w:bCs/>
          <w:sz w:val="28"/>
          <w:szCs w:val="28"/>
          <w:rtl/>
        </w:rPr>
        <w:t xml:space="preserve"> כדפרישית</w:t>
      </w:r>
      <w:r w:rsidR="00B96992" w:rsidRPr="00DE3277">
        <w:rPr>
          <w:rStyle w:val="FootnoteReference"/>
          <w:rFonts w:cs="David"/>
          <w:b/>
          <w:bCs/>
          <w:sz w:val="28"/>
          <w:szCs w:val="28"/>
        </w:rPr>
        <w:footnoteReference w:id="7"/>
      </w:r>
      <w:r w:rsidR="00B96992" w:rsidRPr="00DE3277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E737C9" w:rsidRDefault="00B96992" w:rsidP="00B96992">
      <w:pPr>
        <w:spacing w:line="264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</w:t>
      </w:r>
      <w:r w:rsidR="004577F3">
        <w:rPr>
          <w:b/>
          <w:bCs/>
          <w:sz w:val="28"/>
          <w:szCs w:val="28"/>
        </w:rPr>
        <w:t xml:space="preserve"> it is uncommon to coerce</w:t>
      </w:r>
      <w:r w:rsidR="009943D0">
        <w:rPr>
          <w:b/>
          <w:bCs/>
          <w:sz w:val="28"/>
          <w:szCs w:val="28"/>
        </w:rPr>
        <w:t xml:space="preserve"> </w:t>
      </w:r>
      <w:r w:rsidR="009943D0">
        <w:rPr>
          <w:sz w:val="28"/>
          <w:szCs w:val="28"/>
        </w:rPr>
        <w:t>witnesses to sign a loan document</w:t>
      </w:r>
      <w:r w:rsidR="004577F3">
        <w:rPr>
          <w:b/>
          <w:bCs/>
          <w:sz w:val="28"/>
          <w:szCs w:val="28"/>
        </w:rPr>
        <w:t xml:space="preserve"> with a death </w:t>
      </w:r>
      <w:r w:rsidR="004577F3" w:rsidRPr="00B96992">
        <w:rPr>
          <w:sz w:val="28"/>
          <w:szCs w:val="28"/>
        </w:rPr>
        <w:t>threat</w:t>
      </w:r>
      <w:r>
        <w:rPr>
          <w:sz w:val="28"/>
          <w:szCs w:val="28"/>
        </w:rPr>
        <w:t>,</w:t>
      </w:r>
      <w:r w:rsidR="004577F3" w:rsidRPr="00B96992">
        <w:rPr>
          <w:sz w:val="28"/>
          <w:szCs w:val="28"/>
        </w:rPr>
        <w:t xml:space="preserve"> </w:t>
      </w:r>
      <w:r w:rsidR="004577F3">
        <w:rPr>
          <w:b/>
          <w:bCs/>
          <w:sz w:val="28"/>
          <w:szCs w:val="28"/>
        </w:rPr>
        <w:t xml:space="preserve">as I </w:t>
      </w:r>
      <w:r w:rsidR="009943D0">
        <w:rPr>
          <w:sz w:val="28"/>
          <w:szCs w:val="28"/>
        </w:rPr>
        <w:t xml:space="preserve">previously </w:t>
      </w:r>
      <w:r w:rsidR="004577F3">
        <w:rPr>
          <w:b/>
          <w:bCs/>
          <w:sz w:val="28"/>
          <w:szCs w:val="28"/>
        </w:rPr>
        <w:t>explained -</w:t>
      </w:r>
    </w:p>
    <w:p w:rsidR="00B96992" w:rsidRPr="00D13050" w:rsidRDefault="004577F3" w:rsidP="00B96992">
      <w:pPr>
        <w:bidi/>
        <w:spacing w:line="264" w:lineRule="auto"/>
        <w:jc w:val="both"/>
        <w:rPr>
          <w:rFonts w:cs="David"/>
          <w:b/>
          <w:bCs/>
          <w:sz w:val="28"/>
          <w:szCs w:val="28"/>
        </w:rPr>
      </w:pPr>
      <w:r w:rsidRPr="00D13050">
        <w:rPr>
          <w:rFonts w:cs="David" w:hint="cs"/>
          <w:b/>
          <w:bCs/>
          <w:sz w:val="28"/>
          <w:szCs w:val="28"/>
          <w:rtl/>
        </w:rPr>
        <w:t>אבל התם</w:t>
      </w:r>
      <w:r w:rsidR="00B96992" w:rsidRPr="00D13050">
        <w:rPr>
          <w:rFonts w:cs="David" w:hint="cs"/>
          <w:b/>
          <w:bCs/>
          <w:sz w:val="28"/>
          <w:szCs w:val="28"/>
          <w:rtl/>
        </w:rPr>
        <w:t xml:space="preserve"> שכיח שבא על אשת איש אחרת כמו שבא על אשתו או שרבעו</w:t>
      </w:r>
      <w:r w:rsidR="00B96992" w:rsidRPr="00D13050">
        <w:rPr>
          <w:rStyle w:val="FootnoteReference"/>
          <w:rFonts w:cs="David"/>
          <w:b/>
          <w:bCs/>
          <w:sz w:val="28"/>
          <w:szCs w:val="28"/>
          <w:rtl/>
        </w:rPr>
        <w:footnoteReference w:id="8"/>
      </w:r>
      <w:r w:rsidR="00B96992" w:rsidRPr="00D13050">
        <w:rPr>
          <w:rFonts w:cs="David" w:hint="cs"/>
          <w:b/>
          <w:bCs/>
          <w:sz w:val="28"/>
          <w:szCs w:val="28"/>
          <w:rtl/>
        </w:rPr>
        <w:t xml:space="preserve"> אדם אחר</w:t>
      </w:r>
      <w:r w:rsidRPr="00D13050">
        <w:rPr>
          <w:rFonts w:cs="David"/>
          <w:b/>
          <w:bCs/>
          <w:sz w:val="28"/>
          <w:szCs w:val="28"/>
        </w:rPr>
        <w:t xml:space="preserve"> – </w:t>
      </w:r>
    </w:p>
    <w:p w:rsidR="004577F3" w:rsidRPr="00F65BB4" w:rsidRDefault="00B96992" w:rsidP="00B96992">
      <w:pPr>
        <w:spacing w:line="264" w:lineRule="auto"/>
        <w:jc w:val="both"/>
      </w:pPr>
      <w:r>
        <w:rPr>
          <w:b/>
          <w:bCs/>
          <w:sz w:val="28"/>
          <w:szCs w:val="28"/>
        </w:rPr>
        <w:t>However,</w:t>
      </w:r>
      <w:r w:rsidR="004577F3">
        <w:rPr>
          <w:b/>
          <w:bCs/>
          <w:sz w:val="28"/>
          <w:szCs w:val="28"/>
        </w:rPr>
        <w:t xml:space="preserve"> there </w:t>
      </w:r>
      <w:r w:rsidR="004577F3" w:rsidRPr="00B96992">
        <w:rPr>
          <w:sz w:val="28"/>
          <w:szCs w:val="28"/>
        </w:rPr>
        <w:t xml:space="preserve">by </w:t>
      </w:r>
      <w:r w:rsidR="004577F3" w:rsidRPr="00B96992">
        <w:rPr>
          <w:rFonts w:hint="cs"/>
          <w:sz w:val="28"/>
          <w:szCs w:val="28"/>
          <w:rtl/>
        </w:rPr>
        <w:t>פלוני רבעני לרצוני</w:t>
      </w:r>
      <w:r w:rsidR="004577F3" w:rsidRPr="00B96992">
        <w:rPr>
          <w:sz w:val="28"/>
          <w:szCs w:val="28"/>
        </w:rPr>
        <w:t xml:space="preserve"> or </w:t>
      </w:r>
      <w:r w:rsidR="004577F3" w:rsidRPr="00B96992">
        <w:rPr>
          <w:rFonts w:hint="cs"/>
          <w:sz w:val="28"/>
          <w:szCs w:val="28"/>
          <w:rtl/>
        </w:rPr>
        <w:t>פלוני בא על אשתי</w:t>
      </w:r>
      <w:r>
        <w:rPr>
          <w:sz w:val="28"/>
          <w:szCs w:val="28"/>
        </w:rPr>
        <w:t xml:space="preserve"> </w:t>
      </w:r>
      <w:r w:rsidR="004577F3">
        <w:rPr>
          <w:b/>
          <w:bCs/>
          <w:sz w:val="28"/>
          <w:szCs w:val="28"/>
        </w:rPr>
        <w:t xml:space="preserve">it is </w:t>
      </w:r>
      <w:r w:rsidR="004577F3">
        <w:rPr>
          <w:sz w:val="28"/>
          <w:szCs w:val="28"/>
        </w:rPr>
        <w:t xml:space="preserve">just as </w:t>
      </w:r>
      <w:r w:rsidR="004577F3">
        <w:rPr>
          <w:b/>
          <w:bCs/>
          <w:sz w:val="28"/>
          <w:szCs w:val="28"/>
        </w:rPr>
        <w:t xml:space="preserve">common that </w:t>
      </w:r>
      <w:r w:rsidR="004577F3">
        <w:rPr>
          <w:sz w:val="28"/>
          <w:szCs w:val="28"/>
        </w:rPr>
        <w:t>the alleged perpetrator</w:t>
      </w:r>
      <w:r w:rsidR="004577F3">
        <w:rPr>
          <w:b/>
          <w:bCs/>
          <w:sz w:val="28"/>
          <w:szCs w:val="28"/>
        </w:rPr>
        <w:t xml:space="preserve"> came upon another man’s wife just as he came upon his wife</w:t>
      </w:r>
      <w:r w:rsidR="00D13050">
        <w:rPr>
          <w:b/>
          <w:bCs/>
          <w:sz w:val="28"/>
          <w:szCs w:val="28"/>
        </w:rPr>
        <w:t>,</w:t>
      </w:r>
      <w:r w:rsidR="004577F3">
        <w:rPr>
          <w:b/>
          <w:bCs/>
          <w:sz w:val="28"/>
          <w:szCs w:val="28"/>
        </w:rPr>
        <w:t xml:space="preserve"> or that he sodomized another person</w:t>
      </w:r>
      <w:r w:rsidR="004577F3">
        <w:rPr>
          <w:sz w:val="28"/>
          <w:szCs w:val="28"/>
        </w:rPr>
        <w:t xml:space="preserve"> </w:t>
      </w:r>
      <w:r w:rsidR="004577F3" w:rsidRPr="00F65BB4">
        <w:t xml:space="preserve">not the accuser. </w:t>
      </w:r>
      <w:r w:rsidR="004577F3" w:rsidRPr="00F65BB4">
        <w:rPr>
          <w:rFonts w:hint="cs"/>
          <w:rtl/>
        </w:rPr>
        <w:t>תוספות</w:t>
      </w:r>
      <w:r w:rsidR="004577F3" w:rsidRPr="00F65BB4">
        <w:t xml:space="preserve"> answer is that we can say </w:t>
      </w:r>
      <w:r w:rsidR="004577F3" w:rsidRPr="00F65BB4">
        <w:rPr>
          <w:rFonts w:hint="cs"/>
          <w:rtl/>
        </w:rPr>
        <w:t>פלגינן דיבורא</w:t>
      </w:r>
      <w:r w:rsidR="004577F3" w:rsidRPr="00F65BB4">
        <w:t xml:space="preserve"> only when the </w:t>
      </w:r>
      <w:r w:rsidR="004F7892" w:rsidRPr="00F65BB4">
        <w:t>re</w:t>
      </w:r>
      <w:r w:rsidR="004577F3" w:rsidRPr="00F65BB4">
        <w:t xml:space="preserve">interpreted version is as likely a the original (as in </w:t>
      </w:r>
      <w:r w:rsidR="004577F3" w:rsidRPr="00F65BB4">
        <w:rPr>
          <w:rFonts w:hint="cs"/>
          <w:rtl/>
        </w:rPr>
        <w:t>מס' סנהדרין</w:t>
      </w:r>
      <w:r w:rsidR="004577F3" w:rsidRPr="00F65BB4">
        <w:t xml:space="preserve">). If however the </w:t>
      </w:r>
      <w:r w:rsidR="004F7892" w:rsidRPr="00F65BB4">
        <w:t>re</w:t>
      </w:r>
      <w:r w:rsidR="004577F3" w:rsidRPr="00F65BB4">
        <w:t xml:space="preserve">interpreted version is highly unlikely (as in our </w:t>
      </w:r>
      <w:r w:rsidR="004577F3" w:rsidRPr="00F65BB4">
        <w:rPr>
          <w:rFonts w:hint="cs"/>
          <w:rtl/>
        </w:rPr>
        <w:t>גמרא</w:t>
      </w:r>
      <w:r w:rsidR="004577F3" w:rsidRPr="00F65BB4">
        <w:t xml:space="preserve">) we do not say </w:t>
      </w:r>
      <w:r w:rsidR="004577F3" w:rsidRPr="00F65BB4">
        <w:rPr>
          <w:rFonts w:hint="cs"/>
          <w:rtl/>
        </w:rPr>
        <w:t>פלגינן דיבורא</w:t>
      </w:r>
      <w:r w:rsidR="004577F3" w:rsidRPr="00F65BB4">
        <w:t>.</w:t>
      </w:r>
    </w:p>
    <w:p w:rsidR="003D3BD2" w:rsidRPr="00D13050" w:rsidRDefault="004577F3" w:rsidP="003D3BD2">
      <w:pPr>
        <w:bidi/>
        <w:spacing w:line="264" w:lineRule="auto"/>
        <w:jc w:val="both"/>
        <w:rPr>
          <w:rFonts w:cs="David"/>
          <w:b/>
          <w:bCs/>
          <w:sz w:val="28"/>
          <w:szCs w:val="28"/>
        </w:rPr>
      </w:pPr>
      <w:r w:rsidRPr="00D13050">
        <w:rPr>
          <w:rFonts w:cs="David" w:hint="cs"/>
          <w:b/>
          <w:bCs/>
          <w:sz w:val="28"/>
          <w:szCs w:val="28"/>
          <w:rtl/>
        </w:rPr>
        <w:t>וכן בהרגתיו בסוף פרק ב' דיבמות</w:t>
      </w:r>
      <w:r w:rsidR="003D3BD2" w:rsidRPr="00D13050">
        <w:rPr>
          <w:rStyle w:val="FootnoteReference"/>
          <w:rFonts w:cs="David"/>
          <w:b/>
          <w:bCs/>
          <w:sz w:val="28"/>
          <w:szCs w:val="28"/>
          <w:rtl/>
        </w:rPr>
        <w:footnoteReference w:id="9"/>
      </w:r>
      <w:r w:rsidRPr="00D13050">
        <w:rPr>
          <w:rFonts w:cs="David" w:hint="cs"/>
          <w:b/>
          <w:bCs/>
          <w:sz w:val="20"/>
          <w:szCs w:val="20"/>
          <w:rtl/>
        </w:rPr>
        <w:t xml:space="preserve"> (דף כה,ב ושם)</w:t>
      </w:r>
      <w:r w:rsidR="003D3BD2" w:rsidRPr="00D13050">
        <w:rPr>
          <w:rFonts w:cs="David" w:hint="cs"/>
          <w:b/>
          <w:bCs/>
          <w:sz w:val="28"/>
          <w:szCs w:val="28"/>
          <w:rtl/>
        </w:rPr>
        <w:t xml:space="preserve"> יכול להיות דאדם אחר הרגו</w:t>
      </w:r>
      <w:r w:rsidRPr="00D13050">
        <w:rPr>
          <w:rFonts w:cs="David"/>
          <w:b/>
          <w:bCs/>
          <w:sz w:val="20"/>
          <w:szCs w:val="20"/>
        </w:rPr>
        <w:t xml:space="preserve"> </w:t>
      </w:r>
      <w:r w:rsidRPr="00D13050">
        <w:rPr>
          <w:rFonts w:cs="David"/>
          <w:b/>
          <w:bCs/>
          <w:sz w:val="28"/>
          <w:szCs w:val="28"/>
        </w:rPr>
        <w:t xml:space="preserve">– </w:t>
      </w:r>
    </w:p>
    <w:p w:rsidR="0044437D" w:rsidRPr="00FD436E" w:rsidRDefault="004577F3" w:rsidP="003D3BD2">
      <w:pPr>
        <w:spacing w:line="264" w:lineRule="auto"/>
        <w:jc w:val="both"/>
        <w:rPr>
          <w:rFonts w:hint="cs"/>
          <w:rtl/>
        </w:rPr>
      </w:pPr>
      <w:r>
        <w:rPr>
          <w:b/>
          <w:bCs/>
          <w:sz w:val="28"/>
          <w:szCs w:val="28"/>
        </w:rPr>
        <w:t xml:space="preserve">And </w:t>
      </w:r>
      <w:r w:rsidR="0044437D">
        <w:rPr>
          <w:b/>
          <w:bCs/>
          <w:sz w:val="28"/>
          <w:szCs w:val="28"/>
        </w:rPr>
        <w:t xml:space="preserve">similarly by </w:t>
      </w:r>
      <w:r w:rsidR="0044437D">
        <w:rPr>
          <w:sz w:val="28"/>
          <w:szCs w:val="28"/>
        </w:rPr>
        <w:t xml:space="preserve">the case of </w:t>
      </w:r>
      <w:r w:rsidR="0044437D">
        <w:rPr>
          <w:b/>
          <w:bCs/>
          <w:sz w:val="28"/>
          <w:szCs w:val="28"/>
        </w:rPr>
        <w:t xml:space="preserve">‘I killed him’ in the end of the second </w:t>
      </w:r>
      <w:r w:rsidR="0044437D">
        <w:rPr>
          <w:rFonts w:hint="cs"/>
          <w:b/>
          <w:bCs/>
          <w:sz w:val="28"/>
          <w:szCs w:val="28"/>
          <w:rtl/>
        </w:rPr>
        <w:t>פרק</w:t>
      </w:r>
      <w:r w:rsidR="0044437D">
        <w:rPr>
          <w:b/>
          <w:bCs/>
          <w:sz w:val="28"/>
          <w:szCs w:val="28"/>
        </w:rPr>
        <w:t xml:space="preserve"> of </w:t>
      </w:r>
      <w:r w:rsidR="0044437D">
        <w:rPr>
          <w:rFonts w:hint="cs"/>
          <w:sz w:val="28"/>
          <w:szCs w:val="28"/>
          <w:rtl/>
        </w:rPr>
        <w:t xml:space="preserve">מסכת </w:t>
      </w:r>
      <w:r w:rsidR="0044437D">
        <w:rPr>
          <w:rFonts w:hint="cs"/>
          <w:b/>
          <w:bCs/>
          <w:sz w:val="28"/>
          <w:szCs w:val="28"/>
          <w:rtl/>
        </w:rPr>
        <w:t>יבמות</w:t>
      </w:r>
      <w:r w:rsidR="0044437D" w:rsidRPr="00FD436E">
        <w:t xml:space="preserve">; </w:t>
      </w:r>
      <w:r w:rsidR="0044437D" w:rsidRPr="003D3BD2">
        <w:rPr>
          <w:sz w:val="28"/>
          <w:szCs w:val="28"/>
        </w:rPr>
        <w:t>for</w:t>
      </w:r>
      <w:r w:rsidR="0044437D" w:rsidRPr="00FD436E">
        <w:t xml:space="preserve"> </w:t>
      </w:r>
      <w:r w:rsidR="0044437D">
        <w:rPr>
          <w:b/>
          <w:bCs/>
          <w:sz w:val="28"/>
          <w:szCs w:val="28"/>
        </w:rPr>
        <w:t xml:space="preserve">it is </w:t>
      </w:r>
      <w:r w:rsidR="0044437D">
        <w:rPr>
          <w:sz w:val="28"/>
          <w:szCs w:val="28"/>
        </w:rPr>
        <w:t xml:space="preserve">just as </w:t>
      </w:r>
      <w:r w:rsidR="0044437D">
        <w:rPr>
          <w:b/>
          <w:bCs/>
          <w:sz w:val="28"/>
          <w:szCs w:val="28"/>
        </w:rPr>
        <w:t xml:space="preserve">possible that another person </w:t>
      </w:r>
      <w:r w:rsidR="0044437D">
        <w:rPr>
          <w:sz w:val="28"/>
          <w:szCs w:val="28"/>
        </w:rPr>
        <w:t xml:space="preserve">(not the </w:t>
      </w:r>
      <w:r w:rsidR="0044437D">
        <w:rPr>
          <w:rFonts w:hint="cs"/>
          <w:sz w:val="28"/>
          <w:szCs w:val="28"/>
          <w:rtl/>
        </w:rPr>
        <w:t>עד</w:t>
      </w:r>
      <w:r w:rsidR="0044437D">
        <w:rPr>
          <w:sz w:val="28"/>
          <w:szCs w:val="28"/>
        </w:rPr>
        <w:t xml:space="preserve">) </w:t>
      </w:r>
      <w:r w:rsidR="0044437D">
        <w:rPr>
          <w:b/>
          <w:bCs/>
          <w:sz w:val="28"/>
          <w:szCs w:val="28"/>
        </w:rPr>
        <w:t>killed him</w:t>
      </w:r>
      <w:r w:rsidR="0044437D">
        <w:rPr>
          <w:sz w:val="28"/>
          <w:szCs w:val="28"/>
        </w:rPr>
        <w:t xml:space="preserve">. </w:t>
      </w:r>
      <w:r w:rsidR="0044437D" w:rsidRPr="00FD436E">
        <w:t>It is</w:t>
      </w:r>
      <w:r w:rsidR="007173D8">
        <w:t xml:space="preserve"> just as</w:t>
      </w:r>
      <w:r w:rsidR="0044437D" w:rsidRPr="00FD436E">
        <w:t xml:space="preserve"> </w:t>
      </w:r>
      <w:r w:rsidR="0044437D" w:rsidRPr="00FD436E">
        <w:rPr>
          <w:rFonts w:hint="cs"/>
          <w:rtl/>
        </w:rPr>
        <w:t>שכיח</w:t>
      </w:r>
      <w:r w:rsidR="004F7892" w:rsidRPr="00FD436E">
        <w:t>,</w:t>
      </w:r>
      <w:r w:rsidR="0044437D" w:rsidRPr="00FD436E">
        <w:t xml:space="preserve"> therefore we say </w:t>
      </w:r>
      <w:r w:rsidR="0044437D" w:rsidRPr="00FD436E">
        <w:rPr>
          <w:rFonts w:hint="cs"/>
          <w:rtl/>
        </w:rPr>
        <w:t>פלגינן דיבורא</w:t>
      </w:r>
      <w:r w:rsidR="0044437D" w:rsidRPr="00FD436E">
        <w:t>.</w:t>
      </w:r>
    </w:p>
    <w:p w:rsidR="0044437D" w:rsidRPr="00FD436E" w:rsidRDefault="0044437D" w:rsidP="003D3BD2">
      <w:pPr>
        <w:spacing w:line="264" w:lineRule="auto"/>
        <w:jc w:val="center"/>
        <w:rPr>
          <w:rtl/>
        </w:rPr>
      </w:pPr>
    </w:p>
    <w:p w:rsidR="0044437D" w:rsidRPr="00FD436E" w:rsidRDefault="0044437D" w:rsidP="003D3BD2">
      <w:pPr>
        <w:spacing w:line="264" w:lineRule="auto"/>
        <w:jc w:val="both"/>
      </w:pPr>
      <w:r w:rsidRPr="00FD436E">
        <w:rPr>
          <w:rFonts w:hint="cs"/>
          <w:rtl/>
        </w:rPr>
        <w:t>תוספות</w:t>
      </w:r>
      <w:r w:rsidRPr="00FD436E">
        <w:t xml:space="preserve"> offers yet another solution:</w:t>
      </w:r>
    </w:p>
    <w:p w:rsidR="003D3BD2" w:rsidRPr="00D13050" w:rsidRDefault="0044437D" w:rsidP="00D13050">
      <w:pPr>
        <w:widowControl w:val="0"/>
        <w:bidi/>
        <w:spacing w:line="264" w:lineRule="auto"/>
        <w:jc w:val="both"/>
        <w:rPr>
          <w:rFonts w:cs="David"/>
          <w:b/>
          <w:bCs/>
          <w:sz w:val="28"/>
          <w:szCs w:val="28"/>
        </w:rPr>
      </w:pPr>
      <w:r w:rsidRPr="00D13050">
        <w:rPr>
          <w:rFonts w:cs="David" w:hint="cs"/>
          <w:b/>
          <w:bCs/>
          <w:sz w:val="28"/>
          <w:szCs w:val="28"/>
          <w:rtl/>
        </w:rPr>
        <w:t>אי נמי</w:t>
      </w:r>
      <w:r w:rsidR="003D3BD2" w:rsidRPr="00D13050">
        <w:rPr>
          <w:rFonts w:cs="David" w:hint="cs"/>
          <w:b/>
          <w:bCs/>
          <w:sz w:val="28"/>
          <w:szCs w:val="28"/>
          <w:rtl/>
        </w:rPr>
        <w:t xml:space="preserve"> שאני הכא דמחמת ממון או מחמת נפשות הוי פירושא דאנוסים היינו</w:t>
      </w:r>
      <w:r w:rsidRPr="00D13050">
        <w:rPr>
          <w:rFonts w:cs="David"/>
          <w:b/>
          <w:bCs/>
          <w:sz w:val="28"/>
          <w:szCs w:val="28"/>
        </w:rPr>
        <w:t xml:space="preserve"> – </w:t>
      </w:r>
    </w:p>
    <w:p w:rsidR="00BD3463" w:rsidRPr="00FD436E" w:rsidRDefault="003D3BD2" w:rsidP="00D13050">
      <w:pPr>
        <w:widowControl w:val="0"/>
        <w:spacing w:line="264" w:lineRule="auto"/>
        <w:jc w:val="both"/>
      </w:pPr>
      <w:r>
        <w:rPr>
          <w:b/>
          <w:bCs/>
          <w:sz w:val="28"/>
          <w:szCs w:val="28"/>
        </w:rPr>
        <w:t>If</w:t>
      </w:r>
      <w:r w:rsidR="0044437D">
        <w:rPr>
          <w:b/>
          <w:bCs/>
          <w:sz w:val="28"/>
          <w:szCs w:val="28"/>
        </w:rPr>
        <w:t xml:space="preserve"> </w:t>
      </w:r>
      <w:r w:rsidR="0044437D">
        <w:rPr>
          <w:sz w:val="28"/>
          <w:szCs w:val="28"/>
        </w:rPr>
        <w:t xml:space="preserve">you wish you may </w:t>
      </w:r>
      <w:r w:rsidR="0044437D">
        <w:rPr>
          <w:b/>
          <w:bCs/>
          <w:sz w:val="28"/>
          <w:szCs w:val="28"/>
        </w:rPr>
        <w:t>also say</w:t>
      </w:r>
      <w:r w:rsidR="0044437D">
        <w:rPr>
          <w:sz w:val="28"/>
          <w:szCs w:val="28"/>
        </w:rPr>
        <w:t xml:space="preserve"> that</w:t>
      </w:r>
      <w:r w:rsidR="0044437D">
        <w:rPr>
          <w:b/>
          <w:bCs/>
          <w:sz w:val="28"/>
          <w:szCs w:val="28"/>
        </w:rPr>
        <w:t xml:space="preserve"> here </w:t>
      </w:r>
      <w:r w:rsidR="0044437D">
        <w:rPr>
          <w:sz w:val="28"/>
          <w:szCs w:val="28"/>
        </w:rPr>
        <w:t xml:space="preserve">by </w:t>
      </w:r>
      <w:r w:rsidR="0044437D">
        <w:rPr>
          <w:rFonts w:hint="cs"/>
          <w:sz w:val="28"/>
          <w:szCs w:val="28"/>
          <w:rtl/>
        </w:rPr>
        <w:t>אנוסים היינו</w:t>
      </w:r>
      <w:r w:rsidR="0044437D">
        <w:rPr>
          <w:sz w:val="28"/>
          <w:szCs w:val="28"/>
        </w:rPr>
        <w:t xml:space="preserve"> </w:t>
      </w:r>
      <w:r w:rsidR="0044437D">
        <w:rPr>
          <w:b/>
          <w:bCs/>
          <w:sz w:val="28"/>
          <w:szCs w:val="28"/>
        </w:rPr>
        <w:t xml:space="preserve">it is different </w:t>
      </w:r>
      <w:r w:rsidR="0044437D" w:rsidRPr="003D3BD2">
        <w:rPr>
          <w:sz w:val="28"/>
          <w:szCs w:val="28"/>
        </w:rPr>
        <w:t xml:space="preserve">than </w:t>
      </w:r>
      <w:r w:rsidR="0044437D" w:rsidRPr="003D3BD2">
        <w:t>t</w:t>
      </w:r>
      <w:r w:rsidR="0044437D" w:rsidRPr="003D3BD2">
        <w:rPr>
          <w:sz w:val="28"/>
          <w:szCs w:val="28"/>
        </w:rPr>
        <w:t xml:space="preserve">here </w:t>
      </w:r>
      <w:r w:rsidR="0044437D" w:rsidRPr="003D3BD2">
        <w:rPr>
          <w:sz w:val="28"/>
          <w:szCs w:val="28"/>
        </w:rPr>
        <w:lastRenderedPageBreak/>
        <w:t xml:space="preserve">by </w:t>
      </w:r>
      <w:r w:rsidR="0044437D" w:rsidRPr="003D3BD2">
        <w:rPr>
          <w:rFonts w:hint="cs"/>
          <w:sz w:val="28"/>
          <w:szCs w:val="28"/>
          <w:rtl/>
        </w:rPr>
        <w:t>פלוני רבעני וכו'</w:t>
      </w:r>
      <w:r>
        <w:rPr>
          <w:sz w:val="28"/>
          <w:szCs w:val="28"/>
        </w:rPr>
        <w:t>,</w:t>
      </w:r>
      <w:r w:rsidR="0044437D" w:rsidRPr="003D3BD2">
        <w:rPr>
          <w:sz w:val="28"/>
          <w:szCs w:val="28"/>
        </w:rPr>
        <w:t xml:space="preserve"> </w:t>
      </w:r>
      <w:r w:rsidR="00BD3463">
        <w:rPr>
          <w:b/>
          <w:bCs/>
          <w:sz w:val="28"/>
          <w:szCs w:val="28"/>
        </w:rPr>
        <w:t xml:space="preserve">for </w:t>
      </w:r>
      <w:r w:rsidR="00BD3463">
        <w:rPr>
          <w:sz w:val="28"/>
          <w:szCs w:val="28"/>
        </w:rPr>
        <w:t>their statement of ‘</w:t>
      </w:r>
      <w:r w:rsidR="00BD3463" w:rsidRPr="00BD3463">
        <w:rPr>
          <w:b/>
          <w:bCs/>
          <w:sz w:val="28"/>
          <w:szCs w:val="28"/>
        </w:rPr>
        <w:t>on account of money’</w:t>
      </w:r>
      <w:r w:rsidR="00BD3463">
        <w:rPr>
          <w:b/>
          <w:bCs/>
          <w:sz w:val="28"/>
          <w:szCs w:val="28"/>
        </w:rPr>
        <w:t xml:space="preserve"> </w:t>
      </w:r>
      <w:r w:rsidR="00BD3463">
        <w:rPr>
          <w:sz w:val="28"/>
          <w:szCs w:val="28"/>
        </w:rPr>
        <w:t xml:space="preserve">or </w:t>
      </w:r>
      <w:r w:rsidR="00BD3463">
        <w:rPr>
          <w:b/>
          <w:bCs/>
          <w:sz w:val="28"/>
          <w:szCs w:val="28"/>
        </w:rPr>
        <w:t xml:space="preserve">on account of a death </w:t>
      </w:r>
      <w:r w:rsidR="00BD3463" w:rsidRPr="003D3BD2">
        <w:rPr>
          <w:sz w:val="28"/>
          <w:szCs w:val="28"/>
        </w:rPr>
        <w:t xml:space="preserve">threat’; these phrases </w:t>
      </w:r>
      <w:r w:rsidR="00BD3463">
        <w:rPr>
          <w:b/>
          <w:bCs/>
          <w:sz w:val="28"/>
          <w:szCs w:val="28"/>
        </w:rPr>
        <w:t xml:space="preserve">are the explanation of ‘we were forced’. </w:t>
      </w:r>
      <w:r w:rsidR="00BD3463" w:rsidRPr="00FD436E">
        <w:t>It is not a separate statement</w:t>
      </w:r>
      <w:r w:rsidR="00E00489">
        <w:t>;</w:t>
      </w:r>
      <w:r w:rsidR="00BD3463" w:rsidRPr="00FD436E">
        <w:t xml:space="preserve"> it is a necessary qualifier to explain how they were coerced –</w:t>
      </w:r>
    </w:p>
    <w:p w:rsidR="003D3BD2" w:rsidRPr="00D13050" w:rsidRDefault="00BD3463" w:rsidP="003D3BD2">
      <w:pPr>
        <w:bidi/>
        <w:spacing w:line="264" w:lineRule="auto"/>
        <w:jc w:val="both"/>
        <w:rPr>
          <w:rFonts w:cs="David"/>
          <w:b/>
          <w:bCs/>
          <w:sz w:val="28"/>
          <w:szCs w:val="28"/>
        </w:rPr>
      </w:pPr>
      <w:r w:rsidRPr="00D13050">
        <w:rPr>
          <w:rFonts w:cs="David" w:hint="cs"/>
          <w:b/>
          <w:bCs/>
          <w:sz w:val="28"/>
          <w:szCs w:val="28"/>
          <w:rtl/>
        </w:rPr>
        <w:t>הלכך לא פלגינן דיבורא</w:t>
      </w:r>
      <w:r w:rsidRPr="00D13050">
        <w:rPr>
          <w:rFonts w:cs="David"/>
          <w:b/>
          <w:bCs/>
          <w:sz w:val="28"/>
          <w:szCs w:val="28"/>
        </w:rPr>
        <w:t xml:space="preserve"> – </w:t>
      </w:r>
    </w:p>
    <w:p w:rsidR="00BD3463" w:rsidRDefault="003D3BD2" w:rsidP="0038432C">
      <w:pPr>
        <w:spacing w:line="264" w:lineRule="auto"/>
        <w:jc w:val="both"/>
      </w:pPr>
      <w:r>
        <w:rPr>
          <w:b/>
          <w:bCs/>
          <w:sz w:val="28"/>
          <w:szCs w:val="28"/>
        </w:rPr>
        <w:t>Therefore</w:t>
      </w:r>
      <w:r w:rsidR="00BD3463">
        <w:rPr>
          <w:b/>
          <w:bCs/>
          <w:sz w:val="28"/>
          <w:szCs w:val="28"/>
        </w:rPr>
        <w:t xml:space="preserve"> we cannot divide their statement; </w:t>
      </w:r>
      <w:r w:rsidR="00BD3463">
        <w:t>for there is only one statement –</w:t>
      </w:r>
    </w:p>
    <w:p w:rsidR="003D3BD2" w:rsidRPr="00D13050" w:rsidRDefault="00BD3463" w:rsidP="003D3BD2">
      <w:pPr>
        <w:bidi/>
        <w:spacing w:line="264" w:lineRule="auto"/>
        <w:jc w:val="both"/>
        <w:rPr>
          <w:rFonts w:cs="David"/>
          <w:b/>
          <w:bCs/>
          <w:sz w:val="28"/>
          <w:szCs w:val="28"/>
        </w:rPr>
      </w:pPr>
      <w:r w:rsidRPr="00D13050">
        <w:rPr>
          <w:rFonts w:cs="David" w:hint="cs"/>
          <w:b/>
          <w:bCs/>
          <w:sz w:val="28"/>
          <w:szCs w:val="28"/>
          <w:rtl/>
        </w:rPr>
        <w:t>אבל לרצונו</w:t>
      </w:r>
      <w:r w:rsidR="004870CA" w:rsidRPr="00D13050">
        <w:rPr>
          <w:rStyle w:val="FootnoteReference"/>
          <w:rFonts w:cs="David"/>
          <w:b/>
          <w:bCs/>
          <w:sz w:val="28"/>
          <w:szCs w:val="28"/>
          <w:rtl/>
        </w:rPr>
        <w:footnoteReference w:id="10"/>
      </w:r>
      <w:r w:rsidRPr="00D13050">
        <w:rPr>
          <w:rFonts w:cs="David" w:hint="cs"/>
          <w:b/>
          <w:bCs/>
          <w:sz w:val="28"/>
          <w:szCs w:val="28"/>
          <w:rtl/>
        </w:rPr>
        <w:t xml:space="preserve"> או בא על אשתו</w:t>
      </w:r>
      <w:r w:rsidR="003D3BD2" w:rsidRPr="00D13050">
        <w:rPr>
          <w:rFonts w:cs="David" w:hint="cs"/>
          <w:b/>
          <w:bCs/>
          <w:sz w:val="28"/>
          <w:szCs w:val="28"/>
          <w:rtl/>
        </w:rPr>
        <w:t xml:space="preserve"> הוי דיבור בפני עצמו</w:t>
      </w:r>
      <w:r w:rsidR="003D3BD2" w:rsidRPr="00D13050">
        <w:rPr>
          <w:rStyle w:val="FootnoteReference"/>
          <w:rFonts w:cs="David"/>
        </w:rPr>
        <w:footnoteReference w:id="11"/>
      </w:r>
      <w:r w:rsidR="003D3BD2" w:rsidRPr="00D13050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0110BD" w:rsidRPr="00FD436E" w:rsidRDefault="003D3BD2" w:rsidP="003D3BD2">
      <w:pPr>
        <w:spacing w:line="264" w:lineRule="auto"/>
        <w:jc w:val="both"/>
      </w:pPr>
      <w:r>
        <w:rPr>
          <w:b/>
          <w:bCs/>
          <w:sz w:val="28"/>
          <w:szCs w:val="28"/>
        </w:rPr>
        <w:t>However,</w:t>
      </w:r>
      <w:r w:rsidR="00BD3463">
        <w:rPr>
          <w:b/>
          <w:bCs/>
          <w:sz w:val="28"/>
          <w:szCs w:val="28"/>
        </w:rPr>
        <w:t xml:space="preserve"> </w:t>
      </w:r>
      <w:r w:rsidR="00BD3463">
        <w:rPr>
          <w:sz w:val="28"/>
          <w:szCs w:val="28"/>
        </w:rPr>
        <w:t xml:space="preserve">the addendum of </w:t>
      </w:r>
      <w:r w:rsidR="00BD3463">
        <w:rPr>
          <w:b/>
          <w:bCs/>
          <w:sz w:val="28"/>
          <w:szCs w:val="28"/>
        </w:rPr>
        <w:t>‘willfully’</w:t>
      </w:r>
      <w:r w:rsidR="00E00489">
        <w:rPr>
          <w:b/>
          <w:bCs/>
          <w:sz w:val="28"/>
          <w:szCs w:val="28"/>
        </w:rPr>
        <w:t xml:space="preserve"> </w:t>
      </w:r>
      <w:r w:rsidR="00E00489">
        <w:rPr>
          <w:sz w:val="28"/>
          <w:szCs w:val="28"/>
        </w:rPr>
        <w:t xml:space="preserve">(which makes him a </w:t>
      </w:r>
      <w:r w:rsidR="00E00489">
        <w:rPr>
          <w:rFonts w:hint="cs"/>
          <w:sz w:val="28"/>
          <w:szCs w:val="28"/>
          <w:rtl/>
        </w:rPr>
        <w:t>רשע</w:t>
      </w:r>
      <w:r w:rsidR="00E00489">
        <w:rPr>
          <w:sz w:val="28"/>
          <w:szCs w:val="28"/>
        </w:rPr>
        <w:t>)</w:t>
      </w:r>
      <w:r w:rsidR="00BD3463">
        <w:rPr>
          <w:sz w:val="28"/>
          <w:szCs w:val="28"/>
        </w:rPr>
        <w:t xml:space="preserve"> by </w:t>
      </w:r>
      <w:r w:rsidR="00BD3463">
        <w:rPr>
          <w:rFonts w:hint="cs"/>
          <w:sz w:val="28"/>
          <w:szCs w:val="28"/>
          <w:rtl/>
        </w:rPr>
        <w:t>פלוני רבעני</w:t>
      </w:r>
      <w:r>
        <w:rPr>
          <w:sz w:val="28"/>
          <w:szCs w:val="28"/>
        </w:rPr>
        <w:t>,</w:t>
      </w:r>
      <w:r w:rsidR="00BD3463">
        <w:rPr>
          <w:sz w:val="28"/>
          <w:szCs w:val="28"/>
        </w:rPr>
        <w:t xml:space="preserve"> </w:t>
      </w:r>
      <w:r w:rsidR="00BD3463">
        <w:rPr>
          <w:b/>
          <w:bCs/>
          <w:sz w:val="28"/>
          <w:szCs w:val="28"/>
        </w:rPr>
        <w:t xml:space="preserve">or ‘came upon his wife’ </w:t>
      </w:r>
      <w:r w:rsidR="00BD3463" w:rsidRPr="003D3BD2">
        <w:rPr>
          <w:sz w:val="28"/>
          <w:szCs w:val="28"/>
        </w:rPr>
        <w:t>by</w:t>
      </w:r>
      <w:r w:rsidR="00BD3463" w:rsidRPr="003D3BD2">
        <w:rPr>
          <w:sz w:val="32"/>
          <w:szCs w:val="32"/>
        </w:rPr>
        <w:t xml:space="preserve"> </w:t>
      </w:r>
      <w:r w:rsidR="00BD3463" w:rsidRPr="003D3BD2">
        <w:rPr>
          <w:rFonts w:hint="cs"/>
          <w:sz w:val="28"/>
          <w:szCs w:val="28"/>
          <w:rtl/>
        </w:rPr>
        <w:t xml:space="preserve">פלוני בא על </w:t>
      </w:r>
      <w:r w:rsidR="00E00489" w:rsidRPr="003D3BD2">
        <w:rPr>
          <w:rFonts w:hint="cs"/>
          <w:sz w:val="28"/>
          <w:szCs w:val="28"/>
          <w:rtl/>
        </w:rPr>
        <w:t>אשתו</w:t>
      </w:r>
      <w:r w:rsidR="00BD3463" w:rsidRPr="003D3BD2">
        <w:rPr>
          <w:sz w:val="28"/>
          <w:szCs w:val="28"/>
        </w:rPr>
        <w:t xml:space="preserve">, these phrases </w:t>
      </w:r>
      <w:r w:rsidR="00BD3463">
        <w:rPr>
          <w:b/>
          <w:bCs/>
          <w:sz w:val="28"/>
          <w:szCs w:val="28"/>
        </w:rPr>
        <w:t xml:space="preserve">are considered a separate statement </w:t>
      </w:r>
      <w:r w:rsidR="00BD3463" w:rsidRPr="00FD436E">
        <w:t>not intrinsically tied with the initial statements</w:t>
      </w:r>
      <w:r w:rsidR="000110BD" w:rsidRPr="00FD436E">
        <w:t xml:space="preserve">. Therefore </w:t>
      </w:r>
      <w:r w:rsidR="00152632">
        <w:t xml:space="preserve">(only) </w:t>
      </w:r>
      <w:r w:rsidR="000110BD" w:rsidRPr="00FD436E">
        <w:t>in those situations</w:t>
      </w:r>
      <w:r w:rsidR="00152632">
        <w:t xml:space="preserve"> (do)</w:t>
      </w:r>
      <w:r w:rsidR="000110BD" w:rsidRPr="00FD436E">
        <w:t xml:space="preserve"> we say </w:t>
      </w:r>
      <w:r w:rsidR="000110BD" w:rsidRPr="00FD436E">
        <w:rPr>
          <w:rFonts w:hint="cs"/>
          <w:rtl/>
        </w:rPr>
        <w:t>פלגינן דיבורא</w:t>
      </w:r>
      <w:r w:rsidR="000110BD" w:rsidRPr="00FD436E">
        <w:t>.</w:t>
      </w:r>
    </w:p>
    <w:p w:rsidR="000110BD" w:rsidRPr="00FD436E" w:rsidRDefault="000110BD" w:rsidP="0038432C">
      <w:pPr>
        <w:spacing w:line="264" w:lineRule="auto"/>
        <w:jc w:val="both"/>
      </w:pPr>
    </w:p>
    <w:p w:rsidR="000110BD" w:rsidRPr="00FD436E" w:rsidRDefault="000110BD" w:rsidP="0038432C">
      <w:pPr>
        <w:spacing w:line="264" w:lineRule="auto"/>
        <w:jc w:val="both"/>
      </w:pPr>
      <w:r w:rsidRPr="00FD436E">
        <w:rPr>
          <w:rFonts w:hint="cs"/>
          <w:rtl/>
        </w:rPr>
        <w:t>תוספות</w:t>
      </w:r>
      <w:r w:rsidRPr="00FD436E">
        <w:t xml:space="preserve"> offers a final distinction between the cases:</w:t>
      </w:r>
    </w:p>
    <w:p w:rsidR="003D3BD2" w:rsidRPr="00D13050" w:rsidRDefault="000110BD" w:rsidP="003D3BD2">
      <w:pPr>
        <w:bidi/>
        <w:spacing w:line="264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D13050">
        <w:rPr>
          <w:rFonts w:cs="David" w:hint="cs"/>
          <w:b/>
          <w:bCs/>
          <w:sz w:val="28"/>
          <w:szCs w:val="28"/>
          <w:rtl/>
        </w:rPr>
        <w:t>אי נמי</w:t>
      </w:r>
      <w:r w:rsidR="008E25EA" w:rsidRPr="00D13050">
        <w:rPr>
          <w:rStyle w:val="FootnoteReference"/>
          <w:rFonts w:cs="David"/>
          <w:b/>
          <w:bCs/>
          <w:sz w:val="28"/>
          <w:szCs w:val="28"/>
          <w:rtl/>
        </w:rPr>
        <w:footnoteReference w:id="12"/>
      </w:r>
      <w:r w:rsidR="003D3BD2" w:rsidRPr="00D13050">
        <w:rPr>
          <w:rFonts w:cs="David" w:hint="cs"/>
          <w:b/>
          <w:bCs/>
          <w:sz w:val="28"/>
          <w:szCs w:val="28"/>
          <w:rtl/>
        </w:rPr>
        <w:t xml:space="preserve"> הכא עיקר עדות הוא במה  שאומרים אנוסים היינו</w:t>
      </w:r>
      <w:r w:rsidRPr="00D13050">
        <w:rPr>
          <w:rFonts w:cs="David"/>
          <w:b/>
          <w:bCs/>
          <w:sz w:val="28"/>
          <w:szCs w:val="28"/>
        </w:rPr>
        <w:t xml:space="preserve"> – </w:t>
      </w:r>
    </w:p>
    <w:p w:rsidR="000110BD" w:rsidRDefault="003D3BD2" w:rsidP="003D3BD2">
      <w:pPr>
        <w:spacing w:line="264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</w:t>
      </w:r>
      <w:r w:rsidR="000110BD">
        <w:rPr>
          <w:b/>
          <w:bCs/>
          <w:sz w:val="28"/>
          <w:szCs w:val="28"/>
        </w:rPr>
        <w:t xml:space="preserve"> </w:t>
      </w:r>
      <w:r w:rsidR="000110BD">
        <w:rPr>
          <w:sz w:val="28"/>
          <w:szCs w:val="28"/>
        </w:rPr>
        <w:t xml:space="preserve">you wish you may </w:t>
      </w:r>
      <w:r w:rsidR="000110BD">
        <w:rPr>
          <w:b/>
          <w:bCs/>
          <w:sz w:val="28"/>
          <w:szCs w:val="28"/>
        </w:rPr>
        <w:t>also say</w:t>
      </w:r>
      <w:r w:rsidR="000110BD">
        <w:rPr>
          <w:sz w:val="28"/>
          <w:szCs w:val="28"/>
        </w:rPr>
        <w:t xml:space="preserve"> </w:t>
      </w:r>
      <w:r w:rsidR="000110BD" w:rsidRPr="003D3BD2">
        <w:rPr>
          <w:sz w:val="28"/>
          <w:szCs w:val="28"/>
        </w:rPr>
        <w:t>that</w:t>
      </w:r>
      <w:r w:rsidR="000110BD" w:rsidRPr="003D3BD2">
        <w:rPr>
          <w:b/>
          <w:bCs/>
          <w:sz w:val="28"/>
          <w:szCs w:val="28"/>
        </w:rPr>
        <w:t xml:space="preserve"> </w:t>
      </w:r>
      <w:r w:rsidR="000110BD">
        <w:rPr>
          <w:b/>
          <w:bCs/>
          <w:sz w:val="28"/>
          <w:szCs w:val="28"/>
        </w:rPr>
        <w:t xml:space="preserve">here the main testimony </w:t>
      </w:r>
      <w:r w:rsidR="00E1498E">
        <w:rPr>
          <w:b/>
          <w:bCs/>
          <w:sz w:val="28"/>
          <w:szCs w:val="28"/>
        </w:rPr>
        <w:t>consists</w:t>
      </w:r>
      <w:r w:rsidR="000110BD">
        <w:rPr>
          <w:b/>
          <w:bCs/>
          <w:sz w:val="28"/>
          <w:szCs w:val="28"/>
        </w:rPr>
        <w:t xml:space="preserve"> </w:t>
      </w:r>
      <w:r w:rsidR="00E1498E">
        <w:rPr>
          <w:b/>
          <w:bCs/>
          <w:sz w:val="28"/>
          <w:szCs w:val="28"/>
        </w:rPr>
        <w:t>in th</w:t>
      </w:r>
      <w:r w:rsidR="000110BD">
        <w:rPr>
          <w:b/>
          <w:bCs/>
          <w:sz w:val="28"/>
          <w:szCs w:val="28"/>
        </w:rPr>
        <w:t>e</w:t>
      </w:r>
      <w:r w:rsidR="00E1498E">
        <w:rPr>
          <w:b/>
          <w:bCs/>
          <w:sz w:val="28"/>
          <w:szCs w:val="28"/>
        </w:rPr>
        <w:t>ir</w:t>
      </w:r>
      <w:r w:rsidR="000110BD">
        <w:rPr>
          <w:b/>
          <w:bCs/>
          <w:sz w:val="28"/>
          <w:szCs w:val="28"/>
        </w:rPr>
        <w:t xml:space="preserve"> saying that </w:t>
      </w:r>
      <w:r w:rsidR="000110BD">
        <w:rPr>
          <w:rFonts w:hint="cs"/>
          <w:b/>
          <w:bCs/>
          <w:sz w:val="28"/>
          <w:szCs w:val="28"/>
          <w:rtl/>
        </w:rPr>
        <w:t>אנוסים היינו</w:t>
      </w:r>
      <w:r w:rsidR="000110BD">
        <w:rPr>
          <w:b/>
          <w:bCs/>
          <w:sz w:val="28"/>
          <w:szCs w:val="28"/>
        </w:rPr>
        <w:t xml:space="preserve"> –</w:t>
      </w:r>
    </w:p>
    <w:p w:rsidR="00AE7DDE" w:rsidRPr="00D13050" w:rsidRDefault="000110BD" w:rsidP="00AE7DDE">
      <w:pPr>
        <w:bidi/>
        <w:spacing w:line="264" w:lineRule="auto"/>
        <w:jc w:val="both"/>
        <w:rPr>
          <w:rFonts w:cs="David"/>
          <w:b/>
          <w:bCs/>
          <w:sz w:val="28"/>
          <w:szCs w:val="28"/>
        </w:rPr>
      </w:pPr>
      <w:r w:rsidRPr="00D13050">
        <w:rPr>
          <w:rFonts w:cs="David" w:hint="cs"/>
          <w:b/>
          <w:bCs/>
          <w:sz w:val="28"/>
          <w:szCs w:val="28"/>
          <w:rtl/>
        </w:rPr>
        <w:t>היינו שבאו לומר שלא ראו המלוה</w:t>
      </w:r>
      <w:r w:rsidRPr="00D13050">
        <w:rPr>
          <w:rFonts w:cs="David"/>
          <w:b/>
          <w:bCs/>
          <w:sz w:val="28"/>
          <w:szCs w:val="28"/>
        </w:rPr>
        <w:t xml:space="preserve"> – </w:t>
      </w:r>
    </w:p>
    <w:p w:rsidR="000110BD" w:rsidRPr="00D13050" w:rsidRDefault="00D13050" w:rsidP="0038432C">
      <w:pPr>
        <w:spacing w:line="264" w:lineRule="auto"/>
        <w:jc w:val="both"/>
        <w:rPr>
          <w:rFonts w:cs="David"/>
        </w:rPr>
      </w:pPr>
      <w:r>
        <w:rPr>
          <w:b/>
          <w:bCs/>
          <w:sz w:val="28"/>
          <w:szCs w:val="28"/>
        </w:rPr>
        <w:t>Which</w:t>
      </w:r>
      <w:r w:rsidR="00E1498E">
        <w:rPr>
          <w:b/>
          <w:bCs/>
          <w:sz w:val="28"/>
          <w:szCs w:val="28"/>
        </w:rPr>
        <w:t xml:space="preserve"> means</w:t>
      </w:r>
      <w:r w:rsidR="000110BD">
        <w:rPr>
          <w:b/>
          <w:bCs/>
          <w:sz w:val="28"/>
          <w:szCs w:val="28"/>
        </w:rPr>
        <w:t xml:space="preserve">, that they came to testify that they did not see the loan </w:t>
      </w:r>
      <w:r w:rsidR="000110BD" w:rsidRPr="00FD436E">
        <w:t>take place –</w:t>
      </w:r>
    </w:p>
    <w:p w:rsidR="00AE7DDE" w:rsidRPr="00D13050" w:rsidRDefault="000110BD" w:rsidP="00AE7DDE">
      <w:pPr>
        <w:bidi/>
        <w:spacing w:line="264" w:lineRule="auto"/>
        <w:jc w:val="both"/>
        <w:rPr>
          <w:rFonts w:cs="David"/>
          <w:b/>
          <w:bCs/>
          <w:sz w:val="28"/>
          <w:szCs w:val="28"/>
        </w:rPr>
      </w:pPr>
      <w:r w:rsidRPr="00D13050">
        <w:rPr>
          <w:rFonts w:cs="David" w:hint="cs"/>
          <w:b/>
          <w:bCs/>
          <w:sz w:val="28"/>
          <w:szCs w:val="28"/>
          <w:rtl/>
        </w:rPr>
        <w:t>אם כן</w:t>
      </w:r>
      <w:r w:rsidR="00AE7DDE" w:rsidRPr="00D13050">
        <w:rPr>
          <w:rFonts w:cs="David" w:hint="cs"/>
          <w:b/>
          <w:bCs/>
          <w:sz w:val="28"/>
          <w:szCs w:val="28"/>
          <w:rtl/>
        </w:rPr>
        <w:t xml:space="preserve"> מיד עושים עצמם רשעים כיון שחתמו אם לא יעשו פירוש לדבריהם</w:t>
      </w:r>
      <w:r w:rsidRPr="00D13050">
        <w:rPr>
          <w:rFonts w:cs="David"/>
          <w:b/>
          <w:bCs/>
          <w:sz w:val="28"/>
          <w:szCs w:val="28"/>
        </w:rPr>
        <w:t xml:space="preserve"> – </w:t>
      </w:r>
    </w:p>
    <w:p w:rsidR="000110BD" w:rsidRPr="00FD436E" w:rsidRDefault="000B2315" w:rsidP="000B2315">
      <w:pPr>
        <w:spacing w:line="264" w:lineRule="auto"/>
        <w:jc w:val="both"/>
      </w:pPr>
      <w:r>
        <w:rPr>
          <w:b/>
          <w:bCs/>
          <w:sz w:val="28"/>
          <w:szCs w:val="28"/>
        </w:rPr>
        <w:t>If</w:t>
      </w:r>
      <w:r w:rsidR="000110BD">
        <w:rPr>
          <w:b/>
          <w:bCs/>
          <w:sz w:val="28"/>
          <w:szCs w:val="28"/>
        </w:rPr>
        <w:t xml:space="preserve"> this is so </w:t>
      </w:r>
      <w:r w:rsidR="000110BD" w:rsidRPr="000B2315">
        <w:rPr>
          <w:sz w:val="28"/>
          <w:szCs w:val="28"/>
        </w:rPr>
        <w:t xml:space="preserve">that they are testifying that we signed a document illegally </w:t>
      </w:r>
      <w:r w:rsidR="000110BD">
        <w:rPr>
          <w:b/>
          <w:bCs/>
          <w:sz w:val="28"/>
          <w:szCs w:val="28"/>
        </w:rPr>
        <w:t xml:space="preserve">they immediately commit themselves as being </w:t>
      </w:r>
      <w:r w:rsidR="000110BD">
        <w:rPr>
          <w:rFonts w:hint="cs"/>
          <w:b/>
          <w:bCs/>
          <w:sz w:val="28"/>
          <w:szCs w:val="28"/>
          <w:rtl/>
        </w:rPr>
        <w:t>רשעים</w:t>
      </w:r>
      <w:r w:rsidR="00D13050">
        <w:rPr>
          <w:b/>
          <w:bCs/>
          <w:sz w:val="28"/>
          <w:szCs w:val="28"/>
        </w:rPr>
        <w:t>,</w:t>
      </w:r>
      <w:r w:rsidR="000110BD">
        <w:rPr>
          <w:b/>
          <w:bCs/>
          <w:sz w:val="28"/>
          <w:szCs w:val="28"/>
        </w:rPr>
        <w:t xml:space="preserve"> since they signed </w:t>
      </w:r>
      <w:r w:rsidR="000110BD" w:rsidRPr="000B2315">
        <w:rPr>
          <w:sz w:val="28"/>
          <w:szCs w:val="28"/>
        </w:rPr>
        <w:t>on a document without knowing whether it is true</w:t>
      </w:r>
      <w:r w:rsidR="00D13050">
        <w:rPr>
          <w:sz w:val="28"/>
          <w:szCs w:val="28"/>
        </w:rPr>
        <w:t>,</w:t>
      </w:r>
      <w:r w:rsidR="000110BD" w:rsidRPr="000B2315">
        <w:rPr>
          <w:sz w:val="28"/>
          <w:szCs w:val="28"/>
        </w:rPr>
        <w:t xml:space="preserve"> </w:t>
      </w:r>
      <w:r w:rsidR="000110BD">
        <w:rPr>
          <w:b/>
          <w:bCs/>
          <w:sz w:val="28"/>
          <w:szCs w:val="28"/>
        </w:rPr>
        <w:t xml:space="preserve">unless they interpret their actions </w:t>
      </w:r>
      <w:r w:rsidR="000110BD" w:rsidRPr="00FD436E">
        <w:t xml:space="preserve">(that they signed it because they were </w:t>
      </w:r>
      <w:r w:rsidR="000110BD" w:rsidRPr="00FD436E">
        <w:rPr>
          <w:rFonts w:hint="cs"/>
          <w:rtl/>
        </w:rPr>
        <w:t>אנוסים מחמת נפשות</w:t>
      </w:r>
      <w:r w:rsidR="000110BD" w:rsidRPr="00FD436E">
        <w:t>)</w:t>
      </w:r>
      <w:r w:rsidR="006C3703" w:rsidRPr="00FD436E">
        <w:t xml:space="preserve"> –</w:t>
      </w:r>
    </w:p>
    <w:p w:rsidR="000B2315" w:rsidRPr="00D13050" w:rsidRDefault="006C3703" w:rsidP="000B2315">
      <w:pPr>
        <w:bidi/>
        <w:spacing w:line="264" w:lineRule="auto"/>
        <w:jc w:val="both"/>
        <w:rPr>
          <w:rFonts w:cs="David"/>
          <w:b/>
          <w:bCs/>
          <w:sz w:val="28"/>
          <w:szCs w:val="28"/>
        </w:rPr>
      </w:pPr>
      <w:r w:rsidRPr="00D13050">
        <w:rPr>
          <w:rFonts w:cs="David" w:hint="cs"/>
          <w:b/>
          <w:bCs/>
          <w:sz w:val="28"/>
          <w:szCs w:val="28"/>
          <w:rtl/>
        </w:rPr>
        <w:t>הלכך</w:t>
      </w:r>
      <w:r w:rsidR="000B2315" w:rsidRPr="00D13050">
        <w:rPr>
          <w:rFonts w:cs="David" w:hint="cs"/>
          <w:b/>
          <w:bCs/>
          <w:sz w:val="28"/>
          <w:szCs w:val="28"/>
          <w:rtl/>
        </w:rPr>
        <w:t xml:space="preserve"> לא שייך הכא פלגינן דיבורא</w:t>
      </w:r>
      <w:r w:rsidRPr="00D13050">
        <w:rPr>
          <w:rFonts w:cs="David"/>
          <w:b/>
          <w:bCs/>
          <w:sz w:val="28"/>
          <w:szCs w:val="28"/>
        </w:rPr>
        <w:t xml:space="preserve"> – </w:t>
      </w:r>
    </w:p>
    <w:p w:rsidR="006C3703" w:rsidRPr="00FD436E" w:rsidRDefault="000B2315" w:rsidP="000B2315">
      <w:pPr>
        <w:spacing w:line="264" w:lineRule="auto"/>
        <w:jc w:val="both"/>
      </w:pPr>
      <w:r>
        <w:rPr>
          <w:b/>
          <w:bCs/>
          <w:sz w:val="28"/>
          <w:szCs w:val="28"/>
        </w:rPr>
        <w:t>Therefore</w:t>
      </w:r>
      <w:r w:rsidR="006C3703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the </w:t>
      </w:r>
      <w:r>
        <w:rPr>
          <w:sz w:val="28"/>
          <w:szCs w:val="28"/>
        </w:rPr>
        <w:t xml:space="preserve">concept </w:t>
      </w:r>
      <w:r>
        <w:rPr>
          <w:b/>
          <w:bCs/>
          <w:sz w:val="28"/>
          <w:szCs w:val="28"/>
        </w:rPr>
        <w:t xml:space="preserve">of </w:t>
      </w:r>
      <w:r>
        <w:rPr>
          <w:rFonts w:hint="cs"/>
          <w:b/>
          <w:bCs/>
          <w:sz w:val="28"/>
          <w:szCs w:val="28"/>
          <w:rtl/>
        </w:rPr>
        <w:t>פלגינן דיבורא</w:t>
      </w:r>
      <w:r>
        <w:rPr>
          <w:b/>
          <w:bCs/>
          <w:sz w:val="28"/>
          <w:szCs w:val="28"/>
        </w:rPr>
        <w:t xml:space="preserve"> dos not apply here, </w:t>
      </w:r>
      <w:r w:rsidR="006C3703" w:rsidRPr="00FD436E">
        <w:t xml:space="preserve">since in the main thrust of their testimony they become </w:t>
      </w:r>
      <w:r w:rsidR="006C3703" w:rsidRPr="00FD436E">
        <w:rPr>
          <w:rFonts w:hint="cs"/>
          <w:rtl/>
        </w:rPr>
        <w:t>רשעים</w:t>
      </w:r>
      <w:r w:rsidR="006C3703" w:rsidRPr="00FD436E">
        <w:t xml:space="preserve"> –</w:t>
      </w:r>
    </w:p>
    <w:p w:rsidR="000B2315" w:rsidRPr="00D13050" w:rsidRDefault="006C3703" w:rsidP="000B2315">
      <w:pPr>
        <w:bidi/>
        <w:spacing w:line="264" w:lineRule="auto"/>
        <w:jc w:val="both"/>
        <w:rPr>
          <w:rFonts w:cs="David"/>
          <w:b/>
          <w:bCs/>
          <w:sz w:val="28"/>
          <w:szCs w:val="28"/>
        </w:rPr>
      </w:pPr>
      <w:r w:rsidRPr="00D13050">
        <w:rPr>
          <w:rFonts w:cs="David" w:hint="cs"/>
          <w:b/>
          <w:bCs/>
          <w:sz w:val="28"/>
          <w:szCs w:val="28"/>
          <w:rtl/>
        </w:rPr>
        <w:t>אבל ההיא דהרגתיו</w:t>
      </w:r>
      <w:r w:rsidR="000B2315" w:rsidRPr="00D13050">
        <w:rPr>
          <w:rStyle w:val="FootnoteReference"/>
          <w:rFonts w:cs="David"/>
          <w:b/>
          <w:bCs/>
          <w:sz w:val="28"/>
          <w:szCs w:val="28"/>
        </w:rPr>
        <w:footnoteReference w:id="13"/>
      </w:r>
      <w:r w:rsidR="000B2315" w:rsidRPr="00D13050">
        <w:rPr>
          <w:rFonts w:cs="David" w:hint="cs"/>
          <w:b/>
          <w:bCs/>
          <w:sz w:val="28"/>
          <w:szCs w:val="28"/>
          <w:rtl/>
        </w:rPr>
        <w:t xml:space="preserve"> עיקר עדות הוא לומר  שנהרג</w:t>
      </w:r>
      <w:r w:rsidRPr="00D13050">
        <w:rPr>
          <w:rFonts w:cs="David"/>
          <w:b/>
          <w:bCs/>
          <w:sz w:val="28"/>
          <w:szCs w:val="28"/>
        </w:rPr>
        <w:t xml:space="preserve"> </w:t>
      </w:r>
      <w:r w:rsidR="000B2315" w:rsidRPr="00D13050">
        <w:rPr>
          <w:rFonts w:cs="David" w:hint="cs"/>
          <w:b/>
          <w:bCs/>
          <w:sz w:val="28"/>
          <w:szCs w:val="28"/>
          <w:rtl/>
        </w:rPr>
        <w:t>להשיא את אשתו -</w:t>
      </w:r>
    </w:p>
    <w:p w:rsidR="006C3703" w:rsidRDefault="000B2315" w:rsidP="00CA55ED">
      <w:pPr>
        <w:spacing w:line="264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</w:t>
      </w:r>
      <w:r w:rsidR="006C3703">
        <w:rPr>
          <w:b/>
          <w:bCs/>
          <w:sz w:val="28"/>
          <w:szCs w:val="28"/>
        </w:rPr>
        <w:t>owever</w:t>
      </w:r>
      <w:r>
        <w:rPr>
          <w:b/>
          <w:bCs/>
          <w:sz w:val="28"/>
          <w:szCs w:val="28"/>
        </w:rPr>
        <w:t>,</w:t>
      </w:r>
      <w:r w:rsidR="006C3703">
        <w:rPr>
          <w:b/>
          <w:bCs/>
          <w:sz w:val="28"/>
          <w:szCs w:val="28"/>
        </w:rPr>
        <w:t xml:space="preserve"> by that </w:t>
      </w:r>
      <w:r w:rsidR="006C3703">
        <w:rPr>
          <w:sz w:val="28"/>
          <w:szCs w:val="28"/>
        </w:rPr>
        <w:t xml:space="preserve">case of </w:t>
      </w:r>
      <w:r w:rsidR="006C3703">
        <w:rPr>
          <w:rFonts w:hint="cs"/>
          <w:b/>
          <w:bCs/>
          <w:sz w:val="28"/>
          <w:szCs w:val="28"/>
          <w:rtl/>
        </w:rPr>
        <w:t>'הרגתיו'</w:t>
      </w:r>
      <w:r w:rsidR="006C3703">
        <w:rPr>
          <w:b/>
          <w:bCs/>
          <w:sz w:val="28"/>
          <w:szCs w:val="28"/>
        </w:rPr>
        <w:t xml:space="preserve"> the main </w:t>
      </w:r>
      <w:r w:rsidR="006C3703">
        <w:rPr>
          <w:sz w:val="28"/>
          <w:szCs w:val="28"/>
        </w:rPr>
        <w:t xml:space="preserve">thrust </w:t>
      </w:r>
      <w:r w:rsidR="006C3703">
        <w:rPr>
          <w:b/>
          <w:bCs/>
          <w:sz w:val="28"/>
          <w:szCs w:val="28"/>
        </w:rPr>
        <w:t xml:space="preserve">of the testimony is to testify that </w:t>
      </w:r>
      <w:r w:rsidR="00CA55ED">
        <w:rPr>
          <w:b/>
          <w:bCs/>
          <w:sz w:val="28"/>
          <w:szCs w:val="28"/>
        </w:rPr>
        <w:t>t</w:t>
      </w:r>
      <w:r w:rsidR="006C3703">
        <w:rPr>
          <w:b/>
          <w:bCs/>
          <w:sz w:val="28"/>
          <w:szCs w:val="28"/>
        </w:rPr>
        <w:t>he</w:t>
      </w:r>
      <w:r w:rsidR="00CA55ED">
        <w:rPr>
          <w:b/>
          <w:bCs/>
          <w:sz w:val="28"/>
          <w:szCs w:val="28"/>
        </w:rPr>
        <w:t xml:space="preserve"> </w:t>
      </w:r>
      <w:r w:rsidR="00CA55ED">
        <w:rPr>
          <w:sz w:val="28"/>
          <w:szCs w:val="28"/>
        </w:rPr>
        <w:t>husband</w:t>
      </w:r>
      <w:r w:rsidR="006C3703">
        <w:rPr>
          <w:b/>
          <w:bCs/>
          <w:sz w:val="28"/>
          <w:szCs w:val="28"/>
        </w:rPr>
        <w:t xml:space="preserve"> was killed </w:t>
      </w:r>
      <w:r w:rsidR="006C3703" w:rsidRPr="000B2315">
        <w:rPr>
          <w:sz w:val="28"/>
          <w:szCs w:val="28"/>
        </w:rPr>
        <w:t>(not who killed him)</w:t>
      </w:r>
      <w:r w:rsidR="00410C25" w:rsidRPr="000B2315">
        <w:rPr>
          <w:sz w:val="28"/>
          <w:szCs w:val="28"/>
        </w:rPr>
        <w:t>,</w:t>
      </w:r>
      <w:r w:rsidR="006C3703" w:rsidRPr="000B2315">
        <w:rPr>
          <w:sz w:val="28"/>
          <w:szCs w:val="28"/>
        </w:rPr>
        <w:t xml:space="preserve"> </w:t>
      </w:r>
      <w:r w:rsidR="00410C25" w:rsidRPr="000B2315">
        <w:rPr>
          <w:sz w:val="28"/>
          <w:szCs w:val="28"/>
        </w:rPr>
        <w:t>in order</w:t>
      </w:r>
      <w:r>
        <w:t xml:space="preserve"> </w:t>
      </w:r>
      <w:r w:rsidR="006C3703">
        <w:rPr>
          <w:b/>
          <w:bCs/>
          <w:sz w:val="28"/>
          <w:szCs w:val="28"/>
        </w:rPr>
        <w:t xml:space="preserve">to </w:t>
      </w:r>
      <w:r w:rsidR="006C3703">
        <w:rPr>
          <w:sz w:val="28"/>
          <w:szCs w:val="28"/>
        </w:rPr>
        <w:t xml:space="preserve">enable </w:t>
      </w:r>
      <w:r w:rsidR="006C3703">
        <w:rPr>
          <w:b/>
          <w:bCs/>
          <w:sz w:val="28"/>
          <w:szCs w:val="28"/>
        </w:rPr>
        <w:t>his wife to remarry –</w:t>
      </w:r>
    </w:p>
    <w:p w:rsidR="000B2315" w:rsidRPr="00D13050" w:rsidRDefault="006C3703" w:rsidP="00D13050">
      <w:pPr>
        <w:widowControl w:val="0"/>
        <w:bidi/>
        <w:spacing w:line="264" w:lineRule="auto"/>
        <w:jc w:val="both"/>
        <w:rPr>
          <w:rFonts w:cs="David"/>
          <w:b/>
          <w:bCs/>
          <w:sz w:val="28"/>
          <w:szCs w:val="28"/>
        </w:rPr>
      </w:pPr>
      <w:r w:rsidRPr="00D13050">
        <w:rPr>
          <w:rFonts w:cs="David" w:hint="cs"/>
          <w:b/>
          <w:bCs/>
          <w:sz w:val="28"/>
          <w:szCs w:val="28"/>
          <w:rtl/>
        </w:rPr>
        <w:t>וכן פלוני רבעו או בא על אשתו</w:t>
      </w:r>
      <w:r w:rsidR="000B2315" w:rsidRPr="00D13050">
        <w:rPr>
          <w:rFonts w:cs="David" w:hint="cs"/>
          <w:b/>
          <w:bCs/>
          <w:sz w:val="28"/>
          <w:szCs w:val="28"/>
          <w:rtl/>
        </w:rPr>
        <w:t xml:space="preserve"> עיקר  עדות להרוג פלוני</w:t>
      </w:r>
      <w:r w:rsidRPr="00D13050">
        <w:rPr>
          <w:rFonts w:cs="David"/>
          <w:b/>
          <w:bCs/>
          <w:sz w:val="28"/>
          <w:szCs w:val="28"/>
        </w:rPr>
        <w:t xml:space="preserve"> – </w:t>
      </w:r>
    </w:p>
    <w:p w:rsidR="006C3703" w:rsidRPr="00FD436E" w:rsidRDefault="000B2315" w:rsidP="00D13050">
      <w:pPr>
        <w:widowControl w:val="0"/>
        <w:spacing w:line="264" w:lineRule="auto"/>
        <w:jc w:val="both"/>
      </w:pPr>
      <w:r>
        <w:rPr>
          <w:b/>
          <w:bCs/>
          <w:sz w:val="28"/>
          <w:szCs w:val="28"/>
        </w:rPr>
        <w:t>And</w:t>
      </w:r>
      <w:r w:rsidR="006C3703">
        <w:rPr>
          <w:b/>
          <w:bCs/>
          <w:sz w:val="28"/>
          <w:szCs w:val="28"/>
        </w:rPr>
        <w:t xml:space="preserve"> similarly </w:t>
      </w:r>
      <w:r w:rsidR="006C3703">
        <w:rPr>
          <w:sz w:val="28"/>
          <w:szCs w:val="28"/>
        </w:rPr>
        <w:t xml:space="preserve">in the cases of </w:t>
      </w:r>
      <w:r w:rsidR="006C3703">
        <w:rPr>
          <w:rFonts w:hint="cs"/>
          <w:b/>
          <w:bCs/>
          <w:sz w:val="28"/>
          <w:szCs w:val="28"/>
          <w:rtl/>
        </w:rPr>
        <w:t>פלוני רבעו</w:t>
      </w:r>
      <w:r w:rsidR="006C3703">
        <w:rPr>
          <w:b/>
          <w:bCs/>
          <w:sz w:val="28"/>
          <w:szCs w:val="28"/>
        </w:rPr>
        <w:t xml:space="preserve"> or </w:t>
      </w:r>
      <w:r w:rsidR="006C3703">
        <w:rPr>
          <w:rFonts w:hint="cs"/>
          <w:b/>
          <w:bCs/>
          <w:sz w:val="28"/>
          <w:szCs w:val="28"/>
          <w:rtl/>
        </w:rPr>
        <w:t>בא על אשתו</w:t>
      </w:r>
      <w:r w:rsidR="006C3703">
        <w:rPr>
          <w:b/>
          <w:bCs/>
          <w:sz w:val="28"/>
          <w:szCs w:val="28"/>
        </w:rPr>
        <w:t xml:space="preserve"> the main </w:t>
      </w:r>
      <w:r w:rsidR="006C3703">
        <w:rPr>
          <w:sz w:val="28"/>
          <w:szCs w:val="28"/>
        </w:rPr>
        <w:t xml:space="preserve">thrust of the </w:t>
      </w:r>
      <w:r w:rsidR="006C3703">
        <w:rPr>
          <w:sz w:val="28"/>
          <w:szCs w:val="28"/>
        </w:rPr>
        <w:lastRenderedPageBreak/>
        <w:t xml:space="preserve">testimony </w:t>
      </w:r>
      <w:r w:rsidR="006C3703">
        <w:rPr>
          <w:b/>
          <w:bCs/>
          <w:sz w:val="28"/>
          <w:szCs w:val="28"/>
        </w:rPr>
        <w:t>is to kill him;</w:t>
      </w:r>
      <w:r w:rsidR="006C3703">
        <w:rPr>
          <w:sz w:val="28"/>
          <w:szCs w:val="28"/>
        </w:rPr>
        <w:t xml:space="preserve"> </w:t>
      </w:r>
      <w:r w:rsidR="006C3703" w:rsidRPr="00FD436E">
        <w:t xml:space="preserve">in the main thrust there is no </w:t>
      </w:r>
      <w:r w:rsidR="006C3703" w:rsidRPr="00FD436E">
        <w:rPr>
          <w:rFonts w:hint="cs"/>
          <w:rtl/>
        </w:rPr>
        <w:t>משים עצמו רשע</w:t>
      </w:r>
      <w:r w:rsidR="006C3703" w:rsidRPr="00FD436E">
        <w:t xml:space="preserve"> –</w:t>
      </w:r>
    </w:p>
    <w:p w:rsidR="000B2315" w:rsidRPr="00D13050" w:rsidRDefault="006C3703" w:rsidP="00D13050">
      <w:pPr>
        <w:bidi/>
        <w:spacing w:line="264" w:lineRule="auto"/>
        <w:jc w:val="both"/>
        <w:rPr>
          <w:rFonts w:cs="David"/>
          <w:b/>
          <w:bCs/>
          <w:sz w:val="28"/>
          <w:szCs w:val="28"/>
        </w:rPr>
      </w:pPr>
      <w:r w:rsidRPr="00D13050">
        <w:rPr>
          <w:rFonts w:cs="David" w:hint="cs"/>
          <w:b/>
          <w:bCs/>
          <w:sz w:val="28"/>
          <w:szCs w:val="28"/>
          <w:rtl/>
        </w:rPr>
        <w:t>הלכך פלגינן דיבורא</w:t>
      </w:r>
      <w:r w:rsidR="000B2315" w:rsidRPr="00D13050">
        <w:rPr>
          <w:rStyle w:val="FootnoteReference"/>
          <w:rFonts w:cs="David"/>
          <w:b/>
          <w:bCs/>
          <w:sz w:val="28"/>
          <w:szCs w:val="28"/>
          <w:rtl/>
        </w:rPr>
        <w:footnoteReference w:id="14"/>
      </w:r>
      <w:r w:rsidR="000B2315" w:rsidRPr="00D13050">
        <w:rPr>
          <w:rFonts w:cs="David" w:hint="cs"/>
          <w:b/>
          <w:bCs/>
          <w:sz w:val="28"/>
          <w:szCs w:val="28"/>
          <w:rtl/>
        </w:rPr>
        <w:t xml:space="preserve"> ולגבי להשים עצמו רשע או לגבי אשתו לא יהא נאמן</w:t>
      </w:r>
      <w:r w:rsidR="00D13050">
        <w:rPr>
          <w:rFonts w:cs="David" w:hint="cs"/>
          <w:b/>
          <w:bCs/>
          <w:sz w:val="28"/>
          <w:szCs w:val="28"/>
          <w:rtl/>
        </w:rPr>
        <w:t>:</w:t>
      </w:r>
    </w:p>
    <w:p w:rsidR="000B2315" w:rsidRDefault="000B2315" w:rsidP="0038432C">
      <w:pPr>
        <w:spacing w:line="264" w:lineRule="auto"/>
        <w:jc w:val="both"/>
      </w:pPr>
      <w:r>
        <w:rPr>
          <w:b/>
          <w:bCs/>
          <w:sz w:val="28"/>
          <w:szCs w:val="28"/>
        </w:rPr>
        <w:t>Therefore</w:t>
      </w:r>
      <w:r w:rsidR="006C3703">
        <w:rPr>
          <w:b/>
          <w:bCs/>
          <w:sz w:val="28"/>
          <w:szCs w:val="28"/>
        </w:rPr>
        <w:t xml:space="preserve"> we divide his testimony; </w:t>
      </w:r>
      <w:r>
        <w:rPr>
          <w:b/>
          <w:bCs/>
          <w:sz w:val="28"/>
          <w:szCs w:val="28"/>
        </w:rPr>
        <w:t xml:space="preserve">concerning making himself a </w:t>
      </w:r>
      <w:r>
        <w:rPr>
          <w:rFonts w:hint="cs"/>
          <w:b/>
          <w:bCs/>
          <w:sz w:val="28"/>
          <w:szCs w:val="28"/>
          <w:rtl/>
        </w:rPr>
        <w:t>רשע</w:t>
      </w:r>
      <w:r>
        <w:rPr>
          <w:b/>
          <w:bCs/>
          <w:sz w:val="28"/>
          <w:szCs w:val="28"/>
        </w:rPr>
        <w:t xml:space="preserve"> </w:t>
      </w:r>
      <w:r w:rsidRPr="000B2315">
        <w:rPr>
          <w:sz w:val="28"/>
          <w:szCs w:val="28"/>
        </w:rPr>
        <w:t xml:space="preserve">(through saying </w:t>
      </w:r>
      <w:r w:rsidRPr="000B2315">
        <w:rPr>
          <w:rFonts w:hint="cs"/>
          <w:sz w:val="28"/>
          <w:szCs w:val="28"/>
          <w:rtl/>
        </w:rPr>
        <w:t>רבעני לרצוני</w:t>
      </w:r>
      <w:r w:rsidRPr="000B2315">
        <w:rPr>
          <w:sz w:val="28"/>
          <w:szCs w:val="28"/>
        </w:rPr>
        <w:t xml:space="preserve"> or </w:t>
      </w:r>
      <w:r w:rsidRPr="000B2315">
        <w:rPr>
          <w:rFonts w:hint="cs"/>
          <w:sz w:val="28"/>
          <w:szCs w:val="28"/>
          <w:rtl/>
        </w:rPr>
        <w:t>הרגתיו</w:t>
      </w:r>
      <w:r w:rsidRPr="000B2315">
        <w:rPr>
          <w:sz w:val="28"/>
          <w:szCs w:val="28"/>
        </w:rPr>
        <w:t>)</w:t>
      </w:r>
      <w:r w:rsidRPr="000B2315">
        <w:rPr>
          <w:b/>
          <w:bCs/>
          <w:sz w:val="32"/>
          <w:szCs w:val="32"/>
        </w:rPr>
        <w:t xml:space="preserve"> </w:t>
      </w:r>
      <w:r>
        <w:rPr>
          <w:b/>
          <w:bCs/>
          <w:sz w:val="28"/>
          <w:szCs w:val="28"/>
        </w:rPr>
        <w:t xml:space="preserve">or concerning his wife </w:t>
      </w:r>
      <w:r w:rsidRPr="000B2315">
        <w:rPr>
          <w:sz w:val="28"/>
          <w:szCs w:val="28"/>
        </w:rPr>
        <w:t>(that she was an adulteress)</w:t>
      </w:r>
      <w:r w:rsidRPr="000B231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he will not be believed </w:t>
      </w:r>
      <w:r w:rsidRPr="00FD436E">
        <w:t>and</w:t>
      </w:r>
      <w:r>
        <w:rPr>
          <w:sz w:val="28"/>
          <w:szCs w:val="28"/>
        </w:rPr>
        <w:t xml:space="preserve"> </w:t>
      </w:r>
      <w:r w:rsidRPr="00FD436E">
        <w:t xml:space="preserve">we are </w:t>
      </w:r>
      <w:r w:rsidRPr="00FD436E">
        <w:rPr>
          <w:rFonts w:hint="cs"/>
          <w:rtl/>
        </w:rPr>
        <w:t>פלגינן דיבורא</w:t>
      </w:r>
      <w:r w:rsidRPr="00FD436E">
        <w:rPr>
          <w:b/>
          <w:bCs/>
        </w:rPr>
        <w:t>.</w:t>
      </w:r>
    </w:p>
    <w:p w:rsidR="009B4DDA" w:rsidRDefault="009B4DDA" w:rsidP="0038432C">
      <w:pPr>
        <w:spacing w:line="264" w:lineRule="auto"/>
        <w:jc w:val="both"/>
        <w:rPr>
          <w:b/>
          <w:bCs/>
        </w:rPr>
      </w:pPr>
    </w:p>
    <w:p w:rsidR="009B4DDA" w:rsidRPr="000B2315" w:rsidRDefault="009B4DDA" w:rsidP="0038432C">
      <w:pPr>
        <w:spacing w:line="264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0B2315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9B4DDA" w:rsidRDefault="009B4DDA" w:rsidP="0038432C">
      <w:pPr>
        <w:spacing w:line="264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offers four criteria for accepting or rejecting </w:t>
      </w:r>
      <w:r>
        <w:rPr>
          <w:rFonts w:hint="cs"/>
          <w:sz w:val="28"/>
          <w:szCs w:val="28"/>
          <w:rtl/>
        </w:rPr>
        <w:t>פלגינן דיבורא</w:t>
      </w:r>
      <w:r>
        <w:rPr>
          <w:sz w:val="28"/>
          <w:szCs w:val="28"/>
        </w:rPr>
        <w:t>.</w:t>
      </w:r>
    </w:p>
    <w:p w:rsidR="009B4DDA" w:rsidRDefault="009B4DDA" w:rsidP="0038432C">
      <w:pPr>
        <w:numPr>
          <w:ilvl w:val="0"/>
          <w:numId w:val="1"/>
        </w:numPr>
        <w:spacing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it does not go against a </w:t>
      </w:r>
      <w:r>
        <w:rPr>
          <w:rFonts w:hint="cs"/>
          <w:sz w:val="28"/>
          <w:szCs w:val="28"/>
          <w:rtl/>
        </w:rPr>
        <w:t>דאורייתא</w:t>
      </w:r>
      <w:r>
        <w:rPr>
          <w:sz w:val="28"/>
          <w:szCs w:val="28"/>
        </w:rPr>
        <w:t xml:space="preserve">, but not if it is against a </w:t>
      </w:r>
      <w:r>
        <w:rPr>
          <w:rFonts w:hint="cs"/>
          <w:sz w:val="28"/>
          <w:szCs w:val="28"/>
          <w:rtl/>
        </w:rPr>
        <w:t>דאורייתא</w:t>
      </w:r>
      <w:r>
        <w:rPr>
          <w:sz w:val="28"/>
          <w:szCs w:val="28"/>
        </w:rPr>
        <w:t>.</w:t>
      </w:r>
    </w:p>
    <w:p w:rsidR="009B4DDA" w:rsidRDefault="009B4DDA" w:rsidP="0038432C">
      <w:pPr>
        <w:numPr>
          <w:ilvl w:val="0"/>
          <w:numId w:val="1"/>
        </w:numPr>
        <w:spacing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the </w:t>
      </w:r>
      <w:r>
        <w:rPr>
          <w:rFonts w:hint="cs"/>
          <w:sz w:val="28"/>
          <w:szCs w:val="28"/>
          <w:rtl/>
        </w:rPr>
        <w:t>פלגינן</w:t>
      </w:r>
      <w:r>
        <w:rPr>
          <w:sz w:val="28"/>
          <w:szCs w:val="28"/>
        </w:rPr>
        <w:t xml:space="preserve"> is </w:t>
      </w:r>
      <w:r>
        <w:rPr>
          <w:rFonts w:hint="cs"/>
          <w:sz w:val="28"/>
          <w:szCs w:val="28"/>
          <w:rtl/>
        </w:rPr>
        <w:t>שכיח</w:t>
      </w:r>
      <w:r>
        <w:rPr>
          <w:sz w:val="28"/>
          <w:szCs w:val="28"/>
        </w:rPr>
        <w:t xml:space="preserve">, not if it is not </w:t>
      </w:r>
      <w:r>
        <w:rPr>
          <w:rFonts w:hint="cs"/>
          <w:sz w:val="28"/>
          <w:szCs w:val="28"/>
          <w:rtl/>
        </w:rPr>
        <w:t>שכיח</w:t>
      </w:r>
      <w:r>
        <w:rPr>
          <w:sz w:val="28"/>
          <w:szCs w:val="28"/>
        </w:rPr>
        <w:t>.</w:t>
      </w:r>
    </w:p>
    <w:p w:rsidR="009B4DDA" w:rsidRDefault="009B4DDA" w:rsidP="0038432C">
      <w:pPr>
        <w:numPr>
          <w:ilvl w:val="0"/>
          <w:numId w:val="1"/>
        </w:numPr>
        <w:spacing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the unacceptable statement is not integral, but not if it is integral</w:t>
      </w:r>
    </w:p>
    <w:p w:rsidR="009B4DDA" w:rsidRDefault="009B4DDA" w:rsidP="0038432C">
      <w:pPr>
        <w:numPr>
          <w:ilvl w:val="0"/>
          <w:numId w:val="1"/>
        </w:numPr>
        <w:spacing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the thrust is acceptable, but not if it is</w:t>
      </w:r>
      <w:r w:rsidR="00347FD0">
        <w:rPr>
          <w:sz w:val="28"/>
          <w:szCs w:val="28"/>
        </w:rPr>
        <w:t xml:space="preserve"> un</w:t>
      </w:r>
      <w:r>
        <w:rPr>
          <w:sz w:val="28"/>
          <w:szCs w:val="28"/>
        </w:rPr>
        <w:t>acceptable.</w:t>
      </w:r>
    </w:p>
    <w:p w:rsidR="00AF4944" w:rsidRPr="00AF4944" w:rsidRDefault="00AF4944" w:rsidP="0038432C">
      <w:pPr>
        <w:spacing w:line="264" w:lineRule="auto"/>
        <w:jc w:val="both"/>
        <w:rPr>
          <w:sz w:val="26"/>
          <w:szCs w:val="26"/>
        </w:rPr>
      </w:pPr>
    </w:p>
    <w:p w:rsidR="00AF4944" w:rsidRPr="000B2315" w:rsidRDefault="00AF4944" w:rsidP="0038432C">
      <w:pPr>
        <w:spacing w:line="264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0B2315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AF4944" w:rsidRDefault="00D13050" w:rsidP="0038432C">
      <w:pPr>
        <w:spacing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F4944">
        <w:rPr>
          <w:rFonts w:hint="cs"/>
          <w:sz w:val="28"/>
          <w:szCs w:val="28"/>
          <w:rtl/>
        </w:rPr>
        <w:t>תוספות</w:t>
      </w:r>
      <w:r w:rsidR="00AF4944">
        <w:rPr>
          <w:sz w:val="28"/>
          <w:szCs w:val="28"/>
        </w:rPr>
        <w:t xml:space="preserve"> asks that here too there should be a </w:t>
      </w:r>
      <w:r w:rsidR="00AF4944">
        <w:rPr>
          <w:rFonts w:hint="cs"/>
          <w:sz w:val="28"/>
          <w:szCs w:val="28"/>
          <w:rtl/>
        </w:rPr>
        <w:t>פלגינן דיבורא</w:t>
      </w:r>
      <w:r w:rsidR="00AF4944">
        <w:rPr>
          <w:sz w:val="28"/>
          <w:szCs w:val="28"/>
        </w:rPr>
        <w:t>.</w:t>
      </w:r>
      <w:r w:rsidR="00564704">
        <w:rPr>
          <w:rStyle w:val="FootnoteReference"/>
          <w:sz w:val="28"/>
          <w:szCs w:val="28"/>
        </w:rPr>
        <w:footnoteReference w:id="15"/>
      </w:r>
      <w:r w:rsidR="00AF4944">
        <w:rPr>
          <w:sz w:val="28"/>
          <w:szCs w:val="28"/>
        </w:rPr>
        <w:t xml:space="preserve"> Seemingly, there is a </w:t>
      </w:r>
      <w:r w:rsidR="00AF4944">
        <w:rPr>
          <w:rFonts w:hint="cs"/>
          <w:sz w:val="28"/>
          <w:szCs w:val="28"/>
          <w:rtl/>
        </w:rPr>
        <w:t>פלגינן דיבורא</w:t>
      </w:r>
      <w:r w:rsidR="00AF4944">
        <w:rPr>
          <w:sz w:val="28"/>
          <w:szCs w:val="28"/>
        </w:rPr>
        <w:t xml:space="preserve"> by </w:t>
      </w:r>
      <w:r w:rsidR="00AF4944">
        <w:rPr>
          <w:rFonts w:hint="cs"/>
          <w:sz w:val="28"/>
          <w:szCs w:val="28"/>
          <w:rtl/>
        </w:rPr>
        <w:t>אנוסים היינו</w:t>
      </w:r>
      <w:r w:rsidR="00AF4944">
        <w:rPr>
          <w:sz w:val="28"/>
          <w:szCs w:val="28"/>
        </w:rPr>
        <w:t xml:space="preserve">. We believe them that </w:t>
      </w:r>
      <w:r w:rsidR="00AF4944">
        <w:rPr>
          <w:rFonts w:hint="cs"/>
          <w:sz w:val="28"/>
          <w:szCs w:val="28"/>
          <w:rtl/>
        </w:rPr>
        <w:t>כת"י הוא זה</w:t>
      </w:r>
      <w:r w:rsidR="00AF4944">
        <w:rPr>
          <w:sz w:val="28"/>
          <w:szCs w:val="28"/>
        </w:rPr>
        <w:t xml:space="preserve">, but we do not believe them that </w:t>
      </w:r>
      <w:r w:rsidR="00AF4944">
        <w:rPr>
          <w:rFonts w:hint="cs"/>
          <w:sz w:val="28"/>
          <w:szCs w:val="28"/>
          <w:rtl/>
        </w:rPr>
        <w:t>אנוסים היינו</w:t>
      </w:r>
      <w:r w:rsidR="00AF4944">
        <w:rPr>
          <w:sz w:val="28"/>
          <w:szCs w:val="28"/>
        </w:rPr>
        <w:t>!</w:t>
      </w:r>
      <w:r w:rsidR="00ED7E5F">
        <w:rPr>
          <w:rStyle w:val="FootnoteReference"/>
          <w:sz w:val="28"/>
          <w:szCs w:val="28"/>
        </w:rPr>
        <w:footnoteReference w:id="16"/>
      </w:r>
    </w:p>
    <w:p w:rsidR="008E25EA" w:rsidRDefault="008E25EA" w:rsidP="0038432C">
      <w:pPr>
        <w:spacing w:line="264" w:lineRule="auto"/>
        <w:jc w:val="both"/>
        <w:rPr>
          <w:sz w:val="28"/>
          <w:szCs w:val="28"/>
        </w:rPr>
      </w:pPr>
    </w:p>
    <w:p w:rsidR="008E25EA" w:rsidRPr="00AF4944" w:rsidRDefault="00D13050" w:rsidP="0038432C">
      <w:pPr>
        <w:spacing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25EA">
        <w:rPr>
          <w:sz w:val="28"/>
          <w:szCs w:val="28"/>
        </w:rPr>
        <w:t xml:space="preserve">What is the difference between </w:t>
      </w:r>
      <w:r w:rsidR="008E25EA">
        <w:rPr>
          <w:rFonts w:hint="cs"/>
          <w:sz w:val="28"/>
          <w:szCs w:val="28"/>
          <w:rtl/>
        </w:rPr>
        <w:t>תוספות</w:t>
      </w:r>
      <w:r w:rsidR="008E25EA">
        <w:rPr>
          <w:sz w:val="28"/>
          <w:szCs w:val="28"/>
        </w:rPr>
        <w:t xml:space="preserve"> answer of </w:t>
      </w:r>
      <w:r w:rsidR="008E25EA">
        <w:rPr>
          <w:rFonts w:hint="cs"/>
          <w:sz w:val="28"/>
          <w:szCs w:val="28"/>
          <w:rtl/>
        </w:rPr>
        <w:t>א"נ שאני הכא דמחמת ממון וכו' הוי פירושא וכו'</w:t>
      </w:r>
      <w:r w:rsidR="008E25EA">
        <w:rPr>
          <w:sz w:val="28"/>
          <w:szCs w:val="28"/>
        </w:rPr>
        <w:t xml:space="preserve">’, and </w:t>
      </w:r>
      <w:r w:rsidR="008E25EA">
        <w:rPr>
          <w:rFonts w:hint="cs"/>
          <w:sz w:val="28"/>
          <w:szCs w:val="28"/>
          <w:rtl/>
        </w:rPr>
        <w:t>תוספות</w:t>
      </w:r>
      <w:r w:rsidR="008E25EA">
        <w:rPr>
          <w:sz w:val="28"/>
          <w:szCs w:val="28"/>
        </w:rPr>
        <w:t xml:space="preserve"> final answer</w:t>
      </w:r>
      <w:r w:rsidR="008E25EA">
        <w:rPr>
          <w:rStyle w:val="FootnoteReference"/>
          <w:sz w:val="28"/>
          <w:szCs w:val="28"/>
        </w:rPr>
        <w:footnoteReference w:id="17"/>
      </w:r>
      <w:r w:rsidR="008E25EA">
        <w:rPr>
          <w:sz w:val="28"/>
          <w:szCs w:val="28"/>
        </w:rPr>
        <w:t xml:space="preserve"> </w:t>
      </w:r>
      <w:r w:rsidR="008E25EA">
        <w:rPr>
          <w:rFonts w:hint="cs"/>
          <w:sz w:val="28"/>
          <w:szCs w:val="28"/>
          <w:rtl/>
        </w:rPr>
        <w:t>א"נ הכא עיקר עדות וכו'</w:t>
      </w:r>
      <w:r w:rsidR="008E25EA">
        <w:rPr>
          <w:sz w:val="28"/>
          <w:szCs w:val="28"/>
        </w:rPr>
        <w:t>?</w:t>
      </w:r>
      <w:r>
        <w:rPr>
          <w:rStyle w:val="FootnoteReference"/>
          <w:sz w:val="28"/>
          <w:szCs w:val="28"/>
        </w:rPr>
        <w:footnoteReference w:id="18"/>
      </w:r>
    </w:p>
    <w:sectPr w:rsidR="008E25EA" w:rsidRPr="00AF4944" w:rsidSect="00DC1277">
      <w:headerReference w:type="default" r:id="rId7"/>
      <w:footerReference w:type="even" r:id="rId8"/>
      <w:footerReference w:type="default" r:id="rId9"/>
      <w:pgSz w:w="12240" w:h="15840"/>
      <w:pgMar w:top="1440" w:right="1728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B8E" w:rsidRDefault="00860B8E">
      <w:r>
        <w:separator/>
      </w:r>
    </w:p>
  </w:endnote>
  <w:endnote w:type="continuationSeparator" w:id="0">
    <w:p w:rsidR="00860B8E" w:rsidRDefault="00860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277" w:rsidRDefault="00DE3277" w:rsidP="004C760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3277" w:rsidRDefault="00DE32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277" w:rsidRDefault="00DE3277" w:rsidP="004C760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60C">
      <w:rPr>
        <w:rStyle w:val="PageNumber"/>
        <w:noProof/>
      </w:rPr>
      <w:t>4</w:t>
    </w:r>
    <w:r>
      <w:rPr>
        <w:rStyle w:val="PageNumber"/>
      </w:rPr>
      <w:fldChar w:fldCharType="end"/>
    </w:r>
  </w:p>
  <w:p w:rsidR="00DE3277" w:rsidRDefault="00DE3277">
    <w:pPr>
      <w:pStyle w:val="Footer"/>
      <w:rPr>
        <w:sz w:val="28"/>
        <w:szCs w:val="28"/>
      </w:rPr>
    </w:pPr>
  </w:p>
  <w:p w:rsidR="00DE3277" w:rsidRPr="00565279" w:rsidRDefault="00DE3277" w:rsidP="00565279">
    <w:pPr>
      <w:pStyle w:val="Footer"/>
      <w:jc w:val="center"/>
      <w:rPr>
        <w:sz w:val="16"/>
        <w:szCs w:val="16"/>
      </w:rPr>
    </w:pPr>
    <w:r w:rsidRPr="00565279">
      <w:rPr>
        <w:sz w:val="16"/>
        <w:szCs w:val="16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B8E" w:rsidRDefault="00860B8E">
      <w:r>
        <w:separator/>
      </w:r>
    </w:p>
  </w:footnote>
  <w:footnote w:type="continuationSeparator" w:id="0">
    <w:p w:rsidR="00860B8E" w:rsidRDefault="00860B8E">
      <w:r>
        <w:continuationSeparator/>
      </w:r>
    </w:p>
  </w:footnote>
  <w:footnote w:id="1">
    <w:p w:rsidR="00DE3277" w:rsidRDefault="00DE3277" w:rsidP="00D13050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If the accuser testifies that he was coerced into sodomy then all agree that he is believed. There is no need for </w:t>
      </w:r>
      <w:r>
        <w:rPr>
          <w:rFonts w:hint="cs"/>
          <w:rtl/>
        </w:rPr>
        <w:t>פלגינן דיבורא</w:t>
      </w:r>
      <w:r>
        <w:t xml:space="preserve">. [A victim can be an </w:t>
      </w:r>
      <w:r>
        <w:rPr>
          <w:rFonts w:hint="cs"/>
          <w:rtl/>
        </w:rPr>
        <w:t>עד</w:t>
      </w:r>
      <w:r>
        <w:t>.]</w:t>
      </w:r>
    </w:p>
  </w:footnote>
  <w:footnote w:id="2">
    <w:p w:rsidR="00DE3277" w:rsidRDefault="00DE3277" w:rsidP="00D13050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תוספות</w:t>
      </w:r>
      <w:r>
        <w:t xml:space="preserve"> there </w:t>
      </w:r>
      <w:r>
        <w:rPr>
          <w:rFonts w:hint="cs"/>
          <w:rtl/>
        </w:rPr>
        <w:t>ד"ה ואין</w:t>
      </w:r>
      <w:r>
        <w:t>.</w:t>
      </w:r>
    </w:p>
  </w:footnote>
  <w:footnote w:id="3">
    <w:p w:rsidR="00DE3277" w:rsidRDefault="00DE3277" w:rsidP="00D13050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 # 1.</w:t>
      </w:r>
    </w:p>
  </w:footnote>
  <w:footnote w:id="4">
    <w:p w:rsidR="00DE3277" w:rsidRPr="00460BCD" w:rsidRDefault="00DE3277" w:rsidP="00D13050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רבא</w:t>
      </w:r>
      <w:r>
        <w:t xml:space="preserve"> challenged the initial understanding of </w:t>
      </w:r>
      <w:r>
        <w:rPr>
          <w:rFonts w:hint="cs"/>
          <w:rtl/>
        </w:rPr>
        <w:t>רב"ח</w:t>
      </w:r>
      <w:r>
        <w:t xml:space="preserve">; presumably </w:t>
      </w:r>
      <w:r>
        <w:rPr>
          <w:rFonts w:hint="cs"/>
          <w:rtl/>
        </w:rPr>
        <w:t>רבא</w:t>
      </w:r>
      <w:r>
        <w:t xml:space="preserve"> agrees with the conclusive understanding of </w:t>
      </w:r>
      <w:r>
        <w:rPr>
          <w:rFonts w:hint="cs"/>
          <w:rtl/>
        </w:rPr>
        <w:t>רב"ח</w:t>
      </w:r>
      <w:r>
        <w:t xml:space="preserve"> that </w:t>
      </w:r>
      <w:r>
        <w:rPr>
          <w:rFonts w:hint="cs"/>
          <w:rtl/>
        </w:rPr>
        <w:t>אנוסים היינו מחמת ממון</w:t>
      </w:r>
      <w:r>
        <w:t xml:space="preserve"> is not believed even if </w:t>
      </w:r>
      <w:r>
        <w:rPr>
          <w:rFonts w:hint="cs"/>
          <w:rtl/>
        </w:rPr>
        <w:t>אין כת"י יוצא ממק"א</w:t>
      </w:r>
      <w:r>
        <w:t xml:space="preserve">.  </w:t>
      </w:r>
    </w:p>
  </w:footnote>
  <w:footnote w:id="5">
    <w:p w:rsidR="00DE3277" w:rsidRPr="00460BCD" w:rsidRDefault="00DE3277" w:rsidP="00D13050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מדאורייתא</w:t>
      </w:r>
      <w:r>
        <w:t xml:space="preserve"> the </w:t>
      </w:r>
      <w:r>
        <w:rPr>
          <w:rFonts w:hint="cs"/>
          <w:rtl/>
        </w:rPr>
        <w:t>עדים</w:t>
      </w:r>
      <w:r>
        <w:t xml:space="preserve"> would not be believed to be </w:t>
      </w:r>
      <w:r>
        <w:rPr>
          <w:rFonts w:hint="cs"/>
          <w:rtl/>
        </w:rPr>
        <w:t>פוסל</w:t>
      </w:r>
      <w:r>
        <w:t xml:space="preserve"> the </w:t>
      </w:r>
      <w:r>
        <w:rPr>
          <w:rFonts w:hint="cs"/>
          <w:rtl/>
        </w:rPr>
        <w:t>שטר</w:t>
      </w:r>
      <w:r>
        <w:t xml:space="preserve"> in the </w:t>
      </w:r>
      <w:r>
        <w:rPr>
          <w:rFonts w:hint="cs"/>
          <w:rtl/>
        </w:rPr>
        <w:t>רישא</w:t>
      </w:r>
      <w:r>
        <w:t xml:space="preserve"> even if they said </w:t>
      </w:r>
      <w:r>
        <w:rPr>
          <w:rFonts w:hint="cs"/>
          <w:rtl/>
        </w:rPr>
        <w:t>אנוסים  מחמת נפשות</w:t>
      </w:r>
      <w:r>
        <w:t xml:space="preserve">, because since there is no need for </w:t>
      </w:r>
      <w:r>
        <w:rPr>
          <w:rFonts w:hint="cs"/>
          <w:rtl/>
        </w:rPr>
        <w:t>קיום</w:t>
      </w:r>
      <w:r>
        <w:t xml:space="preserve">, there is no </w:t>
      </w:r>
      <w:r>
        <w:rPr>
          <w:rFonts w:hint="cs"/>
          <w:rtl/>
        </w:rPr>
        <w:t>מיגו</w:t>
      </w:r>
      <w:r>
        <w:t xml:space="preserve"> (it is as if </w:t>
      </w:r>
      <w:r>
        <w:rPr>
          <w:rFonts w:hint="cs"/>
          <w:rtl/>
        </w:rPr>
        <w:t>כת"י יוצא ממק"א</w:t>
      </w:r>
      <w:r>
        <w:t xml:space="preserve">). It is only </w:t>
      </w:r>
      <w:r>
        <w:rPr>
          <w:rFonts w:hint="cs"/>
          <w:rtl/>
        </w:rPr>
        <w:t>מדרבנן</w:t>
      </w:r>
      <w:r>
        <w:t xml:space="preserve"> who require </w:t>
      </w:r>
      <w:r>
        <w:rPr>
          <w:rFonts w:hint="cs"/>
          <w:rtl/>
        </w:rPr>
        <w:t>קיום</w:t>
      </w:r>
      <w:r>
        <w:t xml:space="preserve"> that they are believed if they say </w:t>
      </w:r>
      <w:r>
        <w:rPr>
          <w:rFonts w:hint="cs"/>
          <w:rtl/>
        </w:rPr>
        <w:t>מחמת נפשות</w:t>
      </w:r>
      <w:r>
        <w:t xml:space="preserve"> (because of the </w:t>
      </w:r>
      <w:r>
        <w:rPr>
          <w:rFonts w:hint="cs"/>
          <w:rtl/>
        </w:rPr>
        <w:t>הפה שאסר</w:t>
      </w:r>
      <w:r>
        <w:t xml:space="preserve">); however the </w:t>
      </w:r>
      <w:r>
        <w:rPr>
          <w:rFonts w:hint="cs"/>
          <w:rtl/>
        </w:rPr>
        <w:t>הפה שאסר</w:t>
      </w:r>
      <w:r>
        <w:t xml:space="preserve"> will not be effective if we require the additional </w:t>
      </w:r>
      <w:r>
        <w:rPr>
          <w:rFonts w:hint="cs"/>
          <w:rtl/>
        </w:rPr>
        <w:t>חידוש</w:t>
      </w:r>
      <w:r>
        <w:t xml:space="preserve"> of </w:t>
      </w:r>
      <w:r>
        <w:rPr>
          <w:rFonts w:hint="cs"/>
          <w:rtl/>
        </w:rPr>
        <w:t>פלגינן</w:t>
      </w:r>
      <w:r>
        <w:t xml:space="preserve"> as well.</w:t>
      </w:r>
    </w:p>
  </w:footnote>
  <w:footnote w:id="6">
    <w:p w:rsidR="00DE3277" w:rsidRDefault="00DE3277" w:rsidP="00D13050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This answer may be more readily understood if we assume that </w:t>
      </w:r>
      <w:r>
        <w:rPr>
          <w:rFonts w:hint="cs"/>
          <w:rtl/>
        </w:rPr>
        <w:t>הרי אלו נאמנים</w:t>
      </w:r>
      <w:r>
        <w:t xml:space="preserve"> means merely that the </w:t>
      </w:r>
      <w:r>
        <w:rPr>
          <w:rFonts w:hint="cs"/>
          <w:rtl/>
        </w:rPr>
        <w:t>שטר</w:t>
      </w:r>
      <w:r>
        <w:t xml:space="preserve"> is not </w:t>
      </w:r>
      <w:r>
        <w:rPr>
          <w:rFonts w:hint="cs"/>
          <w:rtl/>
        </w:rPr>
        <w:t>מקוים</w:t>
      </w:r>
      <w:r>
        <w:t xml:space="preserve"> [but not that it is destroyed, see </w:t>
      </w:r>
      <w:r>
        <w:rPr>
          <w:rFonts w:hint="cs"/>
          <w:rtl/>
        </w:rPr>
        <w:t>תוד"ה הרי</w:t>
      </w:r>
      <w:r>
        <w:t xml:space="preserve"> footnote # 1]. The </w:t>
      </w:r>
      <w:r>
        <w:rPr>
          <w:rFonts w:hint="cs"/>
          <w:rtl/>
        </w:rPr>
        <w:t>חכמים</w:t>
      </w:r>
      <w:r>
        <w:t xml:space="preserve"> did not institute a </w:t>
      </w:r>
      <w:r>
        <w:rPr>
          <w:rFonts w:hint="cs"/>
          <w:rtl/>
        </w:rPr>
        <w:t>פ"ד</w:t>
      </w:r>
      <w:r>
        <w:t xml:space="preserve"> since even if they are believed it will merely be a </w:t>
      </w:r>
      <w:r>
        <w:rPr>
          <w:rFonts w:hint="cs"/>
          <w:rtl/>
        </w:rPr>
        <w:t>שטר</w:t>
      </w:r>
      <w:r>
        <w:t xml:space="preserve"> without </w:t>
      </w:r>
      <w:r>
        <w:rPr>
          <w:rFonts w:hint="cs"/>
          <w:rtl/>
        </w:rPr>
        <w:t>קיום</w:t>
      </w:r>
      <w:r>
        <w:t xml:space="preserve">, which is </w:t>
      </w:r>
      <w:r>
        <w:rPr>
          <w:rFonts w:hint="cs"/>
          <w:rtl/>
        </w:rPr>
        <w:t>כשר מה"ת</w:t>
      </w:r>
      <w:r>
        <w:t xml:space="preserve">. See </w:t>
      </w:r>
      <w:r>
        <w:rPr>
          <w:rFonts w:hint="cs"/>
          <w:rtl/>
        </w:rPr>
        <w:t>סוכ"ד אות צ"ב, וצ"ע</w:t>
      </w:r>
      <w:r>
        <w:t xml:space="preserve">. </w:t>
      </w:r>
    </w:p>
  </w:footnote>
  <w:footnote w:id="7">
    <w:p w:rsidR="00DE3277" w:rsidRDefault="00DE3277" w:rsidP="00D13050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previous </w:t>
      </w:r>
      <w:r>
        <w:rPr>
          <w:rFonts w:hint="cs"/>
          <w:rtl/>
        </w:rPr>
        <w:t>תוספות ד"ה מחמת</w:t>
      </w:r>
      <w:r w:rsidR="007173D8">
        <w:t xml:space="preserve"> (by footnote # 5)</w:t>
      </w:r>
      <w:r>
        <w:t>.</w:t>
      </w:r>
    </w:p>
  </w:footnote>
  <w:footnote w:id="8">
    <w:p w:rsidR="00DE3277" w:rsidRDefault="00DE3277" w:rsidP="00D13050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רש"ש</w:t>
      </w:r>
      <w:r>
        <w:t xml:space="preserve"> is </w:t>
      </w:r>
      <w:r>
        <w:rPr>
          <w:rFonts w:hint="cs"/>
          <w:rtl/>
        </w:rPr>
        <w:t>גורס 'שרבע'</w:t>
      </w:r>
      <w:r>
        <w:t xml:space="preserve"> (not </w:t>
      </w:r>
      <w:r>
        <w:rPr>
          <w:rFonts w:hint="cs"/>
          <w:rtl/>
        </w:rPr>
        <w:t>שרבעו</w:t>
      </w:r>
      <w:r>
        <w:t xml:space="preserve">). The </w:t>
      </w:r>
      <w:r>
        <w:rPr>
          <w:rFonts w:hint="cs"/>
          <w:rtl/>
        </w:rPr>
        <w:t>פלגינן</w:t>
      </w:r>
      <w:r>
        <w:t xml:space="preserve"> is not that it was </w:t>
      </w:r>
      <w:r>
        <w:rPr>
          <w:rFonts w:hint="cs"/>
          <w:rtl/>
        </w:rPr>
        <w:t>לאונסי</w:t>
      </w:r>
      <w:r>
        <w:t xml:space="preserve"> (instead of </w:t>
      </w:r>
      <w:r>
        <w:rPr>
          <w:rFonts w:hint="cs"/>
          <w:rtl/>
        </w:rPr>
        <w:t>לרצוני</w:t>
      </w:r>
      <w:r>
        <w:t xml:space="preserve">), but rather that he was </w:t>
      </w:r>
      <w:r>
        <w:rPr>
          <w:rFonts w:hint="cs"/>
          <w:rtl/>
        </w:rPr>
        <w:t>רבע</w:t>
      </w:r>
      <w:r>
        <w:t xml:space="preserve"> another person; not the </w:t>
      </w:r>
      <w:r>
        <w:rPr>
          <w:rFonts w:hint="cs"/>
          <w:rtl/>
        </w:rPr>
        <w:t>עד</w:t>
      </w:r>
      <w:r>
        <w:t>. See footnote # 10.</w:t>
      </w:r>
    </w:p>
  </w:footnote>
  <w:footnote w:id="9">
    <w:p w:rsidR="00DE3277" w:rsidRDefault="00DE3277" w:rsidP="00D13050">
      <w:pPr>
        <w:pStyle w:val="FootnoteText"/>
        <w:widowControl w:val="0"/>
        <w:spacing w:line="264" w:lineRule="auto"/>
        <w:jc w:val="both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r w:rsidRPr="003D3BD2">
        <w:t xml:space="preserve">The </w:t>
      </w:r>
      <w:r w:rsidRPr="003D3BD2">
        <w:rPr>
          <w:rFonts w:hint="cs"/>
          <w:rtl/>
        </w:rPr>
        <w:t>גמרא</w:t>
      </w:r>
      <w:r w:rsidRPr="003D3BD2">
        <w:t xml:space="preserve"> there infers from the </w:t>
      </w:r>
      <w:r w:rsidRPr="003D3BD2">
        <w:rPr>
          <w:rFonts w:hint="cs"/>
          <w:rtl/>
        </w:rPr>
        <w:t>משנה</w:t>
      </w:r>
      <w:r w:rsidRPr="003D3BD2">
        <w:t xml:space="preserve"> that if a person claims ‘I killed him’, the wife of the alleged victim is permitted to remarry. In that case there is also the issue of </w:t>
      </w:r>
      <w:r w:rsidRPr="003D3BD2">
        <w:rPr>
          <w:rFonts w:hint="cs"/>
          <w:rtl/>
        </w:rPr>
        <w:t>א"א מע"ר</w:t>
      </w:r>
      <w:r w:rsidRPr="003D3BD2">
        <w:t xml:space="preserve"> and nevertheless we permit her to marry only on the basis of </w:t>
      </w:r>
      <w:r w:rsidRPr="003D3BD2">
        <w:rPr>
          <w:rFonts w:hint="cs"/>
          <w:rtl/>
        </w:rPr>
        <w:t>פלגינן דיבורא</w:t>
      </w:r>
    </w:p>
  </w:footnote>
  <w:footnote w:id="10">
    <w:p w:rsidR="00DE3277" w:rsidRDefault="00DE3277" w:rsidP="00D13050">
      <w:pPr>
        <w:pStyle w:val="FootnoteText"/>
        <w:widowControl w:val="0"/>
        <w:spacing w:line="264" w:lineRule="auto"/>
        <w:jc w:val="both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r w:rsidR="00D13050">
        <w:t>According</w:t>
      </w:r>
      <w:r>
        <w:t xml:space="preserve"> to the </w:t>
      </w:r>
      <w:r>
        <w:rPr>
          <w:rFonts w:hint="cs"/>
          <w:rtl/>
        </w:rPr>
        <w:t>גירסא</w:t>
      </w:r>
      <w:r>
        <w:t xml:space="preserve"> of the </w:t>
      </w:r>
      <w:r>
        <w:rPr>
          <w:rFonts w:hint="cs"/>
          <w:rtl/>
        </w:rPr>
        <w:t>רש"ש</w:t>
      </w:r>
      <w:r>
        <w:t xml:space="preserve"> (see footnote # 8) </w:t>
      </w:r>
      <w:r>
        <w:rPr>
          <w:rFonts w:hint="cs"/>
          <w:rtl/>
        </w:rPr>
        <w:t>תוספות</w:t>
      </w:r>
      <w:r>
        <w:t xml:space="preserve"> should not have said </w:t>
      </w:r>
      <w:r>
        <w:rPr>
          <w:rFonts w:hint="cs"/>
          <w:rtl/>
        </w:rPr>
        <w:t>'לרצונו'</w:t>
      </w:r>
      <w:r>
        <w:t xml:space="preserve">, but rather </w:t>
      </w:r>
      <w:r>
        <w:rPr>
          <w:rFonts w:hint="cs"/>
          <w:rtl/>
        </w:rPr>
        <w:t>'שרבעו'</w:t>
      </w:r>
      <w:r>
        <w:t xml:space="preserve">.  </w:t>
      </w:r>
    </w:p>
  </w:footnote>
  <w:footnote w:id="11">
    <w:p w:rsidR="00DE3277" w:rsidRDefault="00DE3277" w:rsidP="00D13050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claim of </w:t>
      </w:r>
      <w:r>
        <w:rPr>
          <w:rFonts w:hint="cs"/>
          <w:rtl/>
        </w:rPr>
        <w:t>אנוסים</w:t>
      </w:r>
      <w:r>
        <w:t xml:space="preserve"> requires a qualifier intrinsically. How did the </w:t>
      </w:r>
      <w:r>
        <w:rPr>
          <w:rFonts w:hint="cs"/>
          <w:rtl/>
        </w:rPr>
        <w:t>אונס</w:t>
      </w:r>
      <w:r>
        <w:t xml:space="preserve"> take place? We are not </w:t>
      </w:r>
      <w:r>
        <w:rPr>
          <w:rFonts w:hint="cs"/>
          <w:rtl/>
        </w:rPr>
        <w:t>פלגינן</w:t>
      </w:r>
      <w:r>
        <w:t xml:space="preserve"> an intrinsic qualifier. The claim of </w:t>
      </w:r>
      <w:r>
        <w:rPr>
          <w:rFonts w:hint="cs"/>
          <w:rtl/>
        </w:rPr>
        <w:t>רבעני</w:t>
      </w:r>
      <w:r>
        <w:t xml:space="preserve"> does not require an intrinsic qualifier. The act of </w:t>
      </w:r>
      <w:r>
        <w:rPr>
          <w:rFonts w:hint="cs"/>
          <w:rtl/>
        </w:rPr>
        <w:t>רביעה</w:t>
      </w:r>
      <w:r>
        <w:t xml:space="preserve">, or </w:t>
      </w:r>
      <w:r>
        <w:rPr>
          <w:rFonts w:hint="cs"/>
          <w:rtl/>
        </w:rPr>
        <w:t>בעילה</w:t>
      </w:r>
      <w:r>
        <w:t xml:space="preserve"> with an </w:t>
      </w:r>
      <w:r>
        <w:rPr>
          <w:rFonts w:hint="cs"/>
          <w:rtl/>
        </w:rPr>
        <w:t>א"א</w:t>
      </w:r>
      <w:r>
        <w:t xml:space="preserve">, is sufficient grounds for </w:t>
      </w:r>
      <w:r>
        <w:rPr>
          <w:rFonts w:hint="cs"/>
          <w:rtl/>
        </w:rPr>
        <w:t>חיוב מיתה</w:t>
      </w:r>
      <w:r>
        <w:t>. The qualifier is merely completing a statement.</w:t>
      </w:r>
    </w:p>
  </w:footnote>
  <w:footnote w:id="12">
    <w:p w:rsidR="00DE3277" w:rsidRDefault="00DE3277" w:rsidP="00D13050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 # 2.</w:t>
      </w:r>
    </w:p>
  </w:footnote>
  <w:footnote w:id="13">
    <w:p w:rsidR="00DE3277" w:rsidRDefault="00DE3277" w:rsidP="00D13050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תוספות</w:t>
      </w:r>
      <w:r>
        <w:t xml:space="preserve"> asks first from </w:t>
      </w:r>
      <w:r>
        <w:rPr>
          <w:rFonts w:hint="cs"/>
          <w:rtl/>
        </w:rPr>
        <w:t>'הרגתיו'</w:t>
      </w:r>
      <w:r>
        <w:t xml:space="preserve"> for that seems most similar to </w:t>
      </w:r>
      <w:r>
        <w:rPr>
          <w:rFonts w:hint="cs"/>
          <w:rtl/>
        </w:rPr>
        <w:t>אנוסים</w:t>
      </w:r>
      <w:r>
        <w:t xml:space="preserve">. He begins </w:t>
      </w:r>
      <w:r w:rsidR="00EA2ABA">
        <w:t>b</w:t>
      </w:r>
      <w:r>
        <w:t>y saying ‘I killed him’.</w:t>
      </w:r>
    </w:p>
  </w:footnote>
  <w:footnote w:id="14">
    <w:p w:rsidR="00DE3277" w:rsidRDefault="00DE3277" w:rsidP="00D13050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 w:rsidRPr="000B2315">
        <w:t xml:space="preserve">We accept his main testimony to kill the perpetrator or allow the woman to remarry; and in order that his testimony not be discredited since he also stated certain aspects which made him a </w:t>
      </w:r>
      <w:r w:rsidRPr="000B2315">
        <w:rPr>
          <w:rFonts w:hint="cs"/>
          <w:rtl/>
        </w:rPr>
        <w:t>רשע</w:t>
      </w:r>
      <w:r>
        <w:t xml:space="preserve"> we are </w:t>
      </w:r>
      <w:r>
        <w:rPr>
          <w:rFonts w:hint="cs"/>
          <w:rtl/>
        </w:rPr>
        <w:t>פלגינן דיבורא</w:t>
      </w:r>
      <w:r>
        <w:t>.</w:t>
      </w:r>
    </w:p>
  </w:footnote>
  <w:footnote w:id="15">
    <w:p w:rsidR="00DE3277" w:rsidRDefault="00DE3277" w:rsidP="00D13050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 w:rsidRPr="00564704">
        <w:t>See footnote # 3.</w:t>
      </w:r>
    </w:p>
  </w:footnote>
  <w:footnote w:id="16">
    <w:p w:rsidR="00DE3277" w:rsidRDefault="00DE3277" w:rsidP="00D13050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סוכ"ד אות צא</w:t>
      </w:r>
      <w:r>
        <w:t>.</w:t>
      </w:r>
    </w:p>
  </w:footnote>
  <w:footnote w:id="17">
    <w:p w:rsidR="00DE3277" w:rsidRDefault="00DE3277" w:rsidP="00D13050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12.</w:t>
      </w:r>
    </w:p>
  </w:footnote>
  <w:footnote w:id="18">
    <w:p w:rsidR="00D13050" w:rsidRDefault="00D13050" w:rsidP="00D13050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דרכי דוד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277" w:rsidRDefault="00DE3277" w:rsidP="00565279">
    <w:pPr>
      <w:pStyle w:val="Header"/>
      <w:bidi/>
      <w:rPr>
        <w:rFonts w:hint="cs"/>
        <w:rtl/>
      </w:rPr>
    </w:pPr>
    <w:r>
      <w:rPr>
        <w:rFonts w:hint="cs"/>
        <w:rtl/>
      </w:rPr>
      <w:t>בס"ד. כתובות יח,ב תוס' ד"ה ואין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B3470"/>
    <w:multiLevelType w:val="hybridMultilevel"/>
    <w:tmpl w:val="E814F1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5279"/>
    <w:rsid w:val="000110BD"/>
    <w:rsid w:val="0003107B"/>
    <w:rsid w:val="00035D00"/>
    <w:rsid w:val="00037215"/>
    <w:rsid w:val="00047EB7"/>
    <w:rsid w:val="000523E2"/>
    <w:rsid w:val="0005681E"/>
    <w:rsid w:val="00061E9F"/>
    <w:rsid w:val="000661DF"/>
    <w:rsid w:val="00073223"/>
    <w:rsid w:val="00074E53"/>
    <w:rsid w:val="0008068D"/>
    <w:rsid w:val="000825A6"/>
    <w:rsid w:val="00084A99"/>
    <w:rsid w:val="00094EB6"/>
    <w:rsid w:val="0009659D"/>
    <w:rsid w:val="000A234E"/>
    <w:rsid w:val="000A66FC"/>
    <w:rsid w:val="000A704E"/>
    <w:rsid w:val="000B2315"/>
    <w:rsid w:val="000B377B"/>
    <w:rsid w:val="000C21FA"/>
    <w:rsid w:val="000C65DD"/>
    <w:rsid w:val="000D6702"/>
    <w:rsid w:val="000E4E39"/>
    <w:rsid w:val="00103B51"/>
    <w:rsid w:val="00112C69"/>
    <w:rsid w:val="00152632"/>
    <w:rsid w:val="0015643F"/>
    <w:rsid w:val="00171949"/>
    <w:rsid w:val="001722B4"/>
    <w:rsid w:val="00183AF3"/>
    <w:rsid w:val="001938B0"/>
    <w:rsid w:val="001A5235"/>
    <w:rsid w:val="001B01D8"/>
    <w:rsid w:val="001B2BF9"/>
    <w:rsid w:val="001C19C3"/>
    <w:rsid w:val="001C496B"/>
    <w:rsid w:val="001E2618"/>
    <w:rsid w:val="00221697"/>
    <w:rsid w:val="00227BD5"/>
    <w:rsid w:val="00233159"/>
    <w:rsid w:val="0024128D"/>
    <w:rsid w:val="002456D8"/>
    <w:rsid w:val="002645F1"/>
    <w:rsid w:val="0027005E"/>
    <w:rsid w:val="002870E1"/>
    <w:rsid w:val="00293A47"/>
    <w:rsid w:val="002A6061"/>
    <w:rsid w:val="002A792F"/>
    <w:rsid w:val="002B4135"/>
    <w:rsid w:val="002D3CFC"/>
    <w:rsid w:val="002E39F1"/>
    <w:rsid w:val="002E39F2"/>
    <w:rsid w:val="002F0E3E"/>
    <w:rsid w:val="00311EC8"/>
    <w:rsid w:val="0031575F"/>
    <w:rsid w:val="0031695C"/>
    <w:rsid w:val="00317453"/>
    <w:rsid w:val="003203FB"/>
    <w:rsid w:val="003206C1"/>
    <w:rsid w:val="00337C06"/>
    <w:rsid w:val="00347FD0"/>
    <w:rsid w:val="0038432C"/>
    <w:rsid w:val="00385C65"/>
    <w:rsid w:val="00387CF0"/>
    <w:rsid w:val="00395825"/>
    <w:rsid w:val="0039622B"/>
    <w:rsid w:val="003C2861"/>
    <w:rsid w:val="003D34E8"/>
    <w:rsid w:val="003D3BD2"/>
    <w:rsid w:val="003D7EB4"/>
    <w:rsid w:val="003E0B99"/>
    <w:rsid w:val="003E0BE9"/>
    <w:rsid w:val="003F0F83"/>
    <w:rsid w:val="003F2381"/>
    <w:rsid w:val="00410C25"/>
    <w:rsid w:val="0041626A"/>
    <w:rsid w:val="00442246"/>
    <w:rsid w:val="0044437D"/>
    <w:rsid w:val="0045569C"/>
    <w:rsid w:val="004558FC"/>
    <w:rsid w:val="004577F3"/>
    <w:rsid w:val="00460BCD"/>
    <w:rsid w:val="004870CA"/>
    <w:rsid w:val="004912CF"/>
    <w:rsid w:val="004C2792"/>
    <w:rsid w:val="004C7605"/>
    <w:rsid w:val="004D44F9"/>
    <w:rsid w:val="004D743A"/>
    <w:rsid w:val="004E17BB"/>
    <w:rsid w:val="004F5CC8"/>
    <w:rsid w:val="004F7892"/>
    <w:rsid w:val="00513060"/>
    <w:rsid w:val="00524098"/>
    <w:rsid w:val="00525981"/>
    <w:rsid w:val="00526332"/>
    <w:rsid w:val="0052660C"/>
    <w:rsid w:val="005361BA"/>
    <w:rsid w:val="00543AAD"/>
    <w:rsid w:val="00552A0A"/>
    <w:rsid w:val="00564704"/>
    <w:rsid w:val="00565279"/>
    <w:rsid w:val="00587A08"/>
    <w:rsid w:val="00594AD0"/>
    <w:rsid w:val="00594FFE"/>
    <w:rsid w:val="00596A4A"/>
    <w:rsid w:val="005C6F55"/>
    <w:rsid w:val="005D1BC8"/>
    <w:rsid w:val="005E12D9"/>
    <w:rsid w:val="005F2EA7"/>
    <w:rsid w:val="00612505"/>
    <w:rsid w:val="00622F81"/>
    <w:rsid w:val="00623F59"/>
    <w:rsid w:val="00625363"/>
    <w:rsid w:val="00630E96"/>
    <w:rsid w:val="006313AE"/>
    <w:rsid w:val="00637A3C"/>
    <w:rsid w:val="00650215"/>
    <w:rsid w:val="00662F36"/>
    <w:rsid w:val="006A654B"/>
    <w:rsid w:val="006B38B6"/>
    <w:rsid w:val="006B6A05"/>
    <w:rsid w:val="006C3703"/>
    <w:rsid w:val="006D15F5"/>
    <w:rsid w:val="006D1EB7"/>
    <w:rsid w:val="006D27A1"/>
    <w:rsid w:val="006E3BC2"/>
    <w:rsid w:val="006E6E64"/>
    <w:rsid w:val="006F5322"/>
    <w:rsid w:val="007044D2"/>
    <w:rsid w:val="007063AE"/>
    <w:rsid w:val="00706BF6"/>
    <w:rsid w:val="00715225"/>
    <w:rsid w:val="007173D8"/>
    <w:rsid w:val="007454A5"/>
    <w:rsid w:val="007579D2"/>
    <w:rsid w:val="007608FB"/>
    <w:rsid w:val="00761D2D"/>
    <w:rsid w:val="00794B2B"/>
    <w:rsid w:val="007C662F"/>
    <w:rsid w:val="007E5721"/>
    <w:rsid w:val="00800D57"/>
    <w:rsid w:val="0080628F"/>
    <w:rsid w:val="00810514"/>
    <w:rsid w:val="008247DD"/>
    <w:rsid w:val="008504F4"/>
    <w:rsid w:val="00853C28"/>
    <w:rsid w:val="00860B8E"/>
    <w:rsid w:val="00862034"/>
    <w:rsid w:val="00862D1D"/>
    <w:rsid w:val="00864E57"/>
    <w:rsid w:val="00865D0F"/>
    <w:rsid w:val="00870857"/>
    <w:rsid w:val="00875674"/>
    <w:rsid w:val="00896A68"/>
    <w:rsid w:val="008A13DB"/>
    <w:rsid w:val="008A51A6"/>
    <w:rsid w:val="008B02E6"/>
    <w:rsid w:val="008C3899"/>
    <w:rsid w:val="008D06BE"/>
    <w:rsid w:val="008D416B"/>
    <w:rsid w:val="008D551A"/>
    <w:rsid w:val="008D7B53"/>
    <w:rsid w:val="008E18F1"/>
    <w:rsid w:val="008E25EA"/>
    <w:rsid w:val="008F7F09"/>
    <w:rsid w:val="00901B45"/>
    <w:rsid w:val="009126E7"/>
    <w:rsid w:val="009430AB"/>
    <w:rsid w:val="00946F9E"/>
    <w:rsid w:val="009517F7"/>
    <w:rsid w:val="00977898"/>
    <w:rsid w:val="009931CD"/>
    <w:rsid w:val="009943D0"/>
    <w:rsid w:val="009A5F36"/>
    <w:rsid w:val="009B4DDA"/>
    <w:rsid w:val="009C6227"/>
    <w:rsid w:val="009E0383"/>
    <w:rsid w:val="009E2DE5"/>
    <w:rsid w:val="00A5142C"/>
    <w:rsid w:val="00A55D6A"/>
    <w:rsid w:val="00A5722D"/>
    <w:rsid w:val="00A603D1"/>
    <w:rsid w:val="00A619AB"/>
    <w:rsid w:val="00A74DFE"/>
    <w:rsid w:val="00A754C2"/>
    <w:rsid w:val="00A80985"/>
    <w:rsid w:val="00AA0A7C"/>
    <w:rsid w:val="00AE7621"/>
    <w:rsid w:val="00AE7DDE"/>
    <w:rsid w:val="00AF4944"/>
    <w:rsid w:val="00AF6948"/>
    <w:rsid w:val="00B1636A"/>
    <w:rsid w:val="00B320A8"/>
    <w:rsid w:val="00B5520D"/>
    <w:rsid w:val="00B736BA"/>
    <w:rsid w:val="00B9107D"/>
    <w:rsid w:val="00B96992"/>
    <w:rsid w:val="00BA0498"/>
    <w:rsid w:val="00BA0EA7"/>
    <w:rsid w:val="00BD3463"/>
    <w:rsid w:val="00BE5AB0"/>
    <w:rsid w:val="00C10EB0"/>
    <w:rsid w:val="00C20CE1"/>
    <w:rsid w:val="00C2661A"/>
    <w:rsid w:val="00C32768"/>
    <w:rsid w:val="00C4660E"/>
    <w:rsid w:val="00C47587"/>
    <w:rsid w:val="00C50B9E"/>
    <w:rsid w:val="00C94D8F"/>
    <w:rsid w:val="00CA55ED"/>
    <w:rsid w:val="00CB2EF7"/>
    <w:rsid w:val="00CE5DC6"/>
    <w:rsid w:val="00CF45CE"/>
    <w:rsid w:val="00D010DD"/>
    <w:rsid w:val="00D12A67"/>
    <w:rsid w:val="00D13050"/>
    <w:rsid w:val="00D13B85"/>
    <w:rsid w:val="00D52FB7"/>
    <w:rsid w:val="00D5427B"/>
    <w:rsid w:val="00D76902"/>
    <w:rsid w:val="00D80322"/>
    <w:rsid w:val="00DA6E08"/>
    <w:rsid w:val="00DB758C"/>
    <w:rsid w:val="00DC0081"/>
    <w:rsid w:val="00DC1277"/>
    <w:rsid w:val="00DD1D4A"/>
    <w:rsid w:val="00DD36BE"/>
    <w:rsid w:val="00DD4979"/>
    <w:rsid w:val="00DE3277"/>
    <w:rsid w:val="00DF057A"/>
    <w:rsid w:val="00DF0DA4"/>
    <w:rsid w:val="00E00489"/>
    <w:rsid w:val="00E048F4"/>
    <w:rsid w:val="00E1498E"/>
    <w:rsid w:val="00E24AF7"/>
    <w:rsid w:val="00E51675"/>
    <w:rsid w:val="00E706E0"/>
    <w:rsid w:val="00E737C9"/>
    <w:rsid w:val="00E9460D"/>
    <w:rsid w:val="00E94F73"/>
    <w:rsid w:val="00EA276D"/>
    <w:rsid w:val="00EA2ABA"/>
    <w:rsid w:val="00EB3B78"/>
    <w:rsid w:val="00EC0635"/>
    <w:rsid w:val="00ED22E6"/>
    <w:rsid w:val="00ED6464"/>
    <w:rsid w:val="00ED7E5F"/>
    <w:rsid w:val="00EE3B42"/>
    <w:rsid w:val="00F02605"/>
    <w:rsid w:val="00F10E00"/>
    <w:rsid w:val="00F13ED9"/>
    <w:rsid w:val="00F41AB9"/>
    <w:rsid w:val="00F44D24"/>
    <w:rsid w:val="00F4628C"/>
    <w:rsid w:val="00F50751"/>
    <w:rsid w:val="00F50F81"/>
    <w:rsid w:val="00F65BB4"/>
    <w:rsid w:val="00F74414"/>
    <w:rsid w:val="00F81D09"/>
    <w:rsid w:val="00F931A0"/>
    <w:rsid w:val="00F93757"/>
    <w:rsid w:val="00F9736B"/>
    <w:rsid w:val="00FA3323"/>
    <w:rsid w:val="00FB2B15"/>
    <w:rsid w:val="00FD436E"/>
    <w:rsid w:val="00FD5C73"/>
    <w:rsid w:val="00FF0935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31CC41B-951C-4897-A3E9-7F12AA2D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652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527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7BD5"/>
  </w:style>
  <w:style w:type="paragraph" w:styleId="FootnoteText">
    <w:name w:val="footnote text"/>
    <w:basedOn w:val="Normal"/>
    <w:semiHidden/>
    <w:rsid w:val="005E12D9"/>
    <w:rPr>
      <w:sz w:val="20"/>
      <w:szCs w:val="20"/>
    </w:rPr>
  </w:style>
  <w:style w:type="character" w:styleId="FootnoteReference">
    <w:name w:val="footnote reference"/>
    <w:semiHidden/>
    <w:rsid w:val="005E12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ואין אדם משים עצמו רשע – And a person cannot commit himself as being wicked</vt:lpstr>
    </vt:vector>
  </TitlesOfParts>
  <Company>Oholei Torah</Company>
  <LinksUpToDate>false</LinksUpToDate>
  <CharactersWithSpaces>9175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ואין אדם משים עצמו רשע – And a person cannot commit himself as being wicked</dc:title>
  <dc:subject/>
  <dc:creator>Ephraim piekarski</dc:creator>
  <cp:keywords/>
  <dc:description/>
  <cp:lastModifiedBy>Microsoft account</cp:lastModifiedBy>
  <cp:revision>2</cp:revision>
  <dcterms:created xsi:type="dcterms:W3CDTF">2022-04-05T10:44:00Z</dcterms:created>
  <dcterms:modified xsi:type="dcterms:W3CDTF">2022-04-05T10:44:00Z</dcterms:modified>
</cp:coreProperties>
</file>