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04" w:rsidRDefault="00524703" w:rsidP="00FE0D04">
      <w:pPr>
        <w:widowControl w:val="0"/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קטנים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נמי כדרבי שמעון בן לקיש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524703" w:rsidP="00FE0D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sz w:val="32"/>
          <w:szCs w:val="32"/>
          <w:lang w:bidi="he-IL"/>
        </w:rPr>
        <w:t xml:space="preserve">They can </w:t>
      </w:r>
      <w:r>
        <w:rPr>
          <w:b/>
          <w:bCs/>
          <w:sz w:val="32"/>
          <w:szCs w:val="32"/>
          <w:lang w:bidi="he-IL"/>
        </w:rPr>
        <w:t xml:space="preserve">also </w:t>
      </w:r>
      <w:r>
        <w:rPr>
          <w:sz w:val="32"/>
          <w:szCs w:val="32"/>
          <w:lang w:bidi="he-IL"/>
        </w:rPr>
        <w:t xml:space="preserve">not claim to be </w:t>
      </w:r>
      <w:r>
        <w:rPr>
          <w:b/>
          <w:bCs/>
          <w:sz w:val="32"/>
          <w:szCs w:val="32"/>
          <w:lang w:bidi="he-IL"/>
        </w:rPr>
        <w:t>minors</w:t>
      </w:r>
      <w:r w:rsidR="00223F7F">
        <w:rPr>
          <w:b/>
          <w:bCs/>
          <w:sz w:val="32"/>
          <w:szCs w:val="32"/>
          <w:lang w:bidi="he-IL"/>
        </w:rPr>
        <w:t>,</w:t>
      </w:r>
      <w:r>
        <w:rPr>
          <w:b/>
          <w:bCs/>
          <w:sz w:val="32"/>
          <w:szCs w:val="32"/>
          <w:lang w:bidi="he-IL"/>
        </w:rPr>
        <w:t xml:space="preserve"> as </w:t>
      </w:r>
      <w:r>
        <w:rPr>
          <w:rFonts w:hint="cs"/>
          <w:b/>
          <w:bCs/>
          <w:sz w:val="32"/>
          <w:szCs w:val="32"/>
          <w:rtl/>
          <w:lang w:bidi="he-IL"/>
        </w:rPr>
        <w:t>רשב"ל</w:t>
      </w:r>
      <w:r>
        <w:rPr>
          <w:b/>
          <w:bCs/>
          <w:sz w:val="32"/>
          <w:szCs w:val="32"/>
          <w:lang w:bidi="he-IL"/>
        </w:rPr>
        <w:t xml:space="preserve"> </w:t>
      </w:r>
      <w:r>
        <w:rPr>
          <w:sz w:val="32"/>
          <w:szCs w:val="32"/>
          <w:lang w:bidi="he-IL"/>
        </w:rPr>
        <w:t>stated</w:t>
      </w:r>
    </w:p>
    <w:p w:rsidR="00C43522" w:rsidRDefault="00C43522" w:rsidP="00FE0D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C43522" w:rsidRPr="00FE0D04" w:rsidRDefault="007C2041" w:rsidP="00FE0D04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E0D04">
        <w:rPr>
          <w:rFonts w:ascii="Copperplate Gothic Bold" w:hAnsi="Copperplate Gothic Bold"/>
          <w:u w:val="double"/>
          <w:lang w:bidi="he-IL"/>
        </w:rPr>
        <w:t>Overview</w:t>
      </w:r>
    </w:p>
    <w:p w:rsidR="007C2041" w:rsidRPr="007C2041" w:rsidRDefault="007C2041" w:rsidP="00FE0D04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states that (according to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)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not believed to claim </w:t>
      </w:r>
      <w:r>
        <w:rPr>
          <w:rFonts w:hint="cs"/>
          <w:rtl/>
          <w:lang w:bidi="he-IL"/>
        </w:rPr>
        <w:t>פסולי עדות היינו</w:t>
      </w:r>
      <w:r>
        <w:rPr>
          <w:lang w:bidi="he-IL"/>
        </w:rPr>
        <w:t xml:space="preserve">, because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מידק דייק</w:t>
      </w:r>
      <w:r>
        <w:rPr>
          <w:lang w:bidi="he-IL"/>
        </w:rPr>
        <w:t xml:space="preserve">. They are also not believed to claim that </w:t>
      </w:r>
      <w:r>
        <w:rPr>
          <w:rFonts w:hint="cs"/>
          <w:rtl/>
          <w:lang w:bidi="he-IL"/>
        </w:rPr>
        <w:t>קטנים היינו</w:t>
      </w:r>
      <w:r>
        <w:rPr>
          <w:lang w:bidi="he-IL"/>
        </w:rPr>
        <w:t xml:space="preserve">, on account of </w:t>
      </w:r>
      <w:r>
        <w:rPr>
          <w:rFonts w:hint="cs"/>
          <w:rtl/>
          <w:lang w:bidi="he-IL"/>
        </w:rPr>
        <w:t>ר"ל</w:t>
      </w:r>
      <w:r>
        <w:rPr>
          <w:lang w:bidi="he-IL"/>
        </w:rPr>
        <w:t xml:space="preserve"> who maintains</w:t>
      </w:r>
      <w:r w:rsidR="00FE0D04">
        <w:rPr>
          <w:lang w:bidi="he-IL"/>
        </w:rPr>
        <w:t xml:space="preserve"> that there is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that only adults sign on </w:t>
      </w:r>
      <w:r>
        <w:rPr>
          <w:rFonts w:hint="cs"/>
          <w:rtl/>
          <w:lang w:bidi="he-IL"/>
        </w:rPr>
        <w:t>שטרות</w:t>
      </w:r>
      <w:r>
        <w:rPr>
          <w:lang w:bidi="he-IL"/>
        </w:rPr>
        <w:t xml:space="preserve">, not </w:t>
      </w:r>
      <w:r>
        <w:rPr>
          <w:rFonts w:hint="cs"/>
          <w:rtl/>
          <w:lang w:bidi="he-IL"/>
        </w:rPr>
        <w:t>קטנים</w:t>
      </w:r>
      <w:r>
        <w:rPr>
          <w:lang w:bidi="he-IL"/>
        </w:rPr>
        <w:t>.</w:t>
      </w:r>
      <w:r w:rsidR="00FE0D04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It seems that the reason for </w:t>
      </w:r>
      <w:r>
        <w:rPr>
          <w:rFonts w:hint="cs"/>
          <w:rtl/>
          <w:lang w:bidi="he-IL"/>
        </w:rPr>
        <w:t>קטנים</w:t>
      </w:r>
      <w:r>
        <w:rPr>
          <w:lang w:bidi="he-IL"/>
        </w:rPr>
        <w:t xml:space="preserve"> is different than </w:t>
      </w:r>
      <w:r>
        <w:rPr>
          <w:rFonts w:hint="cs"/>
          <w:rtl/>
          <w:lang w:bidi="he-IL"/>
        </w:rPr>
        <w:t>מלוה מידק דייק</w:t>
      </w:r>
      <w:r>
        <w:rPr>
          <w:lang w:bidi="he-IL"/>
        </w:rPr>
        <w:t>.</w:t>
      </w:r>
      <w:r>
        <w:rPr>
          <w:rStyle w:val="FootnoteReference"/>
          <w:lang w:bidi="he-IL"/>
        </w:rPr>
        <w:footnoteReference w:id="2"/>
      </w:r>
      <w:r>
        <w:rPr>
          <w:lang w:bidi="he-IL"/>
        </w:rPr>
        <w:t xml:space="preserve">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discuss if this is indeed so.</w:t>
      </w:r>
    </w:p>
    <w:p w:rsidR="00C43522" w:rsidRDefault="004135C7" w:rsidP="004135C7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------------------------------</w:t>
      </w:r>
    </w:p>
    <w:p w:rsidR="00C43522" w:rsidRDefault="00C43522" w:rsidP="00FE0D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anticipates a question:</w:t>
      </w:r>
    </w:p>
    <w:p w:rsidR="00FE0D04" w:rsidRPr="004135C7" w:rsidRDefault="00C43522" w:rsidP="00FE0D04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135C7">
        <w:rPr>
          <w:rFonts w:cs="David" w:hint="cs"/>
          <w:b/>
          <w:bCs/>
          <w:rtl/>
          <w:lang w:bidi="he-IL"/>
        </w:rPr>
        <w:t>הוה מצי למימר</w:t>
      </w:r>
      <w:r w:rsidR="00FE0D04" w:rsidRPr="004135C7">
        <w:rPr>
          <w:rFonts w:cs="David" w:hint="cs"/>
          <w:b/>
          <w:bCs/>
          <w:rtl/>
          <w:lang w:bidi="he-IL"/>
        </w:rPr>
        <w:t xml:space="preserve"> וקטנים נמי</w:t>
      </w:r>
      <w:r w:rsidRPr="004135C7">
        <w:rPr>
          <w:rFonts w:cs="David"/>
          <w:b/>
          <w:bCs/>
          <w:lang w:bidi="he-IL"/>
        </w:rPr>
        <w:t xml:space="preserve"> </w:t>
      </w:r>
      <w:r w:rsidR="00FE0D04" w:rsidRPr="004135C7">
        <w:rPr>
          <w:rFonts w:cs="David" w:hint="cs"/>
          <w:b/>
          <w:bCs/>
          <w:rtl/>
          <w:lang w:bidi="he-IL"/>
        </w:rPr>
        <w:t>משום דמלוה גופיה מידק דייק -</w:t>
      </w:r>
    </w:p>
    <w:p w:rsidR="00C43522" w:rsidRPr="007C2041" w:rsidRDefault="00C43522" w:rsidP="004135C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could have explained</w:t>
      </w:r>
      <w:r>
        <w:rPr>
          <w:lang w:bidi="he-IL"/>
        </w:rPr>
        <w:t xml:space="preserve"> </w:t>
      </w:r>
      <w:r w:rsidRPr="00FE0D04">
        <w:rPr>
          <w:lang w:bidi="he-IL"/>
        </w:rPr>
        <w:t>that the reason they cannot</w:t>
      </w:r>
      <w:r w:rsidRPr="00FE0D04">
        <w:rPr>
          <w:b/>
          <w:bCs/>
          <w:lang w:bidi="he-IL"/>
        </w:rPr>
        <w:t xml:space="preserve"> </w:t>
      </w:r>
      <w:r>
        <w:rPr>
          <w:lang w:bidi="he-IL"/>
        </w:rPr>
        <w:t xml:space="preserve">claim </w:t>
      </w:r>
      <w:r w:rsidRPr="00C43522">
        <w:rPr>
          <w:lang w:bidi="he-IL"/>
        </w:rPr>
        <w:t>that they were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קטנים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is </w:t>
      </w:r>
      <w:r w:rsidR="004135C7">
        <w:rPr>
          <w:b/>
          <w:bCs/>
          <w:lang w:bidi="he-IL"/>
        </w:rPr>
        <w:t xml:space="preserve">also </w:t>
      </w:r>
      <w:r>
        <w:rPr>
          <w:b/>
          <w:bCs/>
          <w:lang w:bidi="he-IL"/>
        </w:rPr>
        <w:t xml:space="preserve">because the </w:t>
      </w:r>
      <w:r>
        <w:rPr>
          <w:rFonts w:hint="cs"/>
          <w:b/>
          <w:bCs/>
          <w:rtl/>
          <w:lang w:bidi="he-IL"/>
        </w:rPr>
        <w:t>מלוה</w:t>
      </w:r>
      <w:r>
        <w:rPr>
          <w:b/>
          <w:bCs/>
          <w:lang w:bidi="he-IL"/>
        </w:rPr>
        <w:t xml:space="preserve"> himself is very meticulous </w:t>
      </w:r>
      <w:r w:rsidRPr="007C2041">
        <w:rPr>
          <w:sz w:val="24"/>
          <w:szCs w:val="24"/>
          <w:lang w:bidi="he-IL"/>
        </w:rPr>
        <w:t xml:space="preserve">to sign only proper witnesses. He will not permit minors to sign, just as he will not permit </w:t>
      </w:r>
      <w:r w:rsidRPr="007C2041">
        <w:rPr>
          <w:rFonts w:hint="cs"/>
          <w:sz w:val="24"/>
          <w:szCs w:val="24"/>
          <w:rtl/>
          <w:lang w:bidi="he-IL"/>
        </w:rPr>
        <w:t>פסולי עדים</w:t>
      </w:r>
      <w:r w:rsidRPr="007C2041">
        <w:rPr>
          <w:sz w:val="24"/>
          <w:szCs w:val="24"/>
          <w:lang w:bidi="he-IL"/>
        </w:rPr>
        <w:t xml:space="preserve"> to sign. </w:t>
      </w:r>
      <w:r w:rsidRPr="007C2041">
        <w:rPr>
          <w:rFonts w:hint="cs"/>
          <w:sz w:val="24"/>
          <w:szCs w:val="24"/>
          <w:rtl/>
          <w:lang w:bidi="he-IL"/>
        </w:rPr>
        <w:t>תוספות</w:t>
      </w:r>
      <w:r w:rsidRPr="007C2041">
        <w:rPr>
          <w:sz w:val="24"/>
          <w:szCs w:val="24"/>
          <w:lang w:bidi="he-IL"/>
        </w:rPr>
        <w:t xml:space="preserve"> is asking that it was not necessary to give a different answer by </w:t>
      </w:r>
      <w:r w:rsidRPr="007C2041">
        <w:rPr>
          <w:rFonts w:hint="cs"/>
          <w:sz w:val="24"/>
          <w:szCs w:val="24"/>
          <w:rtl/>
          <w:lang w:bidi="he-IL"/>
        </w:rPr>
        <w:t>קטנים</w:t>
      </w:r>
      <w:r w:rsidRPr="007C2041">
        <w:rPr>
          <w:sz w:val="24"/>
          <w:szCs w:val="24"/>
          <w:lang w:bidi="he-IL"/>
        </w:rPr>
        <w:t xml:space="preserve">. The </w:t>
      </w:r>
      <w:r w:rsidRPr="007C2041">
        <w:rPr>
          <w:rFonts w:hint="cs"/>
          <w:sz w:val="24"/>
          <w:szCs w:val="24"/>
          <w:rtl/>
          <w:lang w:bidi="he-IL"/>
        </w:rPr>
        <w:t>גמרא</w:t>
      </w:r>
      <w:r w:rsidRPr="007C2041">
        <w:rPr>
          <w:sz w:val="24"/>
          <w:szCs w:val="24"/>
          <w:lang w:bidi="he-IL"/>
        </w:rPr>
        <w:t xml:space="preserve"> could have given the same explanation by </w:t>
      </w:r>
      <w:r w:rsidRPr="007C2041">
        <w:rPr>
          <w:rFonts w:hint="cs"/>
          <w:sz w:val="24"/>
          <w:szCs w:val="24"/>
          <w:rtl/>
          <w:lang w:bidi="he-IL"/>
        </w:rPr>
        <w:t>קטנים</w:t>
      </w:r>
      <w:r w:rsidRPr="007C2041">
        <w:rPr>
          <w:sz w:val="24"/>
          <w:szCs w:val="24"/>
          <w:lang w:bidi="he-IL"/>
        </w:rPr>
        <w:t xml:space="preserve"> as it gave by </w:t>
      </w:r>
      <w:r w:rsidRPr="007C2041">
        <w:rPr>
          <w:rFonts w:hint="cs"/>
          <w:sz w:val="24"/>
          <w:szCs w:val="24"/>
          <w:rtl/>
          <w:lang w:bidi="he-IL"/>
        </w:rPr>
        <w:t>פסולי עדים</w:t>
      </w:r>
      <w:r w:rsidRPr="007C2041">
        <w:rPr>
          <w:sz w:val="24"/>
          <w:szCs w:val="24"/>
          <w:lang w:bidi="he-IL"/>
        </w:rPr>
        <w:t>.</w:t>
      </w:r>
      <w:r w:rsidR="004135C7">
        <w:rPr>
          <w:sz w:val="24"/>
          <w:szCs w:val="24"/>
          <w:lang w:bidi="he-IL"/>
        </w:rPr>
        <w:t xml:space="preserve"> </w:t>
      </w:r>
    </w:p>
    <w:p w:rsidR="00C43522" w:rsidRPr="007C2041" w:rsidRDefault="00C43522" w:rsidP="00FE0D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C43522" w:rsidRPr="007C2041" w:rsidRDefault="00C43522" w:rsidP="00FE0D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7C2041">
        <w:rPr>
          <w:rFonts w:hint="cs"/>
          <w:sz w:val="24"/>
          <w:szCs w:val="24"/>
          <w:rtl/>
          <w:lang w:bidi="he-IL"/>
        </w:rPr>
        <w:t>תוספות</w:t>
      </w:r>
      <w:r w:rsidRPr="007C2041">
        <w:rPr>
          <w:sz w:val="24"/>
          <w:szCs w:val="24"/>
          <w:lang w:bidi="he-IL"/>
        </w:rPr>
        <w:t xml:space="preserve"> </w:t>
      </w:r>
      <w:r w:rsidR="00FE0D04">
        <w:rPr>
          <w:sz w:val="24"/>
          <w:szCs w:val="24"/>
          <w:lang w:bidi="he-IL"/>
        </w:rPr>
        <w:t>replie</w:t>
      </w:r>
      <w:r w:rsidRPr="007C2041">
        <w:rPr>
          <w:sz w:val="24"/>
          <w:szCs w:val="24"/>
          <w:lang w:bidi="he-IL"/>
        </w:rPr>
        <w:t>s:</w:t>
      </w:r>
    </w:p>
    <w:p w:rsidR="00FE0D04" w:rsidRPr="004135C7" w:rsidRDefault="00C43522" w:rsidP="004135C7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135C7">
        <w:rPr>
          <w:rFonts w:cs="David" w:hint="cs"/>
          <w:b/>
          <w:bCs/>
          <w:rtl/>
          <w:lang w:bidi="he-IL"/>
        </w:rPr>
        <w:t>אלא דניחא ליה</w:t>
      </w:r>
      <w:r w:rsidR="00FE0D04" w:rsidRPr="004135C7">
        <w:rPr>
          <w:rFonts w:cs="David" w:hint="cs"/>
          <w:b/>
          <w:bCs/>
          <w:rtl/>
          <w:lang w:bidi="he-IL"/>
        </w:rPr>
        <w:t xml:space="preserve"> למינקט בכל חד טעמא אחרינא</w:t>
      </w:r>
      <w:r w:rsidR="004135C7" w:rsidRPr="004135C7">
        <w:rPr>
          <w:rStyle w:val="FootnoteReference"/>
          <w:b/>
          <w:bCs/>
          <w:sz w:val="24"/>
          <w:szCs w:val="24"/>
          <w:lang w:bidi="he-IL"/>
        </w:rPr>
        <w:footnoteReference w:id="3"/>
      </w:r>
      <w:r w:rsidR="004135C7">
        <w:rPr>
          <w:rFonts w:cs="David" w:hint="cs"/>
          <w:b/>
          <w:bCs/>
          <w:rtl/>
          <w:lang w:bidi="he-IL"/>
        </w:rPr>
        <w:t xml:space="preserve"> -</w:t>
      </w:r>
    </w:p>
    <w:p w:rsidR="00C43522" w:rsidRPr="007C2041" w:rsidRDefault="00C43522" w:rsidP="004135C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However it was preferable </w:t>
      </w:r>
      <w:r w:rsidRPr="00FE0D04">
        <w:rPr>
          <w:lang w:bidi="he-IL"/>
        </w:rPr>
        <w:t xml:space="preserve">for the </w:t>
      </w:r>
      <w:r w:rsidRPr="00FE0D04">
        <w:rPr>
          <w:rFonts w:hint="cs"/>
          <w:rtl/>
          <w:lang w:bidi="he-IL"/>
        </w:rPr>
        <w:t>גמרא</w:t>
      </w:r>
      <w:r w:rsidRPr="00FE0D04">
        <w:rPr>
          <w:lang w:bidi="he-IL"/>
        </w:rPr>
        <w:t xml:space="preserve"> </w:t>
      </w:r>
      <w:r>
        <w:rPr>
          <w:b/>
          <w:bCs/>
          <w:lang w:bidi="he-IL"/>
        </w:rPr>
        <w:t xml:space="preserve">to point out in each </w:t>
      </w:r>
      <w:r w:rsidRPr="00FE0D04">
        <w:rPr>
          <w:lang w:bidi="he-IL"/>
        </w:rPr>
        <w:t>case</w:t>
      </w:r>
      <w:r>
        <w:rPr>
          <w:b/>
          <w:bCs/>
          <w:lang w:bidi="he-IL"/>
        </w:rPr>
        <w:t xml:space="preserve"> a different reason</w:t>
      </w:r>
      <w:r>
        <w:rPr>
          <w:lang w:bidi="he-IL"/>
        </w:rPr>
        <w:t xml:space="preserve"> </w:t>
      </w:r>
      <w:r w:rsidRPr="007C2041">
        <w:rPr>
          <w:sz w:val="24"/>
          <w:szCs w:val="24"/>
          <w:lang w:bidi="he-IL"/>
        </w:rPr>
        <w:t>why they are not believed.</w:t>
      </w:r>
    </w:p>
    <w:p w:rsidR="007009ED" w:rsidRPr="00223F7F" w:rsidRDefault="007009ED" w:rsidP="00FE0D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7009ED" w:rsidRPr="00223F7F" w:rsidRDefault="007009ED" w:rsidP="00FE0D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223F7F">
        <w:rPr>
          <w:rFonts w:hint="cs"/>
          <w:sz w:val="24"/>
          <w:szCs w:val="24"/>
          <w:rtl/>
          <w:lang w:bidi="he-IL"/>
        </w:rPr>
        <w:t>תוספות</w:t>
      </w:r>
      <w:r w:rsidRPr="00223F7F">
        <w:rPr>
          <w:sz w:val="24"/>
          <w:szCs w:val="24"/>
          <w:lang w:bidi="he-IL"/>
        </w:rPr>
        <w:t xml:space="preserve"> offers another answer:</w:t>
      </w:r>
    </w:p>
    <w:p w:rsidR="00FE0D04" w:rsidRPr="004135C7" w:rsidRDefault="007009ED" w:rsidP="004135C7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135C7">
        <w:rPr>
          <w:rFonts w:cs="David" w:hint="cs"/>
          <w:b/>
          <w:bCs/>
          <w:rtl/>
          <w:lang w:bidi="he-IL"/>
        </w:rPr>
        <w:t>אי נמי</w:t>
      </w:r>
      <w:r w:rsidR="00FE0D04" w:rsidRPr="004135C7">
        <w:rPr>
          <w:rFonts w:cs="David" w:hint="cs"/>
          <w:b/>
          <w:bCs/>
          <w:rtl/>
          <w:lang w:bidi="he-IL"/>
        </w:rPr>
        <w:t xml:space="preserve"> טעמא דריש לקיש גופא נמי משום דמלוה מידק דייק</w:t>
      </w:r>
      <w:r w:rsidR="004135C7" w:rsidRPr="00FE0D04">
        <w:rPr>
          <w:rStyle w:val="FootnoteReference"/>
          <w:sz w:val="24"/>
          <w:szCs w:val="24"/>
          <w:rtl/>
          <w:lang w:bidi="he-IL"/>
        </w:rPr>
        <w:t xml:space="preserve"> </w:t>
      </w:r>
      <w:r w:rsidR="004135C7" w:rsidRPr="004135C7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Pr="004135C7">
        <w:rPr>
          <w:rFonts w:cs="David"/>
          <w:b/>
          <w:bCs/>
          <w:lang w:bidi="he-IL"/>
        </w:rPr>
        <w:t xml:space="preserve"> </w:t>
      </w:r>
      <w:r w:rsidR="004135C7">
        <w:rPr>
          <w:rFonts w:cs="David" w:hint="cs"/>
          <w:b/>
          <w:bCs/>
          <w:rtl/>
          <w:lang w:bidi="he-IL"/>
        </w:rPr>
        <w:t>-</w:t>
      </w:r>
    </w:p>
    <w:p w:rsidR="007009ED" w:rsidRPr="00671512" w:rsidRDefault="00FE0D04" w:rsidP="004135C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If</w:t>
      </w:r>
      <w:r w:rsidR="007009ED">
        <w:rPr>
          <w:b/>
          <w:bCs/>
          <w:lang w:bidi="he-IL"/>
        </w:rPr>
        <w:t xml:space="preserve"> </w:t>
      </w:r>
      <w:r w:rsidR="007009ED">
        <w:rPr>
          <w:lang w:bidi="he-IL"/>
        </w:rPr>
        <w:t xml:space="preserve">you wish we can </w:t>
      </w:r>
      <w:r w:rsidR="007009ED">
        <w:rPr>
          <w:b/>
          <w:bCs/>
          <w:lang w:bidi="he-IL"/>
        </w:rPr>
        <w:t xml:space="preserve">also </w:t>
      </w:r>
      <w:r w:rsidR="007009ED" w:rsidRPr="00FE0D04">
        <w:rPr>
          <w:lang w:bidi="he-IL"/>
        </w:rPr>
        <w:t>answer</w:t>
      </w:r>
      <w:r>
        <w:rPr>
          <w:lang w:bidi="he-IL"/>
        </w:rPr>
        <w:t>,</w:t>
      </w:r>
      <w:r w:rsidR="007009ED">
        <w:rPr>
          <w:b/>
          <w:bCs/>
          <w:lang w:bidi="he-IL"/>
        </w:rPr>
        <w:t xml:space="preserve"> the reason for </w:t>
      </w:r>
      <w:r w:rsidR="007009ED">
        <w:rPr>
          <w:lang w:bidi="he-IL"/>
        </w:rPr>
        <w:t xml:space="preserve">the </w:t>
      </w:r>
      <w:r w:rsidR="007009ED">
        <w:rPr>
          <w:rFonts w:hint="cs"/>
          <w:rtl/>
          <w:lang w:bidi="he-IL"/>
        </w:rPr>
        <w:t>חזקה</w:t>
      </w:r>
      <w:r w:rsidR="007009ED">
        <w:rPr>
          <w:lang w:bidi="he-IL"/>
        </w:rPr>
        <w:t xml:space="preserve"> </w:t>
      </w:r>
      <w:r w:rsidR="007009ED">
        <w:rPr>
          <w:b/>
          <w:bCs/>
          <w:lang w:bidi="he-IL"/>
        </w:rPr>
        <w:t xml:space="preserve">of </w:t>
      </w:r>
      <w:r w:rsidR="007009ED">
        <w:rPr>
          <w:rFonts w:hint="cs"/>
          <w:b/>
          <w:bCs/>
          <w:rtl/>
          <w:lang w:bidi="he-IL"/>
        </w:rPr>
        <w:t>ר"ל</w:t>
      </w:r>
      <w:r w:rsidR="007009ED">
        <w:rPr>
          <w:b/>
          <w:bCs/>
          <w:lang w:bidi="he-IL"/>
        </w:rPr>
        <w:t xml:space="preserve"> itself, </w:t>
      </w:r>
      <w:r w:rsidR="007009ED">
        <w:rPr>
          <w:lang w:bidi="he-IL"/>
        </w:rPr>
        <w:t>is</w:t>
      </w:r>
      <w:r w:rsidR="007009ED">
        <w:rPr>
          <w:b/>
          <w:bCs/>
          <w:lang w:bidi="he-IL"/>
        </w:rPr>
        <w:t xml:space="preserve"> also because the </w:t>
      </w:r>
      <w:r w:rsidR="007009ED">
        <w:rPr>
          <w:rFonts w:hint="cs"/>
          <w:b/>
          <w:bCs/>
          <w:rtl/>
          <w:lang w:bidi="he-IL"/>
        </w:rPr>
        <w:t>מלוה</w:t>
      </w:r>
      <w:r w:rsidR="007009ED">
        <w:rPr>
          <w:b/>
          <w:bCs/>
          <w:lang w:bidi="he-IL"/>
        </w:rPr>
        <w:t xml:space="preserve"> is very careful</w:t>
      </w:r>
      <w:r w:rsidR="007009ED">
        <w:rPr>
          <w:lang w:bidi="he-IL"/>
        </w:rPr>
        <w:t>.</w:t>
      </w:r>
      <w:r w:rsidR="007009ED">
        <w:rPr>
          <w:b/>
          <w:bCs/>
          <w:lang w:bidi="he-IL"/>
        </w:rPr>
        <w:t xml:space="preserve"> </w:t>
      </w:r>
      <w:r w:rsidR="007009ED" w:rsidRPr="00671512">
        <w:rPr>
          <w:sz w:val="24"/>
          <w:szCs w:val="24"/>
          <w:lang w:bidi="he-IL"/>
        </w:rPr>
        <w:t xml:space="preserve">There are no two reasons; it is the same reason. </w:t>
      </w:r>
      <w:r w:rsidR="007009ED" w:rsidRPr="00671512">
        <w:rPr>
          <w:sz w:val="24"/>
          <w:szCs w:val="24"/>
          <w:lang w:bidi="he-IL"/>
        </w:rPr>
        <w:lastRenderedPageBreak/>
        <w:t xml:space="preserve">The </w:t>
      </w:r>
      <w:r w:rsidR="007009ED" w:rsidRPr="00671512">
        <w:rPr>
          <w:rFonts w:hint="cs"/>
          <w:sz w:val="24"/>
          <w:szCs w:val="24"/>
          <w:rtl/>
          <w:lang w:bidi="he-IL"/>
        </w:rPr>
        <w:t>מלוה</w:t>
      </w:r>
      <w:r w:rsidR="007009ED" w:rsidRPr="00671512">
        <w:rPr>
          <w:sz w:val="24"/>
          <w:szCs w:val="24"/>
          <w:lang w:bidi="he-IL"/>
        </w:rPr>
        <w:t xml:space="preserve"> is </w:t>
      </w:r>
      <w:r w:rsidR="007009ED" w:rsidRPr="00671512">
        <w:rPr>
          <w:rFonts w:hint="cs"/>
          <w:sz w:val="24"/>
          <w:szCs w:val="24"/>
          <w:rtl/>
          <w:lang w:bidi="he-IL"/>
        </w:rPr>
        <w:t>מידק דייק</w:t>
      </w:r>
      <w:r w:rsidR="007009ED" w:rsidRPr="00671512">
        <w:rPr>
          <w:sz w:val="24"/>
          <w:szCs w:val="24"/>
          <w:lang w:bidi="he-IL"/>
        </w:rPr>
        <w:t xml:space="preserve">; therefore no </w:t>
      </w:r>
      <w:r w:rsidR="007009ED" w:rsidRPr="00671512">
        <w:rPr>
          <w:rFonts w:hint="cs"/>
          <w:sz w:val="24"/>
          <w:szCs w:val="24"/>
          <w:rtl/>
          <w:lang w:bidi="he-IL"/>
        </w:rPr>
        <w:t>פסולי עדים</w:t>
      </w:r>
      <w:r w:rsidR="007009ED" w:rsidRPr="00671512">
        <w:rPr>
          <w:sz w:val="24"/>
          <w:szCs w:val="24"/>
          <w:lang w:bidi="he-IL"/>
        </w:rPr>
        <w:t xml:space="preserve"> and no </w:t>
      </w:r>
      <w:r w:rsidR="007009ED" w:rsidRPr="00671512">
        <w:rPr>
          <w:rFonts w:hint="cs"/>
          <w:sz w:val="24"/>
          <w:szCs w:val="24"/>
          <w:rtl/>
          <w:lang w:bidi="he-IL"/>
        </w:rPr>
        <w:t>קטנים</w:t>
      </w:r>
      <w:r w:rsidR="007009ED" w:rsidRPr="00671512">
        <w:rPr>
          <w:sz w:val="24"/>
          <w:szCs w:val="24"/>
          <w:lang w:bidi="he-IL"/>
        </w:rPr>
        <w:t xml:space="preserve"> sign on a </w:t>
      </w:r>
      <w:r w:rsidR="007009ED" w:rsidRPr="00671512">
        <w:rPr>
          <w:rFonts w:hint="cs"/>
          <w:sz w:val="24"/>
          <w:szCs w:val="24"/>
          <w:rtl/>
          <w:lang w:bidi="he-IL"/>
        </w:rPr>
        <w:t>שטר</w:t>
      </w:r>
      <w:r w:rsidR="007009ED" w:rsidRPr="00671512">
        <w:rPr>
          <w:sz w:val="24"/>
          <w:szCs w:val="24"/>
          <w:lang w:bidi="he-IL"/>
        </w:rPr>
        <w:t xml:space="preserve">. </w:t>
      </w:r>
    </w:p>
    <w:p w:rsidR="007009ED" w:rsidRPr="00671512" w:rsidRDefault="007009ED" w:rsidP="00FE0D04">
      <w:pPr>
        <w:widowControl w:val="0"/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</w:p>
    <w:p w:rsidR="007009ED" w:rsidRPr="00671512" w:rsidRDefault="007009ED" w:rsidP="00FE0D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71512">
        <w:rPr>
          <w:sz w:val="24"/>
          <w:szCs w:val="24"/>
          <w:lang w:bidi="he-IL"/>
        </w:rPr>
        <w:t xml:space="preserve">It would seem that according to this view </w:t>
      </w:r>
      <w:r w:rsidRPr="00671512">
        <w:rPr>
          <w:rFonts w:hint="cs"/>
          <w:sz w:val="24"/>
          <w:szCs w:val="24"/>
          <w:rtl/>
          <w:lang w:bidi="he-IL"/>
        </w:rPr>
        <w:t>ר"ל</w:t>
      </w:r>
      <w:r w:rsidRPr="00671512">
        <w:rPr>
          <w:sz w:val="24"/>
          <w:szCs w:val="24"/>
          <w:lang w:bidi="he-IL"/>
        </w:rPr>
        <w:t xml:space="preserve"> does not mean that</w:t>
      </w:r>
      <w:r w:rsidR="00223F7F">
        <w:rPr>
          <w:sz w:val="24"/>
          <w:szCs w:val="24"/>
          <w:lang w:bidi="he-IL"/>
        </w:rPr>
        <w:t xml:space="preserve"> only</w:t>
      </w:r>
      <w:r w:rsidRPr="00671512">
        <w:rPr>
          <w:sz w:val="24"/>
          <w:szCs w:val="24"/>
          <w:lang w:bidi="he-IL"/>
        </w:rPr>
        <w:t xml:space="preserve"> </w:t>
      </w:r>
      <w:r w:rsidRPr="00671512">
        <w:rPr>
          <w:rFonts w:hint="cs"/>
          <w:sz w:val="24"/>
          <w:szCs w:val="24"/>
          <w:rtl/>
          <w:lang w:bidi="he-IL"/>
        </w:rPr>
        <w:t>קטנים</w:t>
      </w:r>
      <w:r w:rsidRPr="00671512">
        <w:rPr>
          <w:sz w:val="24"/>
          <w:szCs w:val="24"/>
          <w:lang w:bidi="he-IL"/>
        </w:rPr>
        <w:t xml:space="preserve"> do not sign on a </w:t>
      </w:r>
      <w:r w:rsidRPr="00671512">
        <w:rPr>
          <w:rFonts w:hint="cs"/>
          <w:sz w:val="24"/>
          <w:szCs w:val="24"/>
          <w:rtl/>
          <w:lang w:bidi="he-IL"/>
        </w:rPr>
        <w:t>שטר</w:t>
      </w:r>
      <w:r w:rsidRPr="00671512">
        <w:rPr>
          <w:sz w:val="24"/>
          <w:szCs w:val="24"/>
          <w:lang w:bidi="he-IL"/>
        </w:rPr>
        <w:t xml:space="preserve">, but rather that </w:t>
      </w:r>
      <w:r w:rsidRPr="00671512">
        <w:rPr>
          <w:rFonts w:hint="cs"/>
          <w:sz w:val="24"/>
          <w:szCs w:val="24"/>
          <w:rtl/>
          <w:lang w:bidi="he-IL"/>
        </w:rPr>
        <w:t>פסולי עדים</w:t>
      </w:r>
      <w:r w:rsidRPr="00671512">
        <w:rPr>
          <w:sz w:val="24"/>
          <w:szCs w:val="24"/>
          <w:lang w:bidi="he-IL"/>
        </w:rPr>
        <w:t xml:space="preserve"> and </w:t>
      </w:r>
      <w:r w:rsidRPr="00671512">
        <w:rPr>
          <w:rFonts w:hint="cs"/>
          <w:sz w:val="24"/>
          <w:szCs w:val="24"/>
          <w:rtl/>
          <w:lang w:bidi="he-IL"/>
        </w:rPr>
        <w:t>קטנים</w:t>
      </w:r>
      <w:r w:rsidRPr="00671512">
        <w:rPr>
          <w:sz w:val="24"/>
          <w:szCs w:val="24"/>
          <w:lang w:bidi="he-IL"/>
        </w:rPr>
        <w:t xml:space="preserve"> do not sign on a </w:t>
      </w:r>
      <w:r w:rsidRPr="00671512">
        <w:rPr>
          <w:rFonts w:hint="cs"/>
          <w:sz w:val="24"/>
          <w:szCs w:val="24"/>
          <w:rtl/>
          <w:lang w:bidi="he-IL"/>
        </w:rPr>
        <w:t>שטר</w:t>
      </w:r>
      <w:r w:rsidRPr="00671512">
        <w:rPr>
          <w:sz w:val="24"/>
          <w:szCs w:val="24"/>
          <w:lang w:bidi="he-IL"/>
        </w:rPr>
        <w:t>. The question arises –</w:t>
      </w:r>
    </w:p>
    <w:p w:rsidR="00FE0D04" w:rsidRPr="004135C7" w:rsidRDefault="007009ED" w:rsidP="00935F2A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135C7">
        <w:rPr>
          <w:rFonts w:cs="David" w:hint="cs"/>
          <w:b/>
          <w:bCs/>
          <w:rtl/>
          <w:lang w:bidi="he-IL"/>
        </w:rPr>
        <w:t>והא דלא מייתי דרבי שמעון בן לקיש</w:t>
      </w:r>
      <w:r w:rsidR="003D6990" w:rsidRPr="004135C7">
        <w:rPr>
          <w:rFonts w:cs="David" w:hint="cs"/>
          <w:b/>
          <w:bCs/>
          <w:rtl/>
          <w:lang w:bidi="he-IL"/>
        </w:rPr>
        <w:t xml:space="preserve"> אפסולי עדות</w:t>
      </w:r>
      <w:r w:rsidRPr="004135C7">
        <w:rPr>
          <w:rFonts w:cs="David"/>
          <w:b/>
          <w:bCs/>
          <w:lang w:bidi="he-IL"/>
        </w:rPr>
        <w:t xml:space="preserve"> </w:t>
      </w:r>
      <w:r w:rsidR="00935F2A">
        <w:rPr>
          <w:rFonts w:cs="David" w:hint="cs"/>
          <w:b/>
          <w:bCs/>
          <w:rtl/>
          <w:lang w:bidi="he-IL"/>
        </w:rPr>
        <w:t>-</w:t>
      </w:r>
      <w:r w:rsidRPr="004135C7">
        <w:rPr>
          <w:rFonts w:cs="David"/>
          <w:b/>
          <w:bCs/>
          <w:lang w:bidi="he-IL"/>
        </w:rPr>
        <w:t xml:space="preserve"> </w:t>
      </w:r>
    </w:p>
    <w:p w:rsidR="007009ED" w:rsidRPr="00671512" w:rsidRDefault="003D6990" w:rsidP="003D699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What</w:t>
      </w:r>
      <w:r w:rsidR="007009ED">
        <w:rPr>
          <w:b/>
          <w:bCs/>
          <w:lang w:bidi="he-IL"/>
        </w:rPr>
        <w:t xml:space="preserve"> </w:t>
      </w:r>
      <w:r w:rsidR="007009ED">
        <w:rPr>
          <w:lang w:bidi="he-IL"/>
        </w:rPr>
        <w:t xml:space="preserve">is the reason </w:t>
      </w:r>
      <w:r w:rsidR="007009ED">
        <w:rPr>
          <w:b/>
          <w:bCs/>
          <w:lang w:bidi="he-IL"/>
        </w:rPr>
        <w:t xml:space="preserve">that </w:t>
      </w:r>
      <w:r w:rsidR="007009ED">
        <w:rPr>
          <w:lang w:bidi="he-IL"/>
        </w:rPr>
        <w:t xml:space="preserve">the </w:t>
      </w:r>
      <w:r w:rsidR="007009ED">
        <w:rPr>
          <w:rFonts w:hint="cs"/>
          <w:rtl/>
          <w:lang w:bidi="he-IL"/>
        </w:rPr>
        <w:t>גמרא</w:t>
      </w:r>
      <w:r w:rsidR="007009ED">
        <w:rPr>
          <w:lang w:bidi="he-IL"/>
        </w:rPr>
        <w:t xml:space="preserve"> </w:t>
      </w:r>
      <w:r w:rsidR="007009ED">
        <w:rPr>
          <w:b/>
          <w:bCs/>
          <w:lang w:bidi="he-IL"/>
        </w:rPr>
        <w:t xml:space="preserve">does not cite </w:t>
      </w:r>
      <w:r w:rsidR="007009ED">
        <w:rPr>
          <w:rFonts w:hint="cs"/>
          <w:b/>
          <w:bCs/>
          <w:rtl/>
          <w:lang w:bidi="he-IL"/>
        </w:rPr>
        <w:t>רשב"ל</w:t>
      </w:r>
      <w:r w:rsidR="007009ED">
        <w:rPr>
          <w:b/>
          <w:bCs/>
          <w:lang w:bidi="he-IL"/>
        </w:rPr>
        <w:t xml:space="preserve"> concerning </w:t>
      </w:r>
      <w:r w:rsidR="007009ED">
        <w:rPr>
          <w:rFonts w:hint="cs"/>
          <w:b/>
          <w:bCs/>
          <w:rtl/>
          <w:lang w:bidi="he-IL"/>
        </w:rPr>
        <w:t>פסולי עדות</w:t>
      </w:r>
      <w:r w:rsidR="007009ED">
        <w:rPr>
          <w:b/>
          <w:bCs/>
          <w:lang w:bidi="he-IL"/>
        </w:rPr>
        <w:t xml:space="preserve"> </w:t>
      </w:r>
      <w:r w:rsidR="007009ED" w:rsidRPr="00671512">
        <w:rPr>
          <w:sz w:val="24"/>
          <w:szCs w:val="24"/>
          <w:lang w:bidi="he-IL"/>
        </w:rPr>
        <w:t xml:space="preserve">as </w:t>
      </w:r>
      <w:r w:rsidR="00935F2A" w:rsidRPr="00671512">
        <w:rPr>
          <w:sz w:val="24"/>
          <w:szCs w:val="24"/>
          <w:lang w:bidi="he-IL"/>
        </w:rPr>
        <w:t>well?</w:t>
      </w:r>
      <w:r w:rsidR="007009ED" w:rsidRPr="00671512">
        <w:rPr>
          <w:sz w:val="24"/>
          <w:szCs w:val="24"/>
          <w:lang w:bidi="he-IL"/>
        </w:rPr>
        <w:t xml:space="preserve"> </w:t>
      </w:r>
      <w:r w:rsidR="00671512" w:rsidRPr="00671512">
        <w:rPr>
          <w:sz w:val="24"/>
          <w:szCs w:val="24"/>
          <w:lang w:bidi="he-IL"/>
        </w:rPr>
        <w:t xml:space="preserve">Instead of making an anonymous assumption that </w:t>
      </w:r>
      <w:r w:rsidR="00671512" w:rsidRPr="00671512">
        <w:rPr>
          <w:rFonts w:hint="cs"/>
          <w:sz w:val="24"/>
          <w:szCs w:val="24"/>
          <w:rtl/>
          <w:lang w:bidi="he-IL"/>
        </w:rPr>
        <w:t>מלוה גופיה מידק דייק</w:t>
      </w:r>
      <w:r w:rsidR="00671512" w:rsidRPr="00671512">
        <w:rPr>
          <w:sz w:val="24"/>
          <w:szCs w:val="24"/>
          <w:lang w:bidi="he-IL"/>
        </w:rPr>
        <w:t>, it would have been better to credit this assumption to</w:t>
      </w:r>
      <w:r w:rsidR="00223F7F">
        <w:rPr>
          <w:sz w:val="24"/>
          <w:szCs w:val="24"/>
          <w:lang w:bidi="he-IL"/>
        </w:rPr>
        <w:t xml:space="preserve"> an</w:t>
      </w:r>
      <w:r w:rsidR="00671512" w:rsidRPr="00671512">
        <w:rPr>
          <w:sz w:val="24"/>
          <w:szCs w:val="24"/>
          <w:lang w:bidi="he-IL"/>
        </w:rPr>
        <w:t xml:space="preserve"> authority like </w:t>
      </w:r>
      <w:r w:rsidR="00671512" w:rsidRPr="00671512">
        <w:rPr>
          <w:rFonts w:hint="cs"/>
          <w:sz w:val="24"/>
          <w:szCs w:val="24"/>
          <w:rtl/>
          <w:lang w:bidi="he-IL"/>
        </w:rPr>
        <w:t>רשב"ל</w:t>
      </w:r>
      <w:r w:rsidR="00671512" w:rsidRPr="00671512">
        <w:rPr>
          <w:sz w:val="24"/>
          <w:szCs w:val="24"/>
          <w:lang w:bidi="he-IL"/>
        </w:rPr>
        <w:t>.</w:t>
      </w:r>
    </w:p>
    <w:p w:rsidR="007009ED" w:rsidRPr="00671512" w:rsidRDefault="007009ED" w:rsidP="00FE0D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7009ED" w:rsidRPr="00671512" w:rsidRDefault="007009ED" w:rsidP="003D699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71512">
        <w:rPr>
          <w:rFonts w:hint="cs"/>
          <w:sz w:val="24"/>
          <w:szCs w:val="24"/>
          <w:rtl/>
          <w:lang w:bidi="he-IL"/>
        </w:rPr>
        <w:t>תוספות</w:t>
      </w:r>
      <w:r w:rsidRPr="00671512">
        <w:rPr>
          <w:sz w:val="24"/>
          <w:szCs w:val="24"/>
          <w:lang w:bidi="he-IL"/>
        </w:rPr>
        <w:t xml:space="preserve"> </w:t>
      </w:r>
      <w:r w:rsidR="003D6990">
        <w:rPr>
          <w:sz w:val="24"/>
          <w:szCs w:val="24"/>
          <w:lang w:bidi="he-IL"/>
        </w:rPr>
        <w:t>responds</w:t>
      </w:r>
      <w:r w:rsidRPr="00671512">
        <w:rPr>
          <w:sz w:val="24"/>
          <w:szCs w:val="24"/>
          <w:lang w:bidi="he-IL"/>
        </w:rPr>
        <w:t>:</w:t>
      </w:r>
    </w:p>
    <w:p w:rsidR="003D6990" w:rsidRPr="00935F2A" w:rsidRDefault="007009ED" w:rsidP="006856CA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935F2A">
        <w:rPr>
          <w:rFonts w:cs="David" w:hint="cs"/>
          <w:b/>
          <w:bCs/>
          <w:rtl/>
          <w:lang w:bidi="he-IL"/>
        </w:rPr>
        <w:t>משום דריש לקיש לא הזכיר</w:t>
      </w:r>
      <w:r w:rsidR="003D6990" w:rsidRPr="00935F2A">
        <w:rPr>
          <w:rFonts w:cs="David" w:hint="cs"/>
          <w:b/>
          <w:bCs/>
          <w:rtl/>
          <w:lang w:bidi="he-IL"/>
        </w:rPr>
        <w:t xml:space="preserve"> אלא קטנים בדבריו</w:t>
      </w:r>
      <w:r w:rsidR="006856CA">
        <w:rPr>
          <w:rFonts w:cs="David" w:hint="cs"/>
          <w:b/>
          <w:bCs/>
          <w:rtl/>
          <w:lang w:bidi="he-IL"/>
        </w:rPr>
        <w:t>:</w:t>
      </w:r>
      <w:r w:rsidR="003D6990" w:rsidRPr="00935F2A">
        <w:rPr>
          <w:rStyle w:val="FootnoteReference"/>
          <w:rFonts w:cs="David"/>
          <w:b/>
          <w:bCs/>
          <w:sz w:val="24"/>
          <w:szCs w:val="24"/>
          <w:lang w:bidi="he-IL"/>
        </w:rPr>
        <w:footnoteReference w:id="5"/>
      </w:r>
      <w:r w:rsidR="003D6990" w:rsidRPr="00935F2A">
        <w:rPr>
          <w:rFonts w:cs="David" w:hint="cs"/>
          <w:b/>
          <w:bCs/>
          <w:rtl/>
          <w:lang w:bidi="he-IL"/>
        </w:rPr>
        <w:t xml:space="preserve"> </w:t>
      </w:r>
    </w:p>
    <w:p w:rsidR="007009ED" w:rsidRDefault="003D6990" w:rsidP="003D699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Because</w:t>
      </w:r>
      <w:r w:rsidR="007009ED">
        <w:rPr>
          <w:b/>
          <w:bCs/>
          <w:lang w:bidi="he-IL"/>
        </w:rPr>
        <w:t xml:space="preserve"> </w:t>
      </w:r>
      <w:r w:rsidR="007009ED">
        <w:rPr>
          <w:rFonts w:hint="cs"/>
          <w:b/>
          <w:bCs/>
          <w:rtl/>
          <w:lang w:bidi="he-IL"/>
        </w:rPr>
        <w:t>ר"ל</w:t>
      </w:r>
      <w:r w:rsidR="007009ED">
        <w:rPr>
          <w:b/>
          <w:bCs/>
          <w:lang w:bidi="he-IL"/>
        </w:rPr>
        <w:t xml:space="preserve"> did not </w:t>
      </w:r>
      <w:r w:rsidR="007009ED" w:rsidRPr="00671512">
        <w:rPr>
          <w:b/>
          <w:bCs/>
          <w:lang w:bidi="he-IL"/>
        </w:rPr>
        <w:t>mention</w:t>
      </w:r>
      <w:r w:rsidR="007009ED" w:rsidRPr="00671512">
        <w:rPr>
          <w:b/>
          <w:bCs/>
          <w:sz w:val="24"/>
          <w:szCs w:val="24"/>
          <w:lang w:bidi="he-IL"/>
        </w:rPr>
        <w:t xml:space="preserve"> </w:t>
      </w:r>
      <w:r w:rsidR="007009ED" w:rsidRPr="003D6990">
        <w:rPr>
          <w:rFonts w:hint="cs"/>
          <w:rtl/>
          <w:lang w:bidi="he-IL"/>
        </w:rPr>
        <w:t>פסולי עדים</w:t>
      </w:r>
      <w:r w:rsidR="007009ED" w:rsidRPr="00671512">
        <w:rPr>
          <w:sz w:val="24"/>
          <w:szCs w:val="24"/>
          <w:lang w:bidi="he-IL"/>
        </w:rPr>
        <w:t xml:space="preserve"> </w:t>
      </w:r>
      <w:r w:rsidR="007009ED" w:rsidRPr="003D6990">
        <w:rPr>
          <w:lang w:bidi="he-IL"/>
        </w:rPr>
        <w:t>in his statement</w:t>
      </w:r>
      <w:r>
        <w:rPr>
          <w:lang w:bidi="he-IL"/>
        </w:rPr>
        <w:t>,</w:t>
      </w:r>
      <w:r>
        <w:rPr>
          <w:sz w:val="24"/>
          <w:szCs w:val="24"/>
          <w:lang w:bidi="he-IL"/>
        </w:rPr>
        <w:t xml:space="preserve"> </w:t>
      </w:r>
      <w:r w:rsidR="007009ED">
        <w:rPr>
          <w:b/>
          <w:bCs/>
          <w:lang w:bidi="he-IL"/>
        </w:rPr>
        <w:t xml:space="preserve">but rather </w:t>
      </w:r>
      <w:r w:rsidR="007009ED">
        <w:rPr>
          <w:lang w:bidi="he-IL"/>
        </w:rPr>
        <w:t xml:space="preserve">he only </w:t>
      </w:r>
      <w:r>
        <w:rPr>
          <w:lang w:bidi="he-IL"/>
        </w:rPr>
        <w:t xml:space="preserve">mentioned </w:t>
      </w:r>
      <w:r>
        <w:rPr>
          <w:rtl/>
          <w:lang w:bidi="he-IL"/>
        </w:rPr>
        <w:t>קטנים</w:t>
      </w:r>
      <w:r w:rsidR="007009ED">
        <w:rPr>
          <w:b/>
          <w:bCs/>
          <w:lang w:bidi="he-IL"/>
        </w:rPr>
        <w:t xml:space="preserve"> in his statement. </w:t>
      </w:r>
      <w:r w:rsidR="007009ED" w:rsidRPr="00671512">
        <w:rPr>
          <w:sz w:val="24"/>
          <w:szCs w:val="24"/>
          <w:lang w:bidi="he-IL"/>
        </w:rPr>
        <w:t xml:space="preserve">Therefore the </w:t>
      </w:r>
      <w:r w:rsidR="007009ED" w:rsidRPr="00671512">
        <w:rPr>
          <w:rFonts w:hint="cs"/>
          <w:sz w:val="24"/>
          <w:szCs w:val="24"/>
          <w:rtl/>
          <w:lang w:bidi="he-IL"/>
        </w:rPr>
        <w:t>גמרא</w:t>
      </w:r>
      <w:r w:rsidR="007009ED" w:rsidRPr="00671512">
        <w:rPr>
          <w:sz w:val="24"/>
          <w:szCs w:val="24"/>
          <w:lang w:bidi="he-IL"/>
        </w:rPr>
        <w:t xml:space="preserve"> could not have cited that </w:t>
      </w:r>
      <w:r w:rsidR="007009ED" w:rsidRPr="00671512">
        <w:rPr>
          <w:rFonts w:hint="cs"/>
          <w:sz w:val="24"/>
          <w:szCs w:val="24"/>
          <w:rtl/>
          <w:lang w:bidi="he-IL"/>
        </w:rPr>
        <w:t>ר"ל</w:t>
      </w:r>
      <w:r w:rsidR="007009ED" w:rsidRPr="00671512">
        <w:rPr>
          <w:sz w:val="24"/>
          <w:szCs w:val="24"/>
          <w:lang w:bidi="he-IL"/>
        </w:rPr>
        <w:t xml:space="preserve"> maintains that </w:t>
      </w:r>
      <w:r w:rsidR="007009ED" w:rsidRPr="00671512">
        <w:rPr>
          <w:rFonts w:hint="cs"/>
          <w:sz w:val="24"/>
          <w:szCs w:val="24"/>
          <w:rtl/>
          <w:lang w:bidi="he-IL"/>
        </w:rPr>
        <w:t>פסולי עדות</w:t>
      </w:r>
      <w:r w:rsidR="007009ED" w:rsidRPr="00671512">
        <w:rPr>
          <w:sz w:val="24"/>
          <w:szCs w:val="24"/>
          <w:lang w:bidi="he-IL"/>
        </w:rPr>
        <w:t xml:space="preserve"> do not sign on a </w:t>
      </w:r>
      <w:r w:rsidR="007009ED" w:rsidRPr="00671512">
        <w:rPr>
          <w:rFonts w:hint="cs"/>
          <w:sz w:val="24"/>
          <w:szCs w:val="24"/>
          <w:rtl/>
          <w:lang w:bidi="he-IL"/>
        </w:rPr>
        <w:t>שטר</w:t>
      </w:r>
      <w:r w:rsidR="007009ED" w:rsidRPr="00671512">
        <w:rPr>
          <w:sz w:val="24"/>
          <w:szCs w:val="24"/>
          <w:lang w:bidi="he-IL"/>
        </w:rPr>
        <w:t xml:space="preserve">. Even though </w:t>
      </w:r>
      <w:r w:rsidR="007009ED" w:rsidRPr="00671512">
        <w:rPr>
          <w:rFonts w:hint="cs"/>
          <w:sz w:val="24"/>
          <w:szCs w:val="24"/>
          <w:rtl/>
          <w:lang w:bidi="he-IL"/>
        </w:rPr>
        <w:t>ר"ל</w:t>
      </w:r>
      <w:r w:rsidR="007009ED" w:rsidRPr="00671512">
        <w:rPr>
          <w:sz w:val="24"/>
          <w:szCs w:val="24"/>
          <w:lang w:bidi="he-IL"/>
        </w:rPr>
        <w:t xml:space="preserve"> definitely agrees to it.</w:t>
      </w:r>
    </w:p>
    <w:p w:rsidR="00223F7F" w:rsidRDefault="00223F7F" w:rsidP="00FE0D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223F7F" w:rsidRPr="003D6990" w:rsidRDefault="00223F7F" w:rsidP="00FE0D04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D6990">
        <w:rPr>
          <w:rFonts w:ascii="Copperplate Gothic Bold" w:hAnsi="Copperplate Gothic Bold"/>
          <w:u w:val="double"/>
          <w:lang w:bidi="he-IL"/>
        </w:rPr>
        <w:t>Summary</w:t>
      </w:r>
    </w:p>
    <w:p w:rsidR="00223F7F" w:rsidRDefault="00223F7F" w:rsidP="00FE0D04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ר"ל</w:t>
      </w:r>
      <w:r>
        <w:rPr>
          <w:lang w:bidi="he-IL"/>
        </w:rPr>
        <w:t xml:space="preserve"> can either be based on the reason of </w:t>
      </w:r>
      <w:r>
        <w:rPr>
          <w:rFonts w:hint="cs"/>
          <w:rtl/>
          <w:lang w:bidi="he-IL"/>
        </w:rPr>
        <w:t>מלוה מידק דייק</w:t>
      </w:r>
      <w:r>
        <w:rPr>
          <w:lang w:bidi="he-IL"/>
        </w:rPr>
        <w:t>, or it can be independently valid.</w:t>
      </w:r>
    </w:p>
    <w:p w:rsidR="00850D26" w:rsidRPr="0016751C" w:rsidRDefault="00850D26" w:rsidP="00FE0D0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850D26" w:rsidRPr="003D6990" w:rsidRDefault="00850D26" w:rsidP="00FE0D04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D6990">
        <w:rPr>
          <w:rFonts w:ascii="Copperplate Gothic Bold" w:hAnsi="Copperplate Gothic Bold"/>
          <w:u w:val="double"/>
          <w:lang w:bidi="he-IL"/>
        </w:rPr>
        <w:t>Thinking it over</w:t>
      </w:r>
    </w:p>
    <w:p w:rsidR="00850D26" w:rsidRPr="00850D26" w:rsidRDefault="0016751C" w:rsidP="00FE0D04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Is there a practical difference between the two interpretations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?</w:t>
      </w:r>
      <w:r w:rsidR="00935F2A">
        <w:rPr>
          <w:rStyle w:val="FootnoteReference"/>
          <w:lang w:bidi="he-IL"/>
        </w:rPr>
        <w:footnoteReference w:id="6"/>
      </w:r>
    </w:p>
    <w:sectPr w:rsidR="00850D26" w:rsidRPr="00850D26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ADB" w:rsidRDefault="00F00ADB">
      <w:r>
        <w:separator/>
      </w:r>
    </w:p>
  </w:endnote>
  <w:endnote w:type="continuationSeparator" w:id="0">
    <w:p w:rsidR="00F00ADB" w:rsidRDefault="00F0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C10" w:rsidRDefault="00524C10" w:rsidP="00A329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4C10" w:rsidRDefault="00524C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990" w:rsidRDefault="003D6990">
    <w:pPr>
      <w:pStyle w:val="Footer"/>
      <w:jc w:val="center"/>
      <w:rPr>
        <w:noProof/>
        <w:sz w:val="16"/>
        <w:szCs w:val="16"/>
      </w:rPr>
    </w:pPr>
    <w:r w:rsidRPr="003D6990">
      <w:rPr>
        <w:sz w:val="20"/>
        <w:szCs w:val="20"/>
      </w:rPr>
      <w:fldChar w:fldCharType="begin"/>
    </w:r>
    <w:r w:rsidRPr="003D6990">
      <w:rPr>
        <w:sz w:val="20"/>
        <w:szCs w:val="20"/>
      </w:rPr>
      <w:instrText xml:space="preserve"> PAGE   \* MERGEFORMAT </w:instrText>
    </w:r>
    <w:r w:rsidRPr="003D6990">
      <w:rPr>
        <w:sz w:val="20"/>
        <w:szCs w:val="20"/>
      </w:rPr>
      <w:fldChar w:fldCharType="separate"/>
    </w:r>
    <w:r w:rsidR="00AD4B91">
      <w:rPr>
        <w:noProof/>
        <w:sz w:val="20"/>
        <w:szCs w:val="20"/>
      </w:rPr>
      <w:t>2</w:t>
    </w:r>
    <w:r w:rsidRPr="003D6990">
      <w:rPr>
        <w:noProof/>
        <w:sz w:val="20"/>
        <w:szCs w:val="20"/>
      </w:rPr>
      <w:fldChar w:fldCharType="end"/>
    </w:r>
  </w:p>
  <w:p w:rsidR="003D6990" w:rsidRPr="003D6990" w:rsidRDefault="003D6990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524C10" w:rsidRPr="00524703" w:rsidRDefault="00524C10" w:rsidP="00524703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ADB" w:rsidRDefault="00F00ADB">
      <w:r>
        <w:separator/>
      </w:r>
    </w:p>
  </w:footnote>
  <w:footnote w:type="continuationSeparator" w:id="0">
    <w:p w:rsidR="00F00ADB" w:rsidRDefault="00F00ADB">
      <w:r>
        <w:continuationSeparator/>
      </w:r>
    </w:p>
  </w:footnote>
  <w:footnote w:id="1">
    <w:p w:rsidR="00FE0D04" w:rsidRDefault="00FE0D04" w:rsidP="00FE0D04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ר"ל</w:t>
      </w:r>
      <w:r>
        <w:rPr>
          <w:lang w:bidi="he-IL"/>
        </w:rPr>
        <w:t xml:space="preserve"> actually states that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do not sign on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unless the parties (i.e. </w:t>
      </w:r>
      <w:r>
        <w:rPr>
          <w:rFonts w:hint="cs"/>
          <w:rtl/>
          <w:lang w:bidi="he-IL"/>
        </w:rPr>
        <w:t>מלוה לוה</w:t>
      </w:r>
      <w:r>
        <w:rPr>
          <w:lang w:bidi="he-IL"/>
        </w:rPr>
        <w:t xml:space="preserve">) are </w:t>
      </w:r>
      <w:r>
        <w:rPr>
          <w:rFonts w:hint="cs"/>
          <w:rtl/>
          <w:lang w:bidi="he-IL"/>
        </w:rPr>
        <w:t>גדולים</w:t>
      </w:r>
      <w:r>
        <w:rPr>
          <w:lang w:bidi="he-IL"/>
        </w:rPr>
        <w:t>.</w:t>
      </w:r>
      <w:r>
        <w:t xml:space="preserve"> </w:t>
      </w:r>
      <w:r w:rsidR="004135C7">
        <w:t xml:space="preserve">We may also extend this logic that the </w:t>
      </w:r>
      <w:r w:rsidR="004135C7">
        <w:rPr>
          <w:rFonts w:hint="cs"/>
          <w:rtl/>
          <w:lang w:bidi="he-IL"/>
        </w:rPr>
        <w:t>עדים</w:t>
      </w:r>
      <w:r w:rsidR="004135C7">
        <w:rPr>
          <w:lang w:bidi="he-IL"/>
        </w:rPr>
        <w:t xml:space="preserve"> will not sign unless they are </w:t>
      </w:r>
      <w:r w:rsidR="004135C7">
        <w:rPr>
          <w:rFonts w:hint="cs"/>
          <w:rtl/>
          <w:lang w:bidi="he-IL"/>
        </w:rPr>
        <w:t>גדולים</w:t>
      </w:r>
      <w:r w:rsidR="004135C7">
        <w:rPr>
          <w:lang w:bidi="he-IL"/>
        </w:rPr>
        <w:t xml:space="preserve">. See (however) footnote # 2. </w:t>
      </w:r>
      <w:r w:rsidR="008A5BC7">
        <w:rPr>
          <w:lang w:bidi="he-IL"/>
        </w:rPr>
        <w:t>See</w:t>
      </w:r>
      <w:r w:rsidR="008A5BC7">
        <w:rPr>
          <w:rFonts w:hint="cs"/>
          <w:rtl/>
          <w:lang w:bidi="he-IL"/>
        </w:rPr>
        <w:t xml:space="preserve"> </w:t>
      </w:r>
      <w:r w:rsidR="008A5BC7">
        <w:rPr>
          <w:rtl/>
          <w:lang w:bidi="he-IL"/>
        </w:rPr>
        <w:t>רעק</w:t>
      </w:r>
      <w:r w:rsidR="004135C7">
        <w:rPr>
          <w:rFonts w:hint="cs"/>
          <w:rtl/>
          <w:lang w:bidi="he-IL"/>
        </w:rPr>
        <w:t>"א</w:t>
      </w:r>
      <w:r w:rsidR="004135C7">
        <w:rPr>
          <w:lang w:bidi="he-IL"/>
        </w:rPr>
        <w:t xml:space="preserve"> who questions this logic. </w:t>
      </w:r>
    </w:p>
  </w:footnote>
  <w:footnote w:id="2">
    <w:p w:rsidR="00524C10" w:rsidRDefault="00524C10" w:rsidP="00FE0D0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Perhaps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concerning </w:t>
      </w:r>
      <w:r>
        <w:rPr>
          <w:rFonts w:hint="cs"/>
          <w:rtl/>
          <w:lang w:bidi="he-IL"/>
        </w:rPr>
        <w:t>קטנים</w:t>
      </w:r>
      <w:r>
        <w:rPr>
          <w:lang w:bidi="he-IL"/>
        </w:rPr>
        <w:t xml:space="preserve"> is based on the reality that children are not readily available in situations where </w:t>
      </w:r>
      <w:r>
        <w:rPr>
          <w:rFonts w:hint="cs"/>
          <w:rtl/>
          <w:lang w:bidi="he-IL"/>
        </w:rPr>
        <w:t>שטרות</w:t>
      </w:r>
      <w:r>
        <w:rPr>
          <w:lang w:bidi="he-IL"/>
        </w:rPr>
        <w:t xml:space="preserve"> are written. Usually only adults are present. See </w:t>
      </w:r>
      <w:r>
        <w:rPr>
          <w:rFonts w:hint="cs"/>
          <w:rtl/>
          <w:lang w:bidi="he-IL"/>
        </w:rPr>
        <w:t>משכנות הרועים אות ר"י</w:t>
      </w:r>
      <w:r>
        <w:rPr>
          <w:lang w:bidi="he-IL"/>
        </w:rPr>
        <w:t>.</w:t>
      </w:r>
    </w:p>
  </w:footnote>
  <w:footnote w:id="3">
    <w:p w:rsidR="004135C7" w:rsidRDefault="004135C7" w:rsidP="004135C7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 reason is the same in all cases, why mention all of the cases; one would be sufficient. This indicates that the </w:t>
      </w:r>
      <w:r>
        <w:rPr>
          <w:rFonts w:hint="cs"/>
          <w:rtl/>
          <w:lang w:bidi="he-IL"/>
        </w:rPr>
        <w:t>תנא</w:t>
      </w:r>
      <w:r>
        <w:rPr>
          <w:lang w:bidi="he-IL"/>
        </w:rPr>
        <w:t xml:space="preserve"> is teaching us that there are various different reasons for the different cases. It is possible that sometimes when one reason (</w:t>
      </w:r>
      <w:r>
        <w:rPr>
          <w:rFonts w:hint="cs"/>
          <w:rtl/>
          <w:lang w:bidi="he-IL"/>
        </w:rPr>
        <w:t>מלוה מדיק דייק</w:t>
      </w:r>
      <w:r>
        <w:rPr>
          <w:lang w:bidi="he-IL"/>
        </w:rPr>
        <w:t xml:space="preserve">) is not applicable (if for instance they signed in the presence of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only, and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was not there); then in that case we can employ the other reason (of </w:t>
      </w:r>
      <w:r>
        <w:rPr>
          <w:rFonts w:hint="cs"/>
          <w:rtl/>
          <w:lang w:bidi="he-IL"/>
        </w:rPr>
        <w:t>רשב"ל</w:t>
      </w:r>
      <w:r>
        <w:rPr>
          <w:lang w:bidi="he-IL"/>
        </w:rPr>
        <w:t>).</w:t>
      </w:r>
    </w:p>
  </w:footnote>
  <w:footnote w:id="4">
    <w:p w:rsidR="004135C7" w:rsidRDefault="004135C7" w:rsidP="004135C7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this answer we will not accept the logic and arguments of footnotes # 2&amp;3. [The reason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finds it necessary to cite </w:t>
      </w:r>
      <w:r>
        <w:rPr>
          <w:rFonts w:hint="cs"/>
          <w:rtl/>
          <w:lang w:bidi="he-IL"/>
        </w:rPr>
        <w:t>ר"ל</w:t>
      </w:r>
      <w:r>
        <w:rPr>
          <w:lang w:bidi="he-IL"/>
        </w:rPr>
        <w:t xml:space="preserve"> concerning </w:t>
      </w:r>
      <w:r>
        <w:rPr>
          <w:rFonts w:hint="cs"/>
          <w:rtl/>
          <w:lang w:bidi="he-IL"/>
        </w:rPr>
        <w:t>קטנים</w:t>
      </w:r>
      <w:r>
        <w:rPr>
          <w:lang w:bidi="he-IL"/>
        </w:rPr>
        <w:t xml:space="preserve">, is perhaps it is more difficult to distinguish certain (mature) </w:t>
      </w:r>
      <w:r>
        <w:rPr>
          <w:rFonts w:hint="cs"/>
          <w:rtl/>
          <w:lang w:bidi="he-IL"/>
        </w:rPr>
        <w:t>קטנים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גדולים</w:t>
      </w:r>
      <w:r>
        <w:rPr>
          <w:lang w:bidi="he-IL"/>
        </w:rPr>
        <w:t xml:space="preserve">, than to know who the </w:t>
      </w:r>
      <w:r>
        <w:rPr>
          <w:rtl/>
          <w:lang w:bidi="he-IL"/>
        </w:rPr>
        <w:t>פסולי עדות</w:t>
      </w:r>
      <w:r>
        <w:rPr>
          <w:lang w:bidi="he-IL"/>
        </w:rPr>
        <w:t xml:space="preserve"> are.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therefore cites </w:t>
      </w:r>
      <w:r>
        <w:rPr>
          <w:rFonts w:hint="cs"/>
          <w:rtl/>
          <w:lang w:bidi="he-IL"/>
        </w:rPr>
        <w:t>ר"ל</w:t>
      </w:r>
      <w:r>
        <w:rPr>
          <w:lang w:bidi="he-IL"/>
        </w:rPr>
        <w:t xml:space="preserve"> as a support.]</w:t>
      </w:r>
    </w:p>
  </w:footnote>
  <w:footnote w:id="5">
    <w:p w:rsidR="003D6990" w:rsidRDefault="003D6990" w:rsidP="00935F2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רשב"ל</w:t>
      </w:r>
      <w:r>
        <w:rPr>
          <w:lang w:bidi="he-IL"/>
        </w:rPr>
        <w:t xml:space="preserve"> made his statement in conjunction with a case concerning </w:t>
      </w:r>
      <w:r>
        <w:rPr>
          <w:rFonts w:hint="cs"/>
          <w:rtl/>
          <w:lang w:bidi="he-IL"/>
        </w:rPr>
        <w:t>קטנים</w:t>
      </w:r>
      <w:r>
        <w:rPr>
          <w:lang w:bidi="he-IL"/>
        </w:rPr>
        <w:t>.</w:t>
      </w:r>
    </w:p>
  </w:footnote>
  <w:footnote w:id="6">
    <w:p w:rsidR="00935F2A" w:rsidRDefault="00935F2A" w:rsidP="00935F2A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3.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C10" w:rsidRPr="00524703" w:rsidRDefault="00524C10" w:rsidP="00524703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יח,ב תוס' ד"ה קטנים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4703"/>
    <w:rsid w:val="000E206F"/>
    <w:rsid w:val="0016751C"/>
    <w:rsid w:val="00184D2E"/>
    <w:rsid w:val="0020216B"/>
    <w:rsid w:val="00210A1E"/>
    <w:rsid w:val="00223F7F"/>
    <w:rsid w:val="002D2B8F"/>
    <w:rsid w:val="003D6990"/>
    <w:rsid w:val="003F6705"/>
    <w:rsid w:val="004135C7"/>
    <w:rsid w:val="00454940"/>
    <w:rsid w:val="00524703"/>
    <w:rsid w:val="00524C10"/>
    <w:rsid w:val="00671512"/>
    <w:rsid w:val="006856CA"/>
    <w:rsid w:val="007009ED"/>
    <w:rsid w:val="007552E7"/>
    <w:rsid w:val="007C2041"/>
    <w:rsid w:val="00824EEB"/>
    <w:rsid w:val="00850D26"/>
    <w:rsid w:val="0089054C"/>
    <w:rsid w:val="008A5BC7"/>
    <w:rsid w:val="00935F2A"/>
    <w:rsid w:val="00A329AC"/>
    <w:rsid w:val="00AD4B91"/>
    <w:rsid w:val="00BE53C6"/>
    <w:rsid w:val="00C43522"/>
    <w:rsid w:val="00D54370"/>
    <w:rsid w:val="00D80DE2"/>
    <w:rsid w:val="00F00ADB"/>
    <w:rsid w:val="00FE0D04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CE115D-211A-460E-90C3-EBF9D469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2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470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43522"/>
    <w:rPr>
      <w:sz w:val="20"/>
      <w:szCs w:val="20"/>
    </w:rPr>
  </w:style>
  <w:style w:type="character" w:styleId="FootnoteReference">
    <w:name w:val="footnote reference"/>
    <w:semiHidden/>
    <w:rsid w:val="00C43522"/>
    <w:rPr>
      <w:vertAlign w:val="superscript"/>
    </w:rPr>
  </w:style>
  <w:style w:type="character" w:styleId="PageNumber">
    <w:name w:val="page number"/>
    <w:basedOn w:val="DefaultParagraphFont"/>
    <w:rsid w:val="007C2041"/>
  </w:style>
  <w:style w:type="character" w:customStyle="1" w:styleId="FooterChar">
    <w:name w:val="Footer Char"/>
    <w:link w:val="Footer"/>
    <w:uiPriority w:val="99"/>
    <w:rsid w:val="003D6990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קטנים נמי כדרבי שמעון בן לקיש – They can also not claim to be minors as רשב"ל stated</vt:lpstr>
    </vt:vector>
  </TitlesOfParts>
  <Company> 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קטנים נמי כדרבי שמעון בן לקיש – They can also not claim to be minors as רשב"ל stated</dc:title>
  <dc:subject/>
  <dc:creator> </dc:creator>
  <cp:keywords/>
  <dc:description/>
  <cp:lastModifiedBy>Microsoft account</cp:lastModifiedBy>
  <cp:revision>2</cp:revision>
  <dcterms:created xsi:type="dcterms:W3CDTF">2022-04-05T10:44:00Z</dcterms:created>
  <dcterms:modified xsi:type="dcterms:W3CDTF">2022-04-05T10:44:00Z</dcterms:modified>
</cp:coreProperties>
</file>