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2D4" w:rsidRDefault="0044518E" w:rsidP="00671C9E">
      <w:pPr>
        <w:widowControl w:val="0"/>
        <w:bidi/>
        <w:spacing w:line="264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מנין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לנושה בחבירו כולי</w:t>
      </w:r>
      <w:r w:rsidR="00D322D4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D322D4">
        <w:rPr>
          <w:b/>
          <w:bCs/>
          <w:sz w:val="32"/>
          <w:szCs w:val="32"/>
          <w:rtl/>
          <w:lang w:bidi="he-IL"/>
        </w:rPr>
        <w:t>–</w:t>
      </w:r>
      <w:r w:rsidR="00D322D4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D322D4">
        <w:rPr>
          <w:b/>
          <w:bCs/>
          <w:sz w:val="32"/>
          <w:szCs w:val="32"/>
          <w:lang w:bidi="he-IL"/>
        </w:rPr>
        <w:t xml:space="preserve">How do we know                        </w:t>
      </w:r>
      <w:r w:rsidR="00671C9E">
        <w:rPr>
          <w:b/>
          <w:bCs/>
          <w:sz w:val="32"/>
          <w:szCs w:val="32"/>
          <w:lang w:bidi="he-IL"/>
        </w:rPr>
        <w:t xml:space="preserve"> </w:t>
      </w:r>
      <w:r w:rsidR="00671C9E">
        <w:rPr>
          <w:b/>
          <w:bCs/>
          <w:sz w:val="16"/>
          <w:szCs w:val="16"/>
          <w:lang w:bidi="he-IL"/>
        </w:rPr>
        <w:t xml:space="preserve">    </w:t>
      </w:r>
      <w:r w:rsidR="00D322D4">
        <w:rPr>
          <w:b/>
          <w:bCs/>
          <w:sz w:val="32"/>
          <w:szCs w:val="32"/>
          <w:lang w:bidi="he-IL"/>
        </w:rPr>
        <w:t xml:space="preserve">             </w:t>
      </w:r>
    </w:p>
    <w:p w:rsidR="00D80DE2" w:rsidRDefault="0044518E" w:rsidP="00505F0D">
      <w:pPr>
        <w:widowControl w:val="0"/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>that someone who has a claim against his friend, etc.</w:t>
      </w:r>
    </w:p>
    <w:p w:rsidR="0044518E" w:rsidRDefault="0044518E" w:rsidP="00505F0D">
      <w:pPr>
        <w:widowControl w:val="0"/>
        <w:spacing w:line="264" w:lineRule="auto"/>
        <w:jc w:val="both"/>
        <w:rPr>
          <w:sz w:val="24"/>
          <w:szCs w:val="24"/>
          <w:lang w:bidi="he-IL"/>
        </w:rPr>
      </w:pPr>
    </w:p>
    <w:p w:rsidR="0044518E" w:rsidRPr="00A93FFF" w:rsidRDefault="0044518E" w:rsidP="00505F0D">
      <w:pPr>
        <w:widowControl w:val="0"/>
        <w:spacing w:line="264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A93FFF">
        <w:rPr>
          <w:rFonts w:ascii="Copperplate Gothic Bold" w:hAnsi="Copperplate Gothic Bold"/>
          <w:u w:val="double"/>
          <w:lang w:bidi="he-IL"/>
        </w:rPr>
        <w:t>Overview</w:t>
      </w:r>
    </w:p>
    <w:p w:rsidR="0044518E" w:rsidRPr="0044518E" w:rsidRDefault="0044518E" w:rsidP="00505F0D">
      <w:pPr>
        <w:widowControl w:val="0"/>
        <w:spacing w:line="264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ר"י אמר רב</w:t>
      </w:r>
      <w:r>
        <w:rPr>
          <w:lang w:bidi="he-IL"/>
        </w:rPr>
        <w:t xml:space="preserve"> stated that if someone claims that it is a </w:t>
      </w:r>
      <w:r>
        <w:rPr>
          <w:rFonts w:hint="cs"/>
          <w:rtl/>
          <w:lang w:bidi="he-IL"/>
        </w:rPr>
        <w:t>שטר אמנה</w:t>
      </w:r>
      <w:r>
        <w:rPr>
          <w:lang w:bidi="he-IL"/>
        </w:rPr>
        <w:t xml:space="preserve"> he is not believed. </w:t>
      </w:r>
      <w:r>
        <w:rPr>
          <w:rFonts w:hint="cs"/>
          <w:rtl/>
          <w:lang w:bidi="he-IL"/>
        </w:rPr>
        <w:t>אביי</w:t>
      </w:r>
      <w:r>
        <w:rPr>
          <w:lang w:bidi="he-IL"/>
        </w:rPr>
        <w:t xml:space="preserve"> interpreted that </w:t>
      </w:r>
      <w:r>
        <w:rPr>
          <w:rFonts w:hint="cs"/>
          <w:rtl/>
          <w:lang w:bidi="he-IL"/>
        </w:rPr>
        <w:t>ר"י אמר רב</w:t>
      </w:r>
      <w:r>
        <w:rPr>
          <w:lang w:bidi="he-IL"/>
        </w:rPr>
        <w:t xml:space="preserve"> was referring to case where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said it was a </w:t>
      </w:r>
      <w:r>
        <w:rPr>
          <w:rFonts w:hint="cs"/>
          <w:rtl/>
          <w:lang w:bidi="he-IL"/>
        </w:rPr>
        <w:t>שטר אמנה</w:t>
      </w:r>
      <w:r w:rsidR="0079403C">
        <w:rPr>
          <w:lang w:bidi="he-IL"/>
        </w:rPr>
        <w:t>.</w:t>
      </w:r>
      <w:r>
        <w:rPr>
          <w:lang w:bidi="he-IL"/>
        </w:rPr>
        <w:t xml:space="preserve"> </w:t>
      </w:r>
      <w:r w:rsidR="0079403C">
        <w:rPr>
          <w:lang w:bidi="he-IL"/>
        </w:rPr>
        <w:t>T</w:t>
      </w:r>
      <w:r>
        <w:rPr>
          <w:lang w:bidi="he-IL"/>
        </w:rPr>
        <w:t xml:space="preserve">he reason </w:t>
      </w:r>
      <w:r w:rsidR="0079403C">
        <w:rPr>
          <w:lang w:bidi="he-IL"/>
        </w:rPr>
        <w:t>t</w:t>
      </w:r>
      <w:r>
        <w:rPr>
          <w:lang w:bidi="he-IL"/>
        </w:rPr>
        <w:t>he</w:t>
      </w:r>
      <w:r w:rsidR="0079403C">
        <w:rPr>
          <w:lang w:bidi="he-IL"/>
        </w:rPr>
        <w:t xml:space="preserve"> </w:t>
      </w:r>
      <w:r w:rsidR="0079403C">
        <w:rPr>
          <w:rFonts w:hint="cs"/>
          <w:rtl/>
          <w:lang w:bidi="he-IL"/>
        </w:rPr>
        <w:t>מלוה</w:t>
      </w:r>
      <w:r w:rsidR="0079403C">
        <w:rPr>
          <w:lang w:bidi="he-IL"/>
        </w:rPr>
        <w:t xml:space="preserve"> </w:t>
      </w:r>
      <w:r>
        <w:rPr>
          <w:lang w:bidi="he-IL"/>
        </w:rPr>
        <w:t xml:space="preserve">is not believed is that </w:t>
      </w:r>
      <w:r w:rsidR="0079403C">
        <w:rPr>
          <w:lang w:bidi="he-IL"/>
        </w:rPr>
        <w:t xml:space="preserve">he is a </w:t>
      </w:r>
      <w:r w:rsidR="0079403C">
        <w:rPr>
          <w:rFonts w:hint="cs"/>
          <w:rtl/>
          <w:lang w:bidi="he-IL"/>
        </w:rPr>
        <w:t>חב לאחרים</w:t>
      </w:r>
      <w:r w:rsidR="0079403C">
        <w:rPr>
          <w:lang w:bidi="he-IL"/>
        </w:rPr>
        <w:t xml:space="preserve"> in a situation of a </w:t>
      </w:r>
      <w:r w:rsidR="0079403C">
        <w:rPr>
          <w:rFonts w:hint="cs"/>
          <w:rtl/>
          <w:lang w:bidi="he-IL"/>
        </w:rPr>
        <w:t>שעבודא דר"נ</w:t>
      </w:r>
      <w:r w:rsidR="0079403C">
        <w:rPr>
          <w:lang w:bidi="he-IL"/>
        </w:rPr>
        <w:t>.</w:t>
      </w:r>
    </w:p>
    <w:p w:rsidR="0044518E" w:rsidRDefault="0079403C" w:rsidP="00505F0D">
      <w:pPr>
        <w:widowControl w:val="0"/>
        <w:spacing w:line="264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</w:t>
      </w:r>
    </w:p>
    <w:p w:rsidR="0005545B" w:rsidRPr="00A93FFF" w:rsidRDefault="0044518E" w:rsidP="00A93FFF">
      <w:pPr>
        <w:widowControl w:val="0"/>
        <w:bidi/>
        <w:spacing w:line="264" w:lineRule="auto"/>
        <w:jc w:val="both"/>
        <w:rPr>
          <w:rFonts w:cs="David"/>
          <w:b/>
          <w:bCs/>
          <w:lang w:bidi="he-IL"/>
        </w:rPr>
      </w:pPr>
      <w:r w:rsidRPr="00A93FFF">
        <w:rPr>
          <w:rFonts w:cs="David" w:hint="cs"/>
          <w:b/>
          <w:bCs/>
          <w:rtl/>
          <w:lang w:bidi="he-IL"/>
        </w:rPr>
        <w:t>משמע דהלכה כרבי נתן</w:t>
      </w:r>
      <w:r w:rsidRPr="00A93FFF">
        <w:rPr>
          <w:rFonts w:cs="David"/>
          <w:b/>
          <w:bCs/>
          <w:lang w:bidi="he-IL"/>
        </w:rPr>
        <w:t xml:space="preserve"> </w:t>
      </w:r>
      <w:r w:rsidR="00A93FFF">
        <w:rPr>
          <w:rFonts w:cs="David" w:hint="cs"/>
          <w:b/>
          <w:bCs/>
          <w:rtl/>
          <w:lang w:bidi="he-IL"/>
        </w:rPr>
        <w:t>-</w:t>
      </w:r>
      <w:r w:rsidRPr="00A93FFF">
        <w:rPr>
          <w:rFonts w:cs="David"/>
          <w:b/>
          <w:bCs/>
          <w:lang w:bidi="he-IL"/>
        </w:rPr>
        <w:t xml:space="preserve"> </w:t>
      </w:r>
    </w:p>
    <w:p w:rsidR="0044518E" w:rsidRPr="0079403C" w:rsidRDefault="0044518E" w:rsidP="00505F0D">
      <w:pPr>
        <w:widowControl w:val="0"/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It seems that the </w:t>
      </w:r>
      <w:r>
        <w:rPr>
          <w:rFonts w:hint="cs"/>
          <w:b/>
          <w:bCs/>
          <w:rtl/>
          <w:lang w:bidi="he-IL"/>
        </w:rPr>
        <w:t>הלכה</w:t>
      </w:r>
      <w:r>
        <w:rPr>
          <w:b/>
          <w:bCs/>
          <w:lang w:bidi="he-IL"/>
        </w:rPr>
        <w:t xml:space="preserve"> is like </w:t>
      </w:r>
      <w:r>
        <w:rPr>
          <w:rFonts w:hint="cs"/>
          <w:b/>
          <w:bCs/>
          <w:rtl/>
          <w:lang w:bidi="he-IL"/>
        </w:rPr>
        <w:t>ר"נ</w:t>
      </w:r>
      <w:r>
        <w:rPr>
          <w:b/>
          <w:bCs/>
          <w:lang w:bidi="he-IL"/>
        </w:rPr>
        <w:t xml:space="preserve">. </w:t>
      </w:r>
      <w:r w:rsidRPr="0079403C">
        <w:rPr>
          <w:sz w:val="24"/>
          <w:szCs w:val="24"/>
          <w:lang w:bidi="he-IL"/>
        </w:rPr>
        <w:t xml:space="preserve">The first </w:t>
      </w:r>
      <w:r w:rsidRPr="0079403C">
        <w:rPr>
          <w:rFonts w:hint="cs"/>
          <w:sz w:val="24"/>
          <w:szCs w:val="24"/>
          <w:rtl/>
          <w:lang w:bidi="he-IL"/>
        </w:rPr>
        <w:t>מלוה</w:t>
      </w:r>
      <w:r w:rsidRPr="0079403C">
        <w:rPr>
          <w:sz w:val="24"/>
          <w:szCs w:val="24"/>
          <w:lang w:bidi="he-IL"/>
        </w:rPr>
        <w:t xml:space="preserve"> collects from the last </w:t>
      </w:r>
      <w:r w:rsidRPr="0079403C">
        <w:rPr>
          <w:rFonts w:hint="cs"/>
          <w:sz w:val="24"/>
          <w:szCs w:val="24"/>
          <w:rtl/>
          <w:lang w:bidi="he-IL"/>
        </w:rPr>
        <w:t>לוה</w:t>
      </w:r>
      <w:r w:rsidRPr="0079403C">
        <w:rPr>
          <w:sz w:val="24"/>
          <w:szCs w:val="24"/>
          <w:lang w:bidi="he-IL"/>
        </w:rPr>
        <w:t xml:space="preserve">. </w:t>
      </w:r>
      <w:r w:rsidRPr="0079403C">
        <w:rPr>
          <w:rFonts w:hint="cs"/>
          <w:sz w:val="24"/>
          <w:szCs w:val="24"/>
          <w:rtl/>
          <w:lang w:bidi="he-IL"/>
        </w:rPr>
        <w:t>תוספות</w:t>
      </w:r>
      <w:r w:rsidRPr="0079403C">
        <w:rPr>
          <w:sz w:val="24"/>
          <w:szCs w:val="24"/>
          <w:lang w:bidi="he-IL"/>
        </w:rPr>
        <w:t xml:space="preserve"> derives this from the fact that </w:t>
      </w:r>
      <w:r w:rsidRPr="0079403C">
        <w:rPr>
          <w:rFonts w:hint="cs"/>
          <w:sz w:val="24"/>
          <w:szCs w:val="24"/>
          <w:rtl/>
          <w:lang w:bidi="he-IL"/>
        </w:rPr>
        <w:t>אביי</w:t>
      </w:r>
      <w:r w:rsidRPr="0079403C">
        <w:rPr>
          <w:sz w:val="24"/>
          <w:szCs w:val="24"/>
          <w:lang w:bidi="he-IL"/>
        </w:rPr>
        <w:t xml:space="preserve"> explains the ruling of </w:t>
      </w:r>
      <w:r w:rsidRPr="0079403C">
        <w:rPr>
          <w:rFonts w:hint="cs"/>
          <w:sz w:val="24"/>
          <w:szCs w:val="24"/>
          <w:rtl/>
          <w:lang w:bidi="he-IL"/>
        </w:rPr>
        <w:t>ר"י אמר רב</w:t>
      </w:r>
      <w:r w:rsidRPr="0079403C">
        <w:rPr>
          <w:sz w:val="24"/>
          <w:szCs w:val="24"/>
          <w:lang w:bidi="he-IL"/>
        </w:rPr>
        <w:t xml:space="preserve"> to be valid in a case of </w:t>
      </w:r>
      <w:r w:rsidRPr="0079403C">
        <w:rPr>
          <w:rFonts w:hint="cs"/>
          <w:sz w:val="24"/>
          <w:szCs w:val="24"/>
          <w:rtl/>
          <w:lang w:bidi="he-IL"/>
        </w:rPr>
        <w:t>חב לאחרים</w:t>
      </w:r>
      <w:r w:rsidRPr="0079403C">
        <w:rPr>
          <w:sz w:val="24"/>
          <w:szCs w:val="24"/>
          <w:lang w:bidi="he-IL"/>
        </w:rPr>
        <w:t xml:space="preserve">. The justification of the rule is based on </w:t>
      </w:r>
      <w:r w:rsidRPr="0079403C">
        <w:rPr>
          <w:rFonts w:hint="cs"/>
          <w:sz w:val="24"/>
          <w:szCs w:val="24"/>
          <w:rtl/>
          <w:lang w:bidi="he-IL"/>
        </w:rPr>
        <w:t>שעבודא דר"נ</w:t>
      </w:r>
      <w:r w:rsidRPr="0079403C">
        <w:rPr>
          <w:sz w:val="24"/>
          <w:szCs w:val="24"/>
          <w:lang w:bidi="he-IL"/>
        </w:rPr>
        <w:t xml:space="preserve">. This proves that </w:t>
      </w:r>
      <w:r w:rsidRPr="0079403C">
        <w:rPr>
          <w:rFonts w:hint="cs"/>
          <w:sz w:val="24"/>
          <w:szCs w:val="24"/>
          <w:rtl/>
          <w:lang w:bidi="he-IL"/>
        </w:rPr>
        <w:t>אביי</w:t>
      </w:r>
      <w:r w:rsidRPr="0079403C">
        <w:rPr>
          <w:sz w:val="24"/>
          <w:szCs w:val="24"/>
          <w:lang w:bidi="he-IL"/>
        </w:rPr>
        <w:t xml:space="preserve"> maintained that the </w:t>
      </w:r>
      <w:r w:rsidRPr="0079403C">
        <w:rPr>
          <w:rFonts w:hint="cs"/>
          <w:sz w:val="24"/>
          <w:szCs w:val="24"/>
          <w:rtl/>
          <w:lang w:bidi="he-IL"/>
        </w:rPr>
        <w:t>הלכה</w:t>
      </w:r>
      <w:r w:rsidRPr="0079403C">
        <w:rPr>
          <w:sz w:val="24"/>
          <w:szCs w:val="24"/>
          <w:lang w:bidi="he-IL"/>
        </w:rPr>
        <w:t xml:space="preserve"> is </w:t>
      </w:r>
      <w:r w:rsidRPr="0079403C">
        <w:rPr>
          <w:rFonts w:hint="cs"/>
          <w:sz w:val="24"/>
          <w:szCs w:val="24"/>
          <w:rtl/>
          <w:lang w:bidi="he-IL"/>
        </w:rPr>
        <w:t>כר"נ</w:t>
      </w:r>
      <w:r w:rsidRPr="0079403C">
        <w:rPr>
          <w:sz w:val="24"/>
          <w:szCs w:val="24"/>
          <w:lang w:bidi="he-IL"/>
        </w:rPr>
        <w:t xml:space="preserve">, and furthermore, that </w:t>
      </w:r>
      <w:r w:rsidRPr="0079403C">
        <w:rPr>
          <w:rFonts w:hint="cs"/>
          <w:sz w:val="24"/>
          <w:szCs w:val="24"/>
          <w:rtl/>
          <w:lang w:bidi="he-IL"/>
        </w:rPr>
        <w:t>אביי</w:t>
      </w:r>
      <w:r w:rsidRPr="0079403C">
        <w:rPr>
          <w:sz w:val="24"/>
          <w:szCs w:val="24"/>
          <w:lang w:bidi="he-IL"/>
        </w:rPr>
        <w:t xml:space="preserve"> maintained that </w:t>
      </w:r>
      <w:r w:rsidRPr="0079403C">
        <w:rPr>
          <w:rFonts w:hint="cs"/>
          <w:sz w:val="24"/>
          <w:szCs w:val="24"/>
          <w:rtl/>
          <w:lang w:bidi="he-IL"/>
        </w:rPr>
        <w:t>ר"י אמר רב</w:t>
      </w:r>
      <w:r w:rsidRPr="0079403C">
        <w:rPr>
          <w:sz w:val="24"/>
          <w:szCs w:val="24"/>
          <w:lang w:bidi="he-IL"/>
        </w:rPr>
        <w:t xml:space="preserve"> maintain that the </w:t>
      </w:r>
      <w:r w:rsidRPr="0079403C">
        <w:rPr>
          <w:rFonts w:hint="cs"/>
          <w:sz w:val="24"/>
          <w:szCs w:val="24"/>
          <w:rtl/>
          <w:lang w:bidi="he-IL"/>
        </w:rPr>
        <w:t>הלכה</w:t>
      </w:r>
      <w:r w:rsidRPr="0079403C">
        <w:rPr>
          <w:sz w:val="24"/>
          <w:szCs w:val="24"/>
          <w:lang w:bidi="he-IL"/>
        </w:rPr>
        <w:t xml:space="preserve"> is </w:t>
      </w:r>
      <w:r w:rsidRPr="0079403C">
        <w:rPr>
          <w:rFonts w:hint="cs"/>
          <w:sz w:val="24"/>
          <w:szCs w:val="24"/>
          <w:rtl/>
          <w:lang w:bidi="he-IL"/>
        </w:rPr>
        <w:t>כר"נ</w:t>
      </w:r>
      <w:r w:rsidRPr="0079403C">
        <w:rPr>
          <w:sz w:val="24"/>
          <w:szCs w:val="24"/>
          <w:lang w:bidi="he-IL"/>
        </w:rPr>
        <w:t>.</w:t>
      </w:r>
    </w:p>
    <w:p w:rsidR="0005545B" w:rsidRPr="00A93FFF" w:rsidRDefault="0044518E" w:rsidP="00A93FFF">
      <w:pPr>
        <w:widowControl w:val="0"/>
        <w:bidi/>
        <w:spacing w:line="264" w:lineRule="auto"/>
        <w:jc w:val="both"/>
        <w:rPr>
          <w:b/>
          <w:bCs/>
          <w:lang w:bidi="he-IL"/>
        </w:rPr>
      </w:pPr>
      <w:r w:rsidRPr="00A93FFF">
        <w:rPr>
          <w:rFonts w:cs="David" w:hint="cs"/>
          <w:b/>
          <w:bCs/>
          <w:rtl/>
          <w:lang w:bidi="he-IL"/>
        </w:rPr>
        <w:t>ובגיטין</w:t>
      </w:r>
      <w:r w:rsidR="0005545B" w:rsidRPr="00A93FFF">
        <w:rPr>
          <w:rStyle w:val="FootnoteReference"/>
          <w:rFonts w:cs="David"/>
          <w:b/>
          <w:bCs/>
          <w:rtl/>
          <w:lang w:bidi="he-IL"/>
        </w:rPr>
        <w:footnoteReference w:id="1"/>
      </w:r>
      <w:r w:rsidRPr="00A93FFF">
        <w:rPr>
          <w:rFonts w:cs="David" w:hint="cs"/>
          <w:b/>
          <w:bCs/>
          <w:rtl/>
          <w:lang w:bidi="he-IL"/>
        </w:rPr>
        <w:t xml:space="preserve"> </w:t>
      </w:r>
      <w:r w:rsidRPr="00A93FFF">
        <w:rPr>
          <w:rFonts w:cs="David" w:hint="cs"/>
          <w:b/>
          <w:bCs/>
          <w:sz w:val="20"/>
          <w:szCs w:val="20"/>
          <w:rtl/>
          <w:lang w:bidi="he-IL"/>
        </w:rPr>
        <w:t>(דף לז,א)</w:t>
      </w:r>
      <w:r w:rsidRPr="00A93FFF">
        <w:rPr>
          <w:rFonts w:cs="David" w:hint="cs"/>
          <w:b/>
          <w:bCs/>
          <w:rtl/>
          <w:lang w:bidi="he-IL"/>
        </w:rPr>
        <w:t xml:space="preserve"> פירשנוה</w:t>
      </w:r>
      <w:r w:rsidRPr="00A93FFF">
        <w:rPr>
          <w:rFonts w:cs="David"/>
          <w:b/>
          <w:bCs/>
          <w:lang w:bidi="he-IL"/>
        </w:rPr>
        <w:t xml:space="preserve"> </w:t>
      </w:r>
      <w:r w:rsidR="00A93FFF">
        <w:rPr>
          <w:rFonts w:cs="David" w:hint="cs"/>
          <w:b/>
          <w:bCs/>
          <w:rtl/>
          <w:lang w:bidi="he-IL"/>
        </w:rPr>
        <w:t>-</w:t>
      </w:r>
      <w:r w:rsidRPr="00A93FFF">
        <w:rPr>
          <w:b/>
          <w:bCs/>
          <w:lang w:bidi="he-IL"/>
        </w:rPr>
        <w:t xml:space="preserve"> </w:t>
      </w:r>
    </w:p>
    <w:p w:rsidR="0044518E" w:rsidRPr="008B208B" w:rsidRDefault="0005545B" w:rsidP="0005545B">
      <w:pPr>
        <w:widowControl w:val="0"/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44518E">
        <w:rPr>
          <w:b/>
          <w:bCs/>
          <w:lang w:bidi="he-IL"/>
        </w:rPr>
        <w:t xml:space="preserve"> we explained this in </w:t>
      </w:r>
      <w:r w:rsidR="0044518E">
        <w:rPr>
          <w:rFonts w:hint="cs"/>
          <w:rtl/>
          <w:lang w:bidi="he-IL"/>
        </w:rPr>
        <w:t xml:space="preserve">מסכת </w:t>
      </w:r>
      <w:r w:rsidR="0044518E">
        <w:rPr>
          <w:rFonts w:hint="cs"/>
          <w:b/>
          <w:bCs/>
          <w:rtl/>
          <w:lang w:bidi="he-IL"/>
        </w:rPr>
        <w:t>גיטין</w:t>
      </w:r>
      <w:r w:rsidR="008B208B">
        <w:rPr>
          <w:b/>
          <w:bCs/>
          <w:lang w:bidi="he-IL"/>
        </w:rPr>
        <w:t xml:space="preserve">; </w:t>
      </w:r>
      <w:r w:rsidR="008B208B" w:rsidRPr="008B208B">
        <w:rPr>
          <w:sz w:val="24"/>
          <w:szCs w:val="24"/>
          <w:lang w:bidi="he-IL"/>
        </w:rPr>
        <w:t xml:space="preserve">whether the </w:t>
      </w:r>
      <w:r w:rsidR="008B208B" w:rsidRPr="008B208B">
        <w:rPr>
          <w:rFonts w:hint="cs"/>
          <w:sz w:val="24"/>
          <w:szCs w:val="24"/>
          <w:rtl/>
          <w:lang w:bidi="he-IL"/>
        </w:rPr>
        <w:t>הלכה</w:t>
      </w:r>
      <w:r w:rsidR="008B208B" w:rsidRPr="008B208B">
        <w:rPr>
          <w:sz w:val="24"/>
          <w:szCs w:val="24"/>
          <w:lang w:bidi="he-IL"/>
        </w:rPr>
        <w:t xml:space="preserve"> is </w:t>
      </w:r>
      <w:r w:rsidR="008B208B" w:rsidRPr="008B208B">
        <w:rPr>
          <w:rFonts w:hint="cs"/>
          <w:sz w:val="24"/>
          <w:szCs w:val="24"/>
          <w:rtl/>
          <w:lang w:bidi="he-IL"/>
        </w:rPr>
        <w:t>כר"נ</w:t>
      </w:r>
      <w:r w:rsidR="008B208B" w:rsidRPr="008B208B">
        <w:rPr>
          <w:sz w:val="24"/>
          <w:szCs w:val="24"/>
          <w:lang w:bidi="he-IL"/>
        </w:rPr>
        <w:t xml:space="preserve"> or not</w:t>
      </w:r>
      <w:r w:rsidR="0044518E" w:rsidRPr="008B208B">
        <w:rPr>
          <w:sz w:val="24"/>
          <w:szCs w:val="24"/>
          <w:lang w:bidi="he-IL"/>
        </w:rPr>
        <w:t>.</w:t>
      </w:r>
    </w:p>
    <w:p w:rsidR="0079403C" w:rsidRDefault="0079403C" w:rsidP="00505F0D">
      <w:pPr>
        <w:widowControl w:val="0"/>
        <w:spacing w:line="264" w:lineRule="auto"/>
        <w:jc w:val="both"/>
        <w:rPr>
          <w:b/>
          <w:bCs/>
          <w:sz w:val="24"/>
          <w:szCs w:val="24"/>
          <w:lang w:bidi="he-IL"/>
        </w:rPr>
      </w:pPr>
    </w:p>
    <w:p w:rsidR="0079403C" w:rsidRPr="0005545B" w:rsidRDefault="0079403C" w:rsidP="00505F0D">
      <w:pPr>
        <w:widowControl w:val="0"/>
        <w:spacing w:line="264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05545B">
        <w:rPr>
          <w:rFonts w:ascii="Copperplate Gothic Bold" w:hAnsi="Copperplate Gothic Bold"/>
          <w:u w:val="double"/>
          <w:lang w:bidi="he-IL"/>
        </w:rPr>
        <w:t>Summary</w:t>
      </w:r>
    </w:p>
    <w:p w:rsidR="0079403C" w:rsidRDefault="0079403C" w:rsidP="00A93FFF">
      <w:pPr>
        <w:widowControl w:val="0"/>
        <w:spacing w:line="264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הלכה</w:t>
      </w:r>
      <w:r>
        <w:rPr>
          <w:lang w:bidi="he-IL"/>
        </w:rPr>
        <w:t xml:space="preserve"> is </w:t>
      </w:r>
      <w:r w:rsidR="00A93FFF">
        <w:rPr>
          <w:lang w:bidi="he-IL"/>
        </w:rPr>
        <w:t>like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>.</w:t>
      </w:r>
    </w:p>
    <w:p w:rsidR="0079403C" w:rsidRPr="008B208B" w:rsidRDefault="0079403C" w:rsidP="00505F0D">
      <w:pPr>
        <w:widowControl w:val="0"/>
        <w:spacing w:line="264" w:lineRule="auto"/>
        <w:jc w:val="both"/>
        <w:rPr>
          <w:sz w:val="24"/>
          <w:szCs w:val="24"/>
          <w:lang w:bidi="he-IL"/>
        </w:rPr>
      </w:pPr>
    </w:p>
    <w:p w:rsidR="0079403C" w:rsidRPr="0005545B" w:rsidRDefault="0079403C" w:rsidP="00505F0D">
      <w:pPr>
        <w:widowControl w:val="0"/>
        <w:spacing w:line="264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05545B">
        <w:rPr>
          <w:rFonts w:ascii="Copperplate Gothic Bold" w:hAnsi="Copperplate Gothic Bold"/>
          <w:u w:val="double"/>
          <w:lang w:bidi="he-IL"/>
        </w:rPr>
        <w:t>Thinking it over</w:t>
      </w:r>
    </w:p>
    <w:p w:rsidR="0079403C" w:rsidRPr="0079403C" w:rsidRDefault="00940B16" w:rsidP="00505F0D">
      <w:pPr>
        <w:widowControl w:val="0"/>
        <w:spacing w:line="264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says that from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it is (only) </w:t>
      </w:r>
      <w:r>
        <w:rPr>
          <w:rFonts w:hint="cs"/>
          <w:rtl/>
          <w:lang w:bidi="he-IL"/>
        </w:rPr>
        <w:t>משמע</w:t>
      </w:r>
      <w:r>
        <w:rPr>
          <w:lang w:bidi="he-IL"/>
        </w:rPr>
        <w:t xml:space="preserve"> [it seems] that the </w:t>
      </w:r>
      <w:r>
        <w:rPr>
          <w:rFonts w:hint="cs"/>
          <w:rtl/>
          <w:lang w:bidi="he-IL"/>
        </w:rPr>
        <w:t>הלכה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כר"נ</w:t>
      </w:r>
      <w:r>
        <w:rPr>
          <w:lang w:bidi="he-IL"/>
        </w:rPr>
        <w:t xml:space="preserve">. Why did not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say that it is </w:t>
      </w:r>
      <w:r>
        <w:rPr>
          <w:rFonts w:hint="cs"/>
          <w:rtl/>
          <w:lang w:bidi="he-IL"/>
        </w:rPr>
        <w:t>מוכח</w:t>
      </w:r>
      <w:r>
        <w:rPr>
          <w:lang w:bidi="he-IL"/>
        </w:rPr>
        <w:t xml:space="preserve"> [it is evident] that the </w:t>
      </w:r>
      <w:r>
        <w:rPr>
          <w:rFonts w:hint="cs"/>
          <w:rtl/>
          <w:lang w:bidi="he-IL"/>
        </w:rPr>
        <w:t>הלכה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כר"נ</w:t>
      </w:r>
      <w:r>
        <w:rPr>
          <w:lang w:bidi="he-IL"/>
        </w:rPr>
        <w:t>?</w:t>
      </w:r>
    </w:p>
    <w:sectPr w:rsidR="0079403C" w:rsidRPr="0079403C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9FE" w:rsidRDefault="00BF09FE">
      <w:r>
        <w:separator/>
      </w:r>
    </w:p>
  </w:endnote>
  <w:endnote w:type="continuationSeparator" w:id="0">
    <w:p w:rsidR="00BF09FE" w:rsidRDefault="00BF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08B" w:rsidRPr="00A93FFF" w:rsidRDefault="00A93FFF" w:rsidP="00A93FFF">
    <w:pPr>
      <w:pStyle w:val="Footer"/>
      <w:jc w:val="center"/>
      <w:rPr>
        <w:sz w:val="16"/>
        <w:szCs w:val="16"/>
        <w:rtl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9FE" w:rsidRDefault="00BF09FE">
      <w:r>
        <w:separator/>
      </w:r>
    </w:p>
  </w:footnote>
  <w:footnote w:type="continuationSeparator" w:id="0">
    <w:p w:rsidR="00BF09FE" w:rsidRDefault="00BF09FE">
      <w:r>
        <w:continuationSeparator/>
      </w:r>
    </w:p>
  </w:footnote>
  <w:footnote w:id="1">
    <w:p w:rsidR="0005545B" w:rsidRDefault="0005545B" w:rsidP="0005545B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there </w:t>
      </w:r>
      <w:r>
        <w:rPr>
          <w:rFonts w:hint="cs"/>
          <w:rtl/>
          <w:lang w:bidi="he-IL"/>
        </w:rPr>
        <w:t>תוספות ד"ה מדרבי</w:t>
      </w:r>
      <w:r>
        <w:rPr>
          <w:lang w:bidi="he-IL"/>
        </w:rPr>
        <w:t xml:space="preserve">. Actually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discusses this at greater length in </w:t>
      </w:r>
      <w:r>
        <w:rPr>
          <w:rFonts w:hint="cs"/>
          <w:rtl/>
          <w:lang w:bidi="he-IL"/>
        </w:rPr>
        <w:t>קידושין טו,א תוד"ה ואידך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08B" w:rsidRPr="0044518E" w:rsidRDefault="008B208B" w:rsidP="0044518E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יט,א תוס' ד"ה מנין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8E"/>
    <w:rsid w:val="0005545B"/>
    <w:rsid w:val="00184D2E"/>
    <w:rsid w:val="0020216B"/>
    <w:rsid w:val="00210A1E"/>
    <w:rsid w:val="003F6705"/>
    <w:rsid w:val="0044518E"/>
    <w:rsid w:val="00505F0D"/>
    <w:rsid w:val="00661E42"/>
    <w:rsid w:val="00671C9E"/>
    <w:rsid w:val="007552E7"/>
    <w:rsid w:val="0079403C"/>
    <w:rsid w:val="0089054C"/>
    <w:rsid w:val="008B208B"/>
    <w:rsid w:val="00931076"/>
    <w:rsid w:val="00940B16"/>
    <w:rsid w:val="00A93FFF"/>
    <w:rsid w:val="00B6464F"/>
    <w:rsid w:val="00BF09FE"/>
    <w:rsid w:val="00D322D4"/>
    <w:rsid w:val="00D54370"/>
    <w:rsid w:val="00D80DE2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FC0F6DF-22E4-4FE2-A839-A2097EAC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451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8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79403C"/>
    <w:rPr>
      <w:sz w:val="20"/>
      <w:szCs w:val="20"/>
    </w:rPr>
  </w:style>
  <w:style w:type="character" w:styleId="FootnoteReference">
    <w:name w:val="footnote reference"/>
    <w:semiHidden/>
    <w:rsid w:val="007940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מנין לנושה בחבירו כולי – How do we know, that someone who has a claim against his friend, etc</vt:lpstr>
    </vt:vector>
  </TitlesOfParts>
  <Company> 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מנין לנושה בחבירו כולי – How do we know, that someone who has a claim against his friend, etc</dc:title>
  <dc:subject/>
  <dc:creator> </dc:creator>
  <cp:keywords/>
  <dc:description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