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1F" w:rsidRDefault="003D7D7C" w:rsidP="00C21382">
      <w:pPr>
        <w:bidi/>
        <w:spacing w:line="276" w:lineRule="auto"/>
        <w:jc w:val="both"/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דאמר</w:t>
      </w:r>
      <w:r w:rsidR="0083211F">
        <w:rPr>
          <w:rFonts w:hint="cs"/>
          <w:b/>
          <w:bCs/>
          <w:sz w:val="32"/>
          <w:szCs w:val="32"/>
          <w:rtl/>
        </w:rPr>
        <w:t xml:space="preserve"> מר אין לך דבר כולי </w:t>
      </w:r>
      <w:r w:rsidR="0083211F">
        <w:rPr>
          <w:b/>
          <w:bCs/>
          <w:sz w:val="32"/>
          <w:szCs w:val="32"/>
        </w:rPr>
        <w:t>–</w:t>
      </w:r>
      <w:r w:rsidR="0083211F">
        <w:rPr>
          <w:rFonts w:hint="cs"/>
          <w:b/>
          <w:bCs/>
          <w:sz w:val="32"/>
          <w:szCs w:val="32"/>
          <w:rtl/>
        </w:rPr>
        <w:t xml:space="preserve"> </w:t>
      </w:r>
      <w:r w:rsidR="0083211F">
        <w:rPr>
          <w:b/>
          <w:bCs/>
          <w:sz w:val="32"/>
          <w:szCs w:val="32"/>
        </w:rPr>
        <w:t>For the master said, there is nothing, etc.</w:t>
      </w:r>
      <w:r w:rsidR="0083211F">
        <w:rPr>
          <w:b/>
          <w:bCs/>
          <w:sz w:val="16"/>
          <w:szCs w:val="16"/>
        </w:rPr>
        <w:t xml:space="preserve"> </w:t>
      </w:r>
      <w:r w:rsidR="00C21382">
        <w:rPr>
          <w:b/>
          <w:bCs/>
          <w:sz w:val="16"/>
          <w:szCs w:val="16"/>
        </w:rPr>
        <w:t xml:space="preserve">  </w:t>
      </w:r>
    </w:p>
    <w:p w:rsidR="00887CA8" w:rsidRDefault="00887CA8" w:rsidP="0083211F">
      <w:pPr>
        <w:spacing w:line="276" w:lineRule="auto"/>
        <w:jc w:val="both"/>
      </w:pPr>
    </w:p>
    <w:p w:rsidR="00887CA8" w:rsidRPr="0083211F" w:rsidRDefault="00EF1B81" w:rsidP="0083211F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83211F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EF1B81" w:rsidRPr="00EF1B81" w:rsidRDefault="00EF1B81" w:rsidP="0083211F">
      <w:p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רבא</w:t>
      </w:r>
      <w:r>
        <w:rPr>
          <w:sz w:val="28"/>
          <w:szCs w:val="28"/>
        </w:rPr>
        <w:t xml:space="preserve"> asked that we cannot fault 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for signing falsely under duress (of the loss of life) for </w:t>
      </w:r>
      <w:r>
        <w:rPr>
          <w:rFonts w:hint="cs"/>
          <w:sz w:val="28"/>
          <w:szCs w:val="28"/>
          <w:rtl/>
        </w:rPr>
        <w:t>ר' יוחנן</w:t>
      </w:r>
      <w:r>
        <w:rPr>
          <w:sz w:val="28"/>
          <w:szCs w:val="28"/>
        </w:rPr>
        <w:t xml:space="preserve"> states that only in three instances must one forfeit his life to avoid transgressing an </w:t>
      </w:r>
      <w:r>
        <w:rPr>
          <w:rFonts w:hint="cs"/>
          <w:sz w:val="28"/>
          <w:szCs w:val="28"/>
          <w:rtl/>
        </w:rPr>
        <w:t>עבירה</w:t>
      </w:r>
      <w:r>
        <w:rPr>
          <w:sz w:val="28"/>
          <w:szCs w:val="28"/>
        </w:rPr>
        <w:t>.</w:t>
      </w:r>
      <w:r w:rsidR="00AD2E8B">
        <w:rPr>
          <w:sz w:val="28"/>
          <w:szCs w:val="28"/>
        </w:rPr>
        <w:t xml:space="preserve"> It would seem that </w:t>
      </w:r>
      <w:r w:rsidR="00AD2E8B">
        <w:rPr>
          <w:rFonts w:hint="cs"/>
          <w:sz w:val="28"/>
          <w:szCs w:val="28"/>
          <w:rtl/>
        </w:rPr>
        <w:t>רבא</w:t>
      </w:r>
      <w:r w:rsidR="00AD2E8B">
        <w:rPr>
          <w:sz w:val="28"/>
          <w:szCs w:val="28"/>
        </w:rPr>
        <w:t xml:space="preserve"> agrees to this ruling. </w:t>
      </w:r>
      <w:r w:rsidR="00AD2E8B">
        <w:rPr>
          <w:rFonts w:hint="cs"/>
          <w:sz w:val="28"/>
          <w:szCs w:val="28"/>
          <w:rtl/>
        </w:rPr>
        <w:t>תוספות</w:t>
      </w:r>
      <w:r w:rsidR="00AD2E8B">
        <w:rPr>
          <w:sz w:val="28"/>
          <w:szCs w:val="28"/>
        </w:rPr>
        <w:t xml:space="preserve"> points out that it is not necessarily so</w:t>
      </w:r>
      <w:r w:rsidR="00AD2E8B">
        <w:rPr>
          <w:rStyle w:val="FootnoteReference"/>
          <w:sz w:val="28"/>
          <w:szCs w:val="28"/>
        </w:rPr>
        <w:footnoteReference w:id="1"/>
      </w:r>
      <w:r w:rsidR="00AD2E8B">
        <w:rPr>
          <w:sz w:val="28"/>
          <w:szCs w:val="28"/>
        </w:rPr>
        <w:t>.</w:t>
      </w:r>
    </w:p>
    <w:p w:rsidR="00887CA8" w:rsidRDefault="00AD2E8B" w:rsidP="0083211F">
      <w:pPr>
        <w:spacing w:line="276" w:lineRule="auto"/>
        <w:jc w:val="center"/>
      </w:pPr>
      <w:r>
        <w:t>-----------------</w:t>
      </w:r>
    </w:p>
    <w:p w:rsidR="0083211F" w:rsidRPr="00D427CE" w:rsidRDefault="00887CA8" w:rsidP="0083211F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D427CE">
        <w:rPr>
          <w:rFonts w:cs="David" w:hint="cs"/>
          <w:b/>
          <w:bCs/>
          <w:sz w:val="28"/>
          <w:szCs w:val="28"/>
          <w:rtl/>
        </w:rPr>
        <w:t>פירוש</w:t>
      </w:r>
      <w:r w:rsidR="0083211F" w:rsidRPr="00D427CE">
        <w:rPr>
          <w:rStyle w:val="FootnoteReference"/>
          <w:rFonts w:cs="David"/>
          <w:b/>
          <w:bCs/>
          <w:sz w:val="28"/>
          <w:szCs w:val="28"/>
        </w:rPr>
        <w:footnoteReference w:id="2"/>
      </w:r>
      <w:r w:rsidR="0083211F" w:rsidRPr="00D427CE">
        <w:rPr>
          <w:rFonts w:cs="David" w:hint="cs"/>
          <w:b/>
          <w:bCs/>
          <w:sz w:val="28"/>
          <w:szCs w:val="28"/>
          <w:rtl/>
        </w:rPr>
        <w:t xml:space="preserve"> אפילו למאן דמחמיר לא מחמיר אלא בהנך</w:t>
      </w:r>
      <w:r w:rsidRPr="00D427CE">
        <w:rPr>
          <w:rFonts w:cs="David"/>
          <w:b/>
          <w:bCs/>
          <w:sz w:val="28"/>
          <w:szCs w:val="28"/>
        </w:rPr>
        <w:t xml:space="preserve"> – </w:t>
      </w:r>
    </w:p>
    <w:p w:rsidR="00887CA8" w:rsidRDefault="00887CA8" w:rsidP="0083211F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The explanation </w:t>
      </w:r>
      <w:r w:rsidRPr="0083211F">
        <w:rPr>
          <w:sz w:val="28"/>
          <w:szCs w:val="28"/>
        </w:rPr>
        <w:t>in citing this ruling is to be understood as follows</w:t>
      </w:r>
      <w:r w:rsidR="0083211F">
        <w:rPr>
          <w:sz w:val="28"/>
          <w:szCs w:val="28"/>
        </w:rPr>
        <w:t>;</w:t>
      </w:r>
      <w:r w:rsidRPr="0083211F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even according to the more stringent </w:t>
      </w:r>
      <w:r w:rsidRPr="0083211F">
        <w:rPr>
          <w:sz w:val="28"/>
          <w:szCs w:val="28"/>
        </w:rPr>
        <w:t>view in these matters</w:t>
      </w:r>
      <w:r w:rsidR="0007196F">
        <w:rPr>
          <w:sz w:val="28"/>
          <w:szCs w:val="28"/>
        </w:rPr>
        <w:t>,</w:t>
      </w:r>
      <w:r w:rsidRPr="0083211F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he is not stringent </w:t>
      </w:r>
      <w:r>
        <w:rPr>
          <w:sz w:val="28"/>
          <w:szCs w:val="28"/>
        </w:rPr>
        <w:t xml:space="preserve">concerning all commandments (that one must give up his life so as not to transgress any commandment), </w:t>
      </w:r>
      <w:r>
        <w:rPr>
          <w:b/>
          <w:bCs/>
          <w:sz w:val="28"/>
          <w:szCs w:val="28"/>
        </w:rPr>
        <w:t xml:space="preserve">but rather only in these </w:t>
      </w:r>
      <w:r w:rsidRPr="00887CA8">
        <w:t xml:space="preserve">commandments of </w:t>
      </w:r>
      <w:r w:rsidRPr="00887CA8">
        <w:rPr>
          <w:rFonts w:hint="cs"/>
          <w:rtl/>
        </w:rPr>
        <w:t xml:space="preserve">ע"ז ג"ע </w:t>
      </w:r>
      <w:r w:rsidR="00AD2E8B">
        <w:rPr>
          <w:rFonts w:hint="cs"/>
          <w:rtl/>
        </w:rPr>
        <w:t>ושפ"ד</w:t>
      </w:r>
      <w:r w:rsidRPr="00887CA8">
        <w:t xml:space="preserve"> is one obligated to be </w:t>
      </w:r>
      <w:r w:rsidRPr="00887CA8">
        <w:rPr>
          <w:rFonts w:hint="cs"/>
          <w:rtl/>
        </w:rPr>
        <w:t>מוסר נפש</w:t>
      </w:r>
      <w:r w:rsidRPr="00887CA8">
        <w:t xml:space="preserve">. </w:t>
      </w:r>
    </w:p>
    <w:p w:rsidR="00887CA8" w:rsidRDefault="00887CA8" w:rsidP="0083211F">
      <w:pPr>
        <w:spacing w:line="276" w:lineRule="auto"/>
        <w:jc w:val="both"/>
      </w:pPr>
    </w:p>
    <w:p w:rsidR="00887CA8" w:rsidRDefault="00887CA8" w:rsidP="0083211F">
      <w:pPr>
        <w:spacing w:line="276" w:lineRule="auto"/>
        <w:jc w:val="both"/>
      </w:pPr>
      <w:r>
        <w:rPr>
          <w:rFonts w:hint="cs"/>
          <w:rtl/>
        </w:rPr>
        <w:t>תוספות</w:t>
      </w:r>
      <w:r>
        <w:t xml:space="preserve"> explains why we must interpret the citation in this manner</w:t>
      </w:r>
      <w:r w:rsidR="00AD2E8B">
        <w:t>,</w:t>
      </w:r>
      <w:r>
        <w:t xml:space="preserve"> and not simply that </w:t>
      </w:r>
      <w:r>
        <w:rPr>
          <w:rFonts w:hint="cs"/>
          <w:rtl/>
        </w:rPr>
        <w:t>רבא</w:t>
      </w:r>
      <w:r>
        <w:t xml:space="preserve"> is citing a ruling </w:t>
      </w:r>
      <w:r>
        <w:rPr>
          <w:rFonts w:hint="cs"/>
          <w:rtl/>
        </w:rPr>
        <w:t>(להלכה)</w:t>
      </w:r>
      <w:r>
        <w:t>:</w:t>
      </w:r>
    </w:p>
    <w:p w:rsidR="0083211F" w:rsidRPr="00D427CE" w:rsidRDefault="00887CA8" w:rsidP="0007196F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D427CE">
        <w:rPr>
          <w:rFonts w:cs="David" w:hint="cs"/>
          <w:b/>
          <w:bCs/>
          <w:sz w:val="28"/>
          <w:szCs w:val="28"/>
          <w:rtl/>
        </w:rPr>
        <w:t>דרבא גופיה קסבר</w:t>
      </w:r>
      <w:r w:rsidR="0083211F" w:rsidRPr="00D427CE">
        <w:rPr>
          <w:rFonts w:cs="David" w:hint="cs"/>
          <w:b/>
          <w:bCs/>
          <w:sz w:val="28"/>
          <w:szCs w:val="28"/>
          <w:rtl/>
        </w:rPr>
        <w:t xml:space="preserve"> דאפילו בהני אינו חייב למסור עצמו בצינעא</w:t>
      </w:r>
      <w:r w:rsidRPr="00D427CE">
        <w:rPr>
          <w:rFonts w:cs="David"/>
          <w:b/>
          <w:bCs/>
          <w:sz w:val="28"/>
          <w:szCs w:val="28"/>
        </w:rPr>
        <w:t xml:space="preserve"> </w:t>
      </w:r>
      <w:r w:rsidR="0007196F">
        <w:rPr>
          <w:rFonts w:cs="David" w:hint="cs"/>
          <w:b/>
          <w:bCs/>
          <w:sz w:val="28"/>
          <w:szCs w:val="28"/>
          <w:rtl/>
        </w:rPr>
        <w:t>-</w:t>
      </w:r>
      <w:r w:rsidRPr="00D427CE">
        <w:rPr>
          <w:rFonts w:cs="David"/>
          <w:b/>
          <w:bCs/>
          <w:sz w:val="28"/>
          <w:szCs w:val="28"/>
        </w:rPr>
        <w:t xml:space="preserve"> </w:t>
      </w:r>
    </w:p>
    <w:p w:rsidR="00513E0E" w:rsidRPr="00513E0E" w:rsidRDefault="00887CA8" w:rsidP="0083211F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 </w:t>
      </w:r>
      <w:r>
        <w:rPr>
          <w:rFonts w:hint="cs"/>
          <w:b/>
          <w:bCs/>
          <w:sz w:val="28"/>
          <w:szCs w:val="28"/>
          <w:rtl/>
        </w:rPr>
        <w:t>רבא</w:t>
      </w:r>
      <w:r>
        <w:rPr>
          <w:b/>
          <w:bCs/>
          <w:sz w:val="28"/>
          <w:szCs w:val="28"/>
        </w:rPr>
        <w:t xml:space="preserve"> himself maintains </w:t>
      </w:r>
      <w:r w:rsidR="00513E0E">
        <w:rPr>
          <w:b/>
          <w:bCs/>
          <w:sz w:val="28"/>
          <w:szCs w:val="28"/>
        </w:rPr>
        <w:t xml:space="preserve">that even by these </w:t>
      </w:r>
      <w:r w:rsidR="00513E0E">
        <w:rPr>
          <w:sz w:val="28"/>
          <w:szCs w:val="28"/>
        </w:rPr>
        <w:t xml:space="preserve">three </w:t>
      </w:r>
      <w:r w:rsidR="00513E0E">
        <w:rPr>
          <w:rFonts w:hint="cs"/>
          <w:sz w:val="28"/>
          <w:szCs w:val="28"/>
          <w:rtl/>
        </w:rPr>
        <w:t>עבירות</w:t>
      </w:r>
      <w:r w:rsidR="0007196F">
        <w:rPr>
          <w:sz w:val="28"/>
          <w:szCs w:val="28"/>
        </w:rPr>
        <w:t>,</w:t>
      </w:r>
      <w:r w:rsidR="00513E0E">
        <w:rPr>
          <w:sz w:val="28"/>
          <w:szCs w:val="28"/>
        </w:rPr>
        <w:t xml:space="preserve"> </w:t>
      </w:r>
      <w:r w:rsidR="00513E0E">
        <w:rPr>
          <w:b/>
          <w:bCs/>
          <w:sz w:val="28"/>
          <w:szCs w:val="28"/>
        </w:rPr>
        <w:t xml:space="preserve">one is not obligated  to give up his life </w:t>
      </w:r>
      <w:r w:rsidR="00513E0E">
        <w:rPr>
          <w:sz w:val="28"/>
          <w:szCs w:val="28"/>
        </w:rPr>
        <w:t xml:space="preserve">if it is done </w:t>
      </w:r>
      <w:r w:rsidR="00513E0E">
        <w:rPr>
          <w:b/>
          <w:bCs/>
          <w:sz w:val="28"/>
          <w:szCs w:val="28"/>
        </w:rPr>
        <w:t>privately</w:t>
      </w:r>
      <w:r w:rsidR="00513E0E">
        <w:rPr>
          <w:sz w:val="28"/>
          <w:szCs w:val="28"/>
        </w:rPr>
        <w:t xml:space="preserve"> </w:t>
      </w:r>
      <w:r w:rsidR="00513E0E" w:rsidRPr="00513E0E">
        <w:t xml:space="preserve">as </w:t>
      </w:r>
      <w:r w:rsidR="0083211F">
        <w:rPr>
          <w:rFonts w:hint="cs"/>
          <w:rtl/>
        </w:rPr>
        <w:t>רבא</w:t>
      </w:r>
      <w:r w:rsidR="00513E0E" w:rsidRPr="00513E0E">
        <w:t xml:space="preserve"> states it –</w:t>
      </w:r>
    </w:p>
    <w:p w:rsidR="0083211F" w:rsidRPr="00D427CE" w:rsidRDefault="00513E0E" w:rsidP="0007196F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D427CE">
        <w:rPr>
          <w:rFonts w:cs="David" w:hint="cs"/>
          <w:b/>
          <w:bCs/>
          <w:sz w:val="28"/>
          <w:szCs w:val="28"/>
          <w:rtl/>
        </w:rPr>
        <w:t>במסכת עבודה זרה בפרק רבי ישמעאל</w:t>
      </w:r>
      <w:r w:rsidRPr="00D427CE">
        <w:rPr>
          <w:rFonts w:cs="David" w:hint="cs"/>
          <w:b/>
          <w:bCs/>
          <w:sz w:val="20"/>
          <w:szCs w:val="20"/>
          <w:rtl/>
        </w:rPr>
        <w:t xml:space="preserve"> (דף נד,א ושם)</w:t>
      </w:r>
      <w:r w:rsidR="0083211F" w:rsidRPr="00D427CE">
        <w:rPr>
          <w:rFonts w:cs="David" w:hint="cs"/>
          <w:b/>
          <w:bCs/>
          <w:sz w:val="28"/>
          <w:szCs w:val="28"/>
          <w:rtl/>
        </w:rPr>
        <w:t xml:space="preserve"> ואין חילוק בין הנך</w:t>
      </w:r>
      <w:r w:rsidR="00D427CE">
        <w:rPr>
          <w:rStyle w:val="FootnoteReference"/>
          <w:rFonts w:cs="David"/>
          <w:b/>
          <w:bCs/>
          <w:sz w:val="28"/>
          <w:szCs w:val="28"/>
          <w:rtl/>
        </w:rPr>
        <w:footnoteReference w:id="3"/>
      </w:r>
      <w:r w:rsidR="0083211F" w:rsidRPr="00D427CE">
        <w:rPr>
          <w:rFonts w:cs="David" w:hint="cs"/>
          <w:b/>
          <w:bCs/>
          <w:sz w:val="28"/>
          <w:szCs w:val="28"/>
          <w:rtl/>
        </w:rPr>
        <w:t xml:space="preserve"> לשאר</w:t>
      </w:r>
      <w:r w:rsidR="0007196F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513E0E" w:rsidRPr="00513E0E" w:rsidRDefault="00513E0E" w:rsidP="0083211F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in </w:t>
      </w:r>
      <w:r>
        <w:rPr>
          <w:rFonts w:hint="cs"/>
          <w:b/>
          <w:bCs/>
          <w:sz w:val="28"/>
          <w:szCs w:val="28"/>
          <w:rtl/>
        </w:rPr>
        <w:t>מסכת ע"</w:t>
      </w:r>
      <w:r w:rsidR="00AD2E8B">
        <w:rPr>
          <w:rFonts w:hint="cs"/>
          <w:b/>
          <w:bCs/>
          <w:sz w:val="28"/>
          <w:szCs w:val="28"/>
          <w:rtl/>
        </w:rPr>
        <w:t>ז</w:t>
      </w:r>
      <w:r>
        <w:rPr>
          <w:b/>
          <w:bCs/>
          <w:sz w:val="28"/>
          <w:szCs w:val="28"/>
        </w:rPr>
        <w:t xml:space="preserve"> in </w:t>
      </w:r>
      <w:r>
        <w:rPr>
          <w:rFonts w:hint="cs"/>
          <w:b/>
          <w:bCs/>
          <w:sz w:val="28"/>
          <w:szCs w:val="28"/>
          <w:rtl/>
        </w:rPr>
        <w:t>פרק ר"י</w:t>
      </w:r>
      <w:r w:rsidR="0007196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and </w:t>
      </w:r>
      <w:r>
        <w:rPr>
          <w:sz w:val="28"/>
          <w:szCs w:val="28"/>
        </w:rPr>
        <w:t xml:space="preserve">according to </w:t>
      </w:r>
      <w:r>
        <w:rPr>
          <w:rFonts w:hint="cs"/>
          <w:sz w:val="28"/>
          <w:szCs w:val="28"/>
          <w:rtl/>
        </w:rPr>
        <w:t>רבא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there is no difference between these </w:t>
      </w:r>
      <w:r>
        <w:rPr>
          <w:sz w:val="28"/>
          <w:szCs w:val="28"/>
        </w:rPr>
        <w:t xml:space="preserve">three </w:t>
      </w:r>
      <w:r>
        <w:rPr>
          <w:b/>
          <w:bCs/>
          <w:sz w:val="28"/>
          <w:szCs w:val="28"/>
        </w:rPr>
        <w:t xml:space="preserve">to the rest </w:t>
      </w:r>
      <w:r w:rsidRPr="00513E0E">
        <w:t xml:space="preserve">of the </w:t>
      </w:r>
      <w:r w:rsidRPr="00513E0E">
        <w:rPr>
          <w:rFonts w:hint="cs"/>
          <w:rtl/>
        </w:rPr>
        <w:t>מצות</w:t>
      </w:r>
      <w:r w:rsidRPr="00513E0E">
        <w:t xml:space="preserve">; in private there is never an obligation for </w:t>
      </w:r>
      <w:r w:rsidRPr="00513E0E">
        <w:rPr>
          <w:rFonts w:hint="cs"/>
          <w:rtl/>
        </w:rPr>
        <w:t>מסירת נפש</w:t>
      </w:r>
      <w:r w:rsidRPr="00513E0E">
        <w:t xml:space="preserve"> –</w:t>
      </w:r>
    </w:p>
    <w:p w:rsidR="00D427CE" w:rsidRPr="00D427CE" w:rsidRDefault="00513E0E" w:rsidP="0007196F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D427CE">
        <w:rPr>
          <w:rFonts w:cs="David" w:hint="cs"/>
          <w:b/>
          <w:bCs/>
          <w:sz w:val="28"/>
          <w:szCs w:val="28"/>
          <w:rtl/>
        </w:rPr>
        <w:t>ובפרהסיא</w:t>
      </w:r>
      <w:r w:rsidR="00D427CE">
        <w:rPr>
          <w:rStyle w:val="FootnoteReference"/>
          <w:rFonts w:cs="David"/>
          <w:b/>
          <w:bCs/>
          <w:sz w:val="28"/>
          <w:szCs w:val="28"/>
          <w:rtl/>
        </w:rPr>
        <w:footnoteReference w:id="4"/>
      </w:r>
      <w:r w:rsidRPr="00D427CE">
        <w:rPr>
          <w:rFonts w:cs="David" w:hint="cs"/>
          <w:b/>
          <w:bCs/>
          <w:sz w:val="28"/>
          <w:szCs w:val="28"/>
          <w:rtl/>
        </w:rPr>
        <w:t xml:space="preserve"> בכולהו יהרג ולא יעבור</w:t>
      </w:r>
      <w:r w:rsidR="0007196F">
        <w:rPr>
          <w:rFonts w:cs="David" w:hint="cs"/>
          <w:b/>
          <w:bCs/>
          <w:sz w:val="28"/>
          <w:szCs w:val="28"/>
          <w:rtl/>
        </w:rPr>
        <w:t>:</w:t>
      </w:r>
    </w:p>
    <w:p w:rsidR="00513E0E" w:rsidRDefault="00D427CE" w:rsidP="0083211F">
      <w:pPr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513E0E">
        <w:rPr>
          <w:b/>
          <w:bCs/>
          <w:sz w:val="28"/>
          <w:szCs w:val="28"/>
        </w:rPr>
        <w:t xml:space="preserve"> in public, by all </w:t>
      </w:r>
      <w:r w:rsidR="00513E0E">
        <w:rPr>
          <w:rFonts w:hint="cs"/>
          <w:b/>
          <w:bCs/>
          <w:sz w:val="28"/>
          <w:szCs w:val="28"/>
          <w:rtl/>
        </w:rPr>
        <w:t>מצות</w:t>
      </w:r>
      <w:r w:rsidR="00513E0E">
        <w:rPr>
          <w:b/>
          <w:bCs/>
          <w:sz w:val="28"/>
          <w:szCs w:val="28"/>
        </w:rPr>
        <w:t xml:space="preserve"> one should </w:t>
      </w:r>
      <w:r w:rsidR="00513E0E">
        <w:rPr>
          <w:sz w:val="28"/>
          <w:szCs w:val="28"/>
        </w:rPr>
        <w:t xml:space="preserve">rather allow himself </w:t>
      </w:r>
      <w:r w:rsidR="00513E0E">
        <w:rPr>
          <w:b/>
          <w:bCs/>
          <w:sz w:val="28"/>
          <w:szCs w:val="28"/>
        </w:rPr>
        <w:t xml:space="preserve">to be killed and not transgress </w:t>
      </w:r>
      <w:r w:rsidR="00513E0E" w:rsidRPr="00513E0E">
        <w:t xml:space="preserve">any </w:t>
      </w:r>
      <w:r w:rsidR="00513E0E" w:rsidRPr="00513E0E">
        <w:rPr>
          <w:rFonts w:hint="cs"/>
          <w:rtl/>
        </w:rPr>
        <w:t>מצוה</w:t>
      </w:r>
      <w:r w:rsidR="00513E0E" w:rsidRPr="00513E0E">
        <w:t xml:space="preserve">. Therefore when </w:t>
      </w:r>
      <w:r w:rsidR="00513E0E" w:rsidRPr="00513E0E">
        <w:rPr>
          <w:rFonts w:hint="cs"/>
          <w:rtl/>
        </w:rPr>
        <w:t>רבא</w:t>
      </w:r>
      <w:r w:rsidR="00513E0E" w:rsidRPr="00513E0E">
        <w:t xml:space="preserve"> is citing this statement it cannot be </w:t>
      </w:r>
      <w:r w:rsidR="00513E0E" w:rsidRPr="00513E0E">
        <w:rPr>
          <w:rFonts w:hint="cs"/>
          <w:rtl/>
        </w:rPr>
        <w:t>להלכה</w:t>
      </w:r>
      <w:r w:rsidR="00513E0E" w:rsidRPr="00513E0E">
        <w:t xml:space="preserve">; but rather he is saying even the strictest opinion does not require </w:t>
      </w:r>
      <w:r w:rsidR="00513E0E" w:rsidRPr="00513E0E">
        <w:rPr>
          <w:rFonts w:hint="cs"/>
          <w:rtl/>
        </w:rPr>
        <w:t>יהרג ואל יעבר</w:t>
      </w:r>
      <w:r w:rsidR="00513E0E" w:rsidRPr="00513E0E">
        <w:t xml:space="preserve"> </w:t>
      </w:r>
      <w:r w:rsidR="00513E0E">
        <w:t>for</w:t>
      </w:r>
      <w:r w:rsidR="00513E0E" w:rsidRPr="00513E0E">
        <w:t xml:space="preserve"> signing falsely on a </w:t>
      </w:r>
      <w:r w:rsidR="00513E0E" w:rsidRPr="00513E0E">
        <w:rPr>
          <w:rFonts w:hint="cs"/>
          <w:rtl/>
        </w:rPr>
        <w:t>שטר</w:t>
      </w:r>
      <w:r w:rsidR="00513E0E" w:rsidRPr="00513E0E">
        <w:t>.</w:t>
      </w:r>
    </w:p>
    <w:p w:rsidR="00AD2E8B" w:rsidRDefault="00AD2E8B" w:rsidP="0083211F">
      <w:pPr>
        <w:spacing w:line="276" w:lineRule="auto"/>
        <w:jc w:val="both"/>
      </w:pPr>
    </w:p>
    <w:p w:rsidR="00AD2E8B" w:rsidRPr="00D427CE" w:rsidRDefault="00AD2E8B" w:rsidP="0083211F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D427CE">
        <w:rPr>
          <w:rFonts w:ascii="Copperplate Gothic Bold" w:hAnsi="Copperplate Gothic Bold"/>
          <w:sz w:val="28"/>
          <w:szCs w:val="28"/>
          <w:u w:val="double"/>
        </w:rPr>
        <w:lastRenderedPageBreak/>
        <w:t>Summary</w:t>
      </w:r>
    </w:p>
    <w:p w:rsidR="00AD2E8B" w:rsidRDefault="00AD2E8B" w:rsidP="0083211F">
      <w:pPr>
        <w:spacing w:line="276" w:lineRule="auto"/>
        <w:jc w:val="both"/>
      </w:pPr>
      <w:r>
        <w:rPr>
          <w:sz w:val="28"/>
          <w:szCs w:val="28"/>
        </w:rPr>
        <w:t xml:space="preserve">There is a dispute whether the three </w:t>
      </w:r>
      <w:r>
        <w:rPr>
          <w:rFonts w:hint="cs"/>
          <w:sz w:val="28"/>
          <w:szCs w:val="28"/>
          <w:rtl/>
        </w:rPr>
        <w:t>עבירות</w:t>
      </w:r>
      <w:r>
        <w:rPr>
          <w:sz w:val="28"/>
          <w:szCs w:val="28"/>
        </w:rPr>
        <w:t xml:space="preserve"> are singled out for </w:t>
      </w:r>
      <w:r>
        <w:rPr>
          <w:rFonts w:hint="cs"/>
          <w:sz w:val="28"/>
          <w:szCs w:val="28"/>
          <w:rtl/>
        </w:rPr>
        <w:t>יהרג ואל יעבר</w:t>
      </w:r>
      <w:r>
        <w:rPr>
          <w:sz w:val="28"/>
          <w:szCs w:val="28"/>
        </w:rPr>
        <w:t xml:space="preserve"> even </w:t>
      </w:r>
      <w:r>
        <w:rPr>
          <w:rFonts w:hint="cs"/>
          <w:sz w:val="28"/>
          <w:szCs w:val="28"/>
          <w:rtl/>
        </w:rPr>
        <w:t>בצנעא</w:t>
      </w:r>
      <w:r>
        <w:rPr>
          <w:sz w:val="28"/>
          <w:szCs w:val="28"/>
        </w:rPr>
        <w:t xml:space="preserve"> (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), or whether all </w:t>
      </w:r>
      <w:r>
        <w:rPr>
          <w:rFonts w:hint="cs"/>
          <w:sz w:val="28"/>
          <w:szCs w:val="28"/>
          <w:rtl/>
        </w:rPr>
        <w:t>עבירות</w:t>
      </w:r>
      <w:r>
        <w:rPr>
          <w:sz w:val="28"/>
          <w:szCs w:val="28"/>
        </w:rPr>
        <w:t xml:space="preserve"> are the same; there is no </w:t>
      </w:r>
      <w:r>
        <w:rPr>
          <w:rFonts w:hint="cs"/>
          <w:sz w:val="28"/>
          <w:szCs w:val="28"/>
          <w:rtl/>
        </w:rPr>
        <w:t>יהרג ואל יעבר בצנעא</w:t>
      </w:r>
      <w:r>
        <w:rPr>
          <w:sz w:val="28"/>
          <w:szCs w:val="28"/>
        </w:rPr>
        <w:t xml:space="preserve"> only if it is </w:t>
      </w:r>
      <w:r>
        <w:rPr>
          <w:rFonts w:hint="cs"/>
          <w:sz w:val="28"/>
          <w:szCs w:val="28"/>
          <w:rtl/>
        </w:rPr>
        <w:t>בפרהסיא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(רבא)</w:t>
      </w:r>
      <w:r>
        <w:rPr>
          <w:sz w:val="28"/>
          <w:szCs w:val="28"/>
        </w:rPr>
        <w:t xml:space="preserve">. </w:t>
      </w:r>
    </w:p>
    <w:p w:rsidR="00EB6F56" w:rsidRPr="00EB6F56" w:rsidRDefault="00EB6F56" w:rsidP="0083211F">
      <w:pPr>
        <w:spacing w:line="276" w:lineRule="auto"/>
        <w:jc w:val="both"/>
      </w:pPr>
    </w:p>
    <w:p w:rsidR="00AD2E8B" w:rsidRPr="00D427CE" w:rsidRDefault="00AD2E8B" w:rsidP="0083211F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D427CE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513E0E" w:rsidRPr="00513E0E" w:rsidRDefault="00554AAB" w:rsidP="0083211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rFonts w:hint="cs"/>
          <w:sz w:val="28"/>
          <w:szCs w:val="28"/>
          <w:rtl/>
        </w:rPr>
        <w:t>רבא</w:t>
      </w:r>
      <w:r>
        <w:rPr>
          <w:sz w:val="28"/>
          <w:szCs w:val="28"/>
        </w:rPr>
        <w:t xml:space="preserve"> maintains that </w:t>
      </w:r>
      <w:r>
        <w:rPr>
          <w:rFonts w:hint="cs"/>
          <w:sz w:val="28"/>
          <w:szCs w:val="28"/>
          <w:rtl/>
        </w:rPr>
        <w:t>בפרהסיא</w:t>
      </w:r>
      <w:r w:rsidR="00946547">
        <w:rPr>
          <w:sz w:val="28"/>
          <w:szCs w:val="28"/>
        </w:rPr>
        <w:t>,</w:t>
      </w:r>
      <w:r>
        <w:rPr>
          <w:sz w:val="28"/>
          <w:szCs w:val="28"/>
        </w:rPr>
        <w:t xml:space="preserve"> the rule is </w:t>
      </w:r>
      <w:r>
        <w:rPr>
          <w:rFonts w:hint="cs"/>
          <w:sz w:val="28"/>
          <w:szCs w:val="28"/>
          <w:rtl/>
        </w:rPr>
        <w:t>יהרג ואל יעבר</w:t>
      </w:r>
      <w:r>
        <w:rPr>
          <w:sz w:val="28"/>
          <w:szCs w:val="28"/>
        </w:rPr>
        <w:t xml:space="preserve"> by all </w:t>
      </w:r>
      <w:r>
        <w:rPr>
          <w:rFonts w:hint="cs"/>
          <w:sz w:val="28"/>
          <w:szCs w:val="28"/>
          <w:rtl/>
        </w:rPr>
        <w:t>עבירות</w:t>
      </w:r>
      <w:r>
        <w:rPr>
          <w:sz w:val="28"/>
          <w:szCs w:val="28"/>
        </w:rPr>
        <w:t>,</w:t>
      </w:r>
      <w:r w:rsidR="0007196F">
        <w:rPr>
          <w:rStyle w:val="FootnoteReference"/>
          <w:sz w:val="28"/>
          <w:szCs w:val="28"/>
        </w:rPr>
        <w:footnoteReference w:id="5"/>
      </w:r>
      <w:r>
        <w:rPr>
          <w:sz w:val="28"/>
          <w:szCs w:val="28"/>
        </w:rPr>
        <w:t xml:space="preserve"> then what is his question; perhaps they were forced to sign the </w:t>
      </w:r>
      <w:r>
        <w:rPr>
          <w:rFonts w:hint="cs"/>
          <w:sz w:val="28"/>
          <w:szCs w:val="28"/>
          <w:rtl/>
        </w:rPr>
        <w:t>שטר בפרהסיא</w:t>
      </w:r>
      <w:r>
        <w:rPr>
          <w:sz w:val="28"/>
          <w:szCs w:val="28"/>
        </w:rPr>
        <w:t>?</w:t>
      </w:r>
      <w:r>
        <w:rPr>
          <w:rStyle w:val="FootnoteReference"/>
          <w:sz w:val="28"/>
          <w:szCs w:val="28"/>
        </w:rPr>
        <w:footnoteReference w:id="6"/>
      </w:r>
    </w:p>
    <w:sectPr w:rsidR="00513E0E" w:rsidRPr="00513E0E" w:rsidSect="00554AAB">
      <w:headerReference w:type="default" r:id="rId6"/>
      <w:footerReference w:type="default" r:id="rId7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0E2" w:rsidRDefault="002600E2">
      <w:r>
        <w:separator/>
      </w:r>
    </w:p>
  </w:endnote>
  <w:endnote w:type="continuationSeparator" w:id="0">
    <w:p w:rsidR="002600E2" w:rsidRDefault="0026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F56" w:rsidRDefault="00EB6F56">
    <w:pPr>
      <w:pStyle w:val="Footer"/>
      <w:jc w:val="center"/>
      <w:rPr>
        <w:noProof/>
        <w:sz w:val="16"/>
        <w:szCs w:val="16"/>
      </w:rPr>
    </w:pPr>
    <w:r w:rsidRPr="00EB6F56">
      <w:rPr>
        <w:sz w:val="20"/>
        <w:szCs w:val="20"/>
      </w:rPr>
      <w:fldChar w:fldCharType="begin"/>
    </w:r>
    <w:r w:rsidRPr="00EB6F56">
      <w:rPr>
        <w:sz w:val="20"/>
        <w:szCs w:val="20"/>
      </w:rPr>
      <w:instrText xml:space="preserve"> PAGE   \* MERGEFORMAT </w:instrText>
    </w:r>
    <w:r w:rsidRPr="00EB6F56">
      <w:rPr>
        <w:sz w:val="20"/>
        <w:szCs w:val="20"/>
      </w:rPr>
      <w:fldChar w:fldCharType="separate"/>
    </w:r>
    <w:r w:rsidR="006677F8">
      <w:rPr>
        <w:noProof/>
        <w:sz w:val="20"/>
        <w:szCs w:val="20"/>
      </w:rPr>
      <w:t>2</w:t>
    </w:r>
    <w:r w:rsidRPr="00EB6F56">
      <w:rPr>
        <w:noProof/>
        <w:sz w:val="20"/>
        <w:szCs w:val="20"/>
      </w:rPr>
      <w:fldChar w:fldCharType="end"/>
    </w:r>
  </w:p>
  <w:p w:rsidR="00EB6F56" w:rsidRPr="00EB6F56" w:rsidRDefault="00EB6F56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946547" w:rsidRPr="003D7D7C" w:rsidRDefault="00946547" w:rsidP="003D7D7C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0E2" w:rsidRDefault="002600E2">
      <w:r>
        <w:separator/>
      </w:r>
    </w:p>
  </w:footnote>
  <w:footnote w:type="continuationSeparator" w:id="0">
    <w:p w:rsidR="002600E2" w:rsidRDefault="002600E2">
      <w:r>
        <w:continuationSeparator/>
      </w:r>
    </w:p>
  </w:footnote>
  <w:footnote w:id="1">
    <w:p w:rsidR="00946547" w:rsidRDefault="00946547" w:rsidP="00EB6F5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See, however, </w:t>
      </w:r>
      <w:r>
        <w:rPr>
          <w:rFonts w:hint="cs"/>
          <w:rtl/>
        </w:rPr>
        <w:t>תוספות ע"ז נד,א ד"ה הא</w:t>
      </w:r>
      <w:r>
        <w:t>.</w:t>
      </w:r>
    </w:p>
  </w:footnote>
  <w:footnote w:id="2">
    <w:p w:rsidR="0083211F" w:rsidRDefault="0083211F" w:rsidP="00EB6F5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term </w:t>
      </w:r>
      <w:r>
        <w:rPr>
          <w:rFonts w:hint="cs"/>
          <w:rtl/>
        </w:rPr>
        <w:t>'פירוש'</w:t>
      </w:r>
      <w:r>
        <w:t xml:space="preserve"> (or </w:t>
      </w:r>
      <w:r>
        <w:rPr>
          <w:rFonts w:hint="cs"/>
          <w:rtl/>
        </w:rPr>
        <w:t>כלומר</w:t>
      </w:r>
      <w:r>
        <w:t xml:space="preserve">) in </w:t>
      </w:r>
      <w:r>
        <w:rPr>
          <w:rFonts w:hint="cs"/>
          <w:rtl/>
        </w:rPr>
        <w:t>תוספות</w:t>
      </w:r>
      <w:r>
        <w:t xml:space="preserve"> (or </w:t>
      </w:r>
      <w:r>
        <w:rPr>
          <w:rFonts w:hint="cs"/>
          <w:rtl/>
        </w:rPr>
        <w:t>רש"י</w:t>
      </w:r>
      <w:r>
        <w:t>) [usually] denotes a departing from the s</w:t>
      </w:r>
      <w:r w:rsidR="00EB6F56">
        <w:t>imple understanding of the text</w:t>
      </w:r>
      <w:r w:rsidR="00ED2870">
        <w:t xml:space="preserve">; namely that </w:t>
      </w:r>
      <w:r w:rsidR="00ED2870">
        <w:rPr>
          <w:rFonts w:hint="cs"/>
          <w:rtl/>
        </w:rPr>
        <w:t>רבא</w:t>
      </w:r>
      <w:r w:rsidR="00ED2870">
        <w:t xml:space="preserve"> agrees to this ruling</w:t>
      </w:r>
      <w:r w:rsidR="00EB6F56">
        <w:t>.</w:t>
      </w:r>
    </w:p>
  </w:footnote>
  <w:footnote w:id="3">
    <w:p w:rsidR="00D427CE" w:rsidRPr="00D427CE" w:rsidRDefault="00D427CE" w:rsidP="00EB6F5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From the simple reading of </w:t>
      </w:r>
      <w:r>
        <w:rPr>
          <w:rFonts w:hint="cs"/>
          <w:rtl/>
        </w:rPr>
        <w:t>תוספות</w:t>
      </w:r>
      <w:r>
        <w:t xml:space="preserve"> it appears that according to </w:t>
      </w:r>
      <w:r>
        <w:rPr>
          <w:rFonts w:hint="cs"/>
          <w:rtl/>
        </w:rPr>
        <w:t>רבא</w:t>
      </w:r>
      <w:r>
        <w:t xml:space="preserve"> the rule is </w:t>
      </w:r>
      <w:r>
        <w:rPr>
          <w:rFonts w:hint="cs"/>
          <w:rtl/>
        </w:rPr>
        <w:t>יעבר ואל יהרג</w:t>
      </w:r>
      <w:r>
        <w:t xml:space="preserve"> (even) by </w:t>
      </w:r>
      <w:r>
        <w:rPr>
          <w:rFonts w:hint="cs"/>
          <w:rtl/>
        </w:rPr>
        <w:t>שפיכת דמים</w:t>
      </w:r>
      <w:r>
        <w:t>.</w:t>
      </w:r>
      <w:r w:rsidR="00EB6F56">
        <w:t xml:space="preserve"> However, elsewhere (</w:t>
      </w:r>
      <w:r w:rsidR="00EB6F56">
        <w:rPr>
          <w:rFonts w:hint="cs"/>
          <w:rtl/>
        </w:rPr>
        <w:t>פסחים כה,ב</w:t>
      </w:r>
      <w:r w:rsidR="00EB6F56">
        <w:t xml:space="preserve">) we find that </w:t>
      </w:r>
      <w:r w:rsidR="00EB6F56">
        <w:rPr>
          <w:rFonts w:hint="cs"/>
          <w:rtl/>
        </w:rPr>
        <w:t>רבא</w:t>
      </w:r>
      <w:r w:rsidR="00EB6F56">
        <w:t xml:space="preserve"> rules regarding </w:t>
      </w:r>
      <w:r w:rsidR="00EB6F56">
        <w:rPr>
          <w:rFonts w:hint="cs"/>
          <w:rtl/>
        </w:rPr>
        <w:t>שפיכת דמים</w:t>
      </w:r>
      <w:r w:rsidR="00EB6F56">
        <w:t xml:space="preserve"> that </w:t>
      </w:r>
      <w:r w:rsidR="00EB6F56">
        <w:rPr>
          <w:rFonts w:hint="cs"/>
          <w:rtl/>
        </w:rPr>
        <w:t>יהרג ואל יעבר</w:t>
      </w:r>
      <w:r w:rsidR="00EB6F56">
        <w:t xml:space="preserve">, giving the reason of </w:t>
      </w:r>
      <w:r w:rsidR="00EB6F56">
        <w:rPr>
          <w:rFonts w:hint="cs"/>
          <w:rtl/>
        </w:rPr>
        <w:t>מאי חזית דדמא דידך סומק טפי</w:t>
      </w:r>
      <w:r w:rsidR="00EB6F56">
        <w:t xml:space="preserve">, which would seem to apply to a case of </w:t>
      </w:r>
      <w:r w:rsidR="00EB6F56">
        <w:rPr>
          <w:rFonts w:hint="cs"/>
          <w:rtl/>
        </w:rPr>
        <w:t>בצנעא</w:t>
      </w:r>
      <w:r w:rsidR="00EB6F56">
        <w:t xml:space="preserve"> as well as </w:t>
      </w:r>
      <w:r w:rsidR="00EB6F56">
        <w:rPr>
          <w:rFonts w:hint="cs"/>
          <w:rtl/>
        </w:rPr>
        <w:t>פרהסיא</w:t>
      </w:r>
      <w:r w:rsidR="00EB6F56">
        <w:t xml:space="preserve">. </w:t>
      </w:r>
      <w:r w:rsidR="00EB6F56">
        <w:rPr>
          <w:rFonts w:hint="cs"/>
          <w:rtl/>
        </w:rPr>
        <w:t>וצ"ב</w:t>
      </w:r>
      <w:r w:rsidR="00EB6F56">
        <w:t xml:space="preserve">.  </w:t>
      </w:r>
    </w:p>
  </w:footnote>
  <w:footnote w:id="4">
    <w:p w:rsidR="00D427CE" w:rsidRDefault="00D427CE" w:rsidP="00EB6F5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is explaining that we cannot say that when </w:t>
      </w:r>
      <w:r>
        <w:rPr>
          <w:rFonts w:hint="cs"/>
          <w:rtl/>
        </w:rPr>
        <w:t>רבא</w:t>
      </w:r>
      <w:r>
        <w:t xml:space="preserve"> states this </w:t>
      </w:r>
      <w:r>
        <w:rPr>
          <w:rFonts w:hint="cs"/>
          <w:rtl/>
        </w:rPr>
        <w:t>אמר מר</w:t>
      </w:r>
      <w:r>
        <w:t xml:space="preserve"> that </w:t>
      </w:r>
      <w:r>
        <w:rPr>
          <w:rFonts w:hint="cs"/>
          <w:rtl/>
        </w:rPr>
        <w:t>אין לך דבר וכו' אלא ע"ז וכו'</w:t>
      </w:r>
      <w:r>
        <w:t xml:space="preserve"> he is discussing a case of </w:t>
      </w:r>
      <w:r>
        <w:rPr>
          <w:rFonts w:hint="cs"/>
          <w:rtl/>
        </w:rPr>
        <w:t>פרהסיא</w:t>
      </w:r>
      <w:r>
        <w:t xml:space="preserve"> for then the  ruling is that </w:t>
      </w:r>
      <w:r>
        <w:rPr>
          <w:rFonts w:hint="cs"/>
          <w:rtl/>
        </w:rPr>
        <w:t>יהרג ואל יעבור</w:t>
      </w:r>
      <w:r>
        <w:t xml:space="preserve"> by all the </w:t>
      </w:r>
      <w:r>
        <w:rPr>
          <w:rFonts w:hint="cs"/>
          <w:rtl/>
        </w:rPr>
        <w:t>מצות</w:t>
      </w:r>
      <w:r>
        <w:t>; not only these three.</w:t>
      </w:r>
      <w:r w:rsidR="0007196F">
        <w:t xml:space="preserve"> See ‘Thinking it over’.</w:t>
      </w:r>
    </w:p>
  </w:footnote>
  <w:footnote w:id="5">
    <w:p w:rsidR="0007196F" w:rsidRDefault="0007196F" w:rsidP="0007196F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4.</w:t>
      </w:r>
    </w:p>
  </w:footnote>
  <w:footnote w:id="6">
    <w:p w:rsidR="00946547" w:rsidRDefault="00946547" w:rsidP="0007196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מהרש"א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547" w:rsidRDefault="00946547" w:rsidP="003D7D7C">
    <w:pPr>
      <w:pStyle w:val="Header"/>
      <w:jc w:val="right"/>
      <w:rPr>
        <w:rFonts w:hint="cs"/>
        <w:rtl/>
      </w:rPr>
    </w:pPr>
    <w:r>
      <w:rPr>
        <w:rFonts w:hint="cs"/>
        <w:rtl/>
      </w:rPr>
      <w:t>בס"ד. כתובות יט,א תוס' ד"ה דאמר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7D7C"/>
    <w:rsid w:val="0003107B"/>
    <w:rsid w:val="00035D00"/>
    <w:rsid w:val="00037215"/>
    <w:rsid w:val="00047EB7"/>
    <w:rsid w:val="000523E2"/>
    <w:rsid w:val="0005681E"/>
    <w:rsid w:val="00061E9F"/>
    <w:rsid w:val="000661DF"/>
    <w:rsid w:val="0007196F"/>
    <w:rsid w:val="00074E53"/>
    <w:rsid w:val="000825A6"/>
    <w:rsid w:val="00084A99"/>
    <w:rsid w:val="00094EB6"/>
    <w:rsid w:val="0009659D"/>
    <w:rsid w:val="000A234E"/>
    <w:rsid w:val="000A66FC"/>
    <w:rsid w:val="000A704E"/>
    <w:rsid w:val="000B377B"/>
    <w:rsid w:val="000C21FA"/>
    <w:rsid w:val="000C65DD"/>
    <w:rsid w:val="000D6702"/>
    <w:rsid w:val="00103B51"/>
    <w:rsid w:val="00104129"/>
    <w:rsid w:val="00112C69"/>
    <w:rsid w:val="0015643F"/>
    <w:rsid w:val="00171949"/>
    <w:rsid w:val="001722B4"/>
    <w:rsid w:val="00183AF3"/>
    <w:rsid w:val="001938B0"/>
    <w:rsid w:val="001A4B1F"/>
    <w:rsid w:val="001A5235"/>
    <w:rsid w:val="001B01D8"/>
    <w:rsid w:val="001B2BF9"/>
    <w:rsid w:val="001C19C3"/>
    <w:rsid w:val="001C496B"/>
    <w:rsid w:val="001E2618"/>
    <w:rsid w:val="00221697"/>
    <w:rsid w:val="00233159"/>
    <w:rsid w:val="0024128D"/>
    <w:rsid w:val="002456D8"/>
    <w:rsid w:val="002600E2"/>
    <w:rsid w:val="002645F1"/>
    <w:rsid w:val="0027005E"/>
    <w:rsid w:val="002870E1"/>
    <w:rsid w:val="00293A47"/>
    <w:rsid w:val="002A6061"/>
    <w:rsid w:val="002A792F"/>
    <w:rsid w:val="002B4135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37C06"/>
    <w:rsid w:val="00385C65"/>
    <w:rsid w:val="00387CF0"/>
    <w:rsid w:val="0039622B"/>
    <w:rsid w:val="003C2861"/>
    <w:rsid w:val="003D34E8"/>
    <w:rsid w:val="003D7D7C"/>
    <w:rsid w:val="003E0B99"/>
    <w:rsid w:val="003E0BE9"/>
    <w:rsid w:val="003F0F83"/>
    <w:rsid w:val="0041626A"/>
    <w:rsid w:val="00442246"/>
    <w:rsid w:val="0045569C"/>
    <w:rsid w:val="004912CF"/>
    <w:rsid w:val="004C2792"/>
    <w:rsid w:val="004D44F9"/>
    <w:rsid w:val="004D743A"/>
    <w:rsid w:val="004F5CC8"/>
    <w:rsid w:val="00513E0E"/>
    <w:rsid w:val="00524098"/>
    <w:rsid w:val="00525981"/>
    <w:rsid w:val="00526332"/>
    <w:rsid w:val="005361BA"/>
    <w:rsid w:val="00543AAD"/>
    <w:rsid w:val="00552A0A"/>
    <w:rsid w:val="00554AAB"/>
    <w:rsid w:val="00587A08"/>
    <w:rsid w:val="00594AD0"/>
    <w:rsid w:val="00594FFE"/>
    <w:rsid w:val="00596A4A"/>
    <w:rsid w:val="005C6F55"/>
    <w:rsid w:val="005D1BC8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677F8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0C10"/>
    <w:rsid w:val="007044D2"/>
    <w:rsid w:val="007063AE"/>
    <w:rsid w:val="00706BF6"/>
    <w:rsid w:val="00715225"/>
    <w:rsid w:val="007454A5"/>
    <w:rsid w:val="007579D2"/>
    <w:rsid w:val="007608FB"/>
    <w:rsid w:val="00761D2D"/>
    <w:rsid w:val="00794B2B"/>
    <w:rsid w:val="007C662F"/>
    <w:rsid w:val="007E5721"/>
    <w:rsid w:val="00800D57"/>
    <w:rsid w:val="0080628F"/>
    <w:rsid w:val="00810514"/>
    <w:rsid w:val="008247DD"/>
    <w:rsid w:val="0083211F"/>
    <w:rsid w:val="00853C28"/>
    <w:rsid w:val="00862034"/>
    <w:rsid w:val="00862D1D"/>
    <w:rsid w:val="00864E57"/>
    <w:rsid w:val="00865D0F"/>
    <w:rsid w:val="00870857"/>
    <w:rsid w:val="00875674"/>
    <w:rsid w:val="00887CA8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126E7"/>
    <w:rsid w:val="00946547"/>
    <w:rsid w:val="009517F7"/>
    <w:rsid w:val="00977898"/>
    <w:rsid w:val="009931CD"/>
    <w:rsid w:val="009A4D5C"/>
    <w:rsid w:val="009A5F36"/>
    <w:rsid w:val="009C6227"/>
    <w:rsid w:val="009E0383"/>
    <w:rsid w:val="009E2DE5"/>
    <w:rsid w:val="00A5142C"/>
    <w:rsid w:val="00A55D6A"/>
    <w:rsid w:val="00A5722D"/>
    <w:rsid w:val="00A603D1"/>
    <w:rsid w:val="00A619AB"/>
    <w:rsid w:val="00A74DFE"/>
    <w:rsid w:val="00A80985"/>
    <w:rsid w:val="00AA0A7C"/>
    <w:rsid w:val="00AD2E8B"/>
    <w:rsid w:val="00AE7621"/>
    <w:rsid w:val="00AF6948"/>
    <w:rsid w:val="00B320A8"/>
    <w:rsid w:val="00B5520D"/>
    <w:rsid w:val="00B736BA"/>
    <w:rsid w:val="00B9107D"/>
    <w:rsid w:val="00BA0498"/>
    <w:rsid w:val="00BA0EA7"/>
    <w:rsid w:val="00BE5AB0"/>
    <w:rsid w:val="00C21382"/>
    <w:rsid w:val="00C2661A"/>
    <w:rsid w:val="00C32768"/>
    <w:rsid w:val="00C47587"/>
    <w:rsid w:val="00C50B9E"/>
    <w:rsid w:val="00C909F8"/>
    <w:rsid w:val="00C94D8F"/>
    <w:rsid w:val="00CB2EF7"/>
    <w:rsid w:val="00CE5DC6"/>
    <w:rsid w:val="00CF45CE"/>
    <w:rsid w:val="00D010DD"/>
    <w:rsid w:val="00D12A67"/>
    <w:rsid w:val="00D427CE"/>
    <w:rsid w:val="00D52FB7"/>
    <w:rsid w:val="00D5427B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24AF7"/>
    <w:rsid w:val="00E51675"/>
    <w:rsid w:val="00E706E0"/>
    <w:rsid w:val="00E9460D"/>
    <w:rsid w:val="00E94F73"/>
    <w:rsid w:val="00EA276D"/>
    <w:rsid w:val="00EB6F56"/>
    <w:rsid w:val="00EC0635"/>
    <w:rsid w:val="00ED22E6"/>
    <w:rsid w:val="00ED2870"/>
    <w:rsid w:val="00ED6464"/>
    <w:rsid w:val="00EE3B42"/>
    <w:rsid w:val="00EF1B81"/>
    <w:rsid w:val="00F02605"/>
    <w:rsid w:val="00F13ED9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B2B15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EB41AC-4BA0-4108-AB33-646F6032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D7D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7D7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887CA8"/>
    <w:rPr>
      <w:sz w:val="20"/>
      <w:szCs w:val="20"/>
    </w:rPr>
  </w:style>
  <w:style w:type="character" w:styleId="FootnoteReference">
    <w:name w:val="footnote reference"/>
    <w:semiHidden/>
    <w:rsid w:val="00887CA8"/>
    <w:rPr>
      <w:vertAlign w:val="superscript"/>
    </w:rPr>
  </w:style>
  <w:style w:type="character" w:customStyle="1" w:styleId="FooterChar">
    <w:name w:val="Footer Char"/>
    <w:link w:val="Footer"/>
    <w:uiPriority w:val="99"/>
    <w:rsid w:val="00EB6F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דאמר מר אין לך דבר כולי – For the master said there is nothing, etc</vt:lpstr>
    </vt:vector>
  </TitlesOfParts>
  <Company>Oholei Torah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דאמר מר אין לך דבר כולי – For the master said there is nothing, etc</dc:title>
  <dc:subject/>
  <dc:creator>Ephraim piekarski</dc:creator>
  <cp:keywords/>
  <dc:description/>
  <cp:lastModifiedBy>Microsoft account</cp:lastModifiedBy>
  <cp:revision>2</cp:revision>
  <cp:lastPrinted>2015-11-24T12:46:00Z</cp:lastPrinted>
  <dcterms:created xsi:type="dcterms:W3CDTF">2022-04-05T10:49:00Z</dcterms:created>
  <dcterms:modified xsi:type="dcterms:W3CDTF">2022-04-05T10:49:00Z</dcterms:modified>
</cp:coreProperties>
</file>