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45" w:rsidRDefault="00147945" w:rsidP="00D13A4D">
      <w:pPr>
        <w:bidi/>
        <w:spacing w:line="276" w:lineRule="auto"/>
        <w:jc w:val="both"/>
        <w:rPr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וכדרב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הונא אמר רב</w:t>
      </w:r>
      <w:r w:rsidR="007139B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139B7">
        <w:rPr>
          <w:b/>
          <w:bCs/>
          <w:sz w:val="32"/>
          <w:szCs w:val="32"/>
          <w:rtl/>
          <w:lang w:bidi="he-IL"/>
        </w:rPr>
        <w:t>–</w:t>
      </w:r>
      <w:r w:rsidR="007139B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139B7">
        <w:rPr>
          <w:b/>
          <w:bCs/>
          <w:sz w:val="32"/>
          <w:szCs w:val="32"/>
          <w:lang w:bidi="he-IL"/>
        </w:rPr>
        <w:t xml:space="preserve">           </w:t>
      </w:r>
      <w:r w:rsidR="007139B7">
        <w:rPr>
          <w:rFonts w:hint="cs"/>
          <w:b/>
          <w:bCs/>
          <w:sz w:val="32"/>
          <w:szCs w:val="32"/>
          <w:rtl/>
          <w:lang w:bidi="he-IL"/>
        </w:rPr>
        <w:t>רב הונא אמר רב</w:t>
      </w:r>
      <w:r w:rsidR="007139B7">
        <w:rPr>
          <w:b/>
          <w:bCs/>
          <w:sz w:val="32"/>
          <w:szCs w:val="32"/>
          <w:lang w:bidi="he-IL"/>
        </w:rPr>
        <w:t xml:space="preserve">And this </w:t>
      </w:r>
      <w:r w:rsidR="00D13A4D">
        <w:rPr>
          <w:b/>
          <w:bCs/>
          <w:sz w:val="32"/>
          <w:szCs w:val="32"/>
          <w:lang w:bidi="he-IL"/>
        </w:rPr>
        <w:t xml:space="preserve">is according to </w:t>
      </w:r>
    </w:p>
    <w:p w:rsidR="007139B7" w:rsidRDefault="007139B7" w:rsidP="007139B7">
      <w:pPr>
        <w:spacing w:line="276" w:lineRule="auto"/>
        <w:jc w:val="both"/>
        <w:rPr>
          <w:sz w:val="24"/>
          <w:szCs w:val="24"/>
          <w:u w:val="single"/>
          <w:lang w:bidi="he-IL"/>
        </w:rPr>
      </w:pPr>
    </w:p>
    <w:p w:rsidR="00147945" w:rsidRPr="007139B7" w:rsidRDefault="00F5371C" w:rsidP="007139B7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7139B7">
        <w:rPr>
          <w:rFonts w:ascii="Copperplate Gothic Bold" w:hAnsi="Copperplate Gothic Bold"/>
          <w:u w:val="double"/>
          <w:lang w:bidi="he-IL"/>
        </w:rPr>
        <w:t>Overview</w:t>
      </w:r>
    </w:p>
    <w:p w:rsidR="00F5371C" w:rsidRPr="00F5371C" w:rsidRDefault="00F5371C" w:rsidP="007139B7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cites two statement in the name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; namely </w:t>
      </w:r>
      <w:r>
        <w:rPr>
          <w:rFonts w:hint="cs"/>
          <w:rtl/>
          <w:lang w:bidi="he-IL"/>
        </w:rPr>
        <w:t>מודה בשטר שכתבו אצ"ל</w:t>
      </w:r>
      <w:r>
        <w:rPr>
          <w:lang w:bidi="he-IL"/>
        </w:rPr>
        <w:t xml:space="preserve"> (by </w:t>
      </w:r>
      <w:r>
        <w:rPr>
          <w:rFonts w:hint="cs"/>
          <w:rtl/>
          <w:lang w:bidi="he-IL"/>
        </w:rPr>
        <w:t>ר"ה א"ר</w:t>
      </w:r>
      <w:r>
        <w:rPr>
          <w:lang w:bidi="he-IL"/>
        </w:rPr>
        <w:t xml:space="preserve">) and </w:t>
      </w:r>
      <w:r w:rsidR="007139B7">
        <w:rPr>
          <w:rFonts w:hint="cs"/>
          <w:rtl/>
          <w:lang w:bidi="he-IL"/>
        </w:rPr>
        <w:t>האומר שטר אמנה הוא זה</w:t>
      </w:r>
      <w:r>
        <w:rPr>
          <w:rFonts w:hint="cs"/>
          <w:rtl/>
          <w:lang w:bidi="he-IL"/>
        </w:rPr>
        <w:t xml:space="preserve"> אינו נאמן</w:t>
      </w:r>
      <w:r>
        <w:rPr>
          <w:lang w:bidi="he-IL"/>
        </w:rPr>
        <w:t xml:space="preserve"> (by </w:t>
      </w:r>
      <w:r>
        <w:rPr>
          <w:rFonts w:hint="cs"/>
          <w:rtl/>
          <w:lang w:bidi="he-IL"/>
        </w:rPr>
        <w:t>ר"י א"ר</w:t>
      </w:r>
      <w:r>
        <w:rPr>
          <w:lang w:bidi="he-IL"/>
        </w:rPr>
        <w:t xml:space="preserve">).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explained that the ruling of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(which is referring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) follows the ruling of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discuss the necessity of both rulings.</w:t>
      </w:r>
    </w:p>
    <w:p w:rsidR="00147945" w:rsidRDefault="007139B7" w:rsidP="007139B7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</w:t>
      </w:r>
    </w:p>
    <w:p w:rsidR="00147945" w:rsidRDefault="00147945" w:rsidP="007139B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7139B7" w:rsidRPr="00D13A4D" w:rsidRDefault="00147945" w:rsidP="00D13A4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13A4D">
        <w:rPr>
          <w:rFonts w:cs="David" w:hint="cs"/>
          <w:b/>
          <w:bCs/>
          <w:rtl/>
          <w:lang w:bidi="he-IL"/>
        </w:rPr>
        <w:t>ואם תאמר</w:t>
      </w:r>
      <w:r w:rsidR="007139B7" w:rsidRPr="00D13A4D">
        <w:rPr>
          <w:rFonts w:cs="David" w:hint="cs"/>
          <w:b/>
          <w:bCs/>
          <w:rtl/>
          <w:lang w:bidi="he-IL"/>
        </w:rPr>
        <w:t xml:space="preserve"> תרתי מילי דרב למה לי</w:t>
      </w:r>
      <w:r w:rsidR="006D5410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D13A4D">
        <w:rPr>
          <w:rFonts w:cs="David"/>
          <w:b/>
          <w:bCs/>
          <w:lang w:bidi="he-IL"/>
        </w:rPr>
        <w:t xml:space="preserve"> </w:t>
      </w:r>
      <w:r w:rsidR="00D13A4D">
        <w:rPr>
          <w:rFonts w:cs="David" w:hint="cs"/>
          <w:b/>
          <w:bCs/>
          <w:rtl/>
          <w:lang w:bidi="he-IL"/>
        </w:rPr>
        <w:t>-</w:t>
      </w:r>
    </w:p>
    <w:p w:rsidR="00147945" w:rsidRPr="00F5371C" w:rsidRDefault="00147945" w:rsidP="007139B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ask why do we need two statements of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, </w:t>
      </w:r>
      <w:r w:rsidRPr="00F5371C">
        <w:rPr>
          <w:sz w:val="24"/>
          <w:szCs w:val="24"/>
          <w:lang w:bidi="he-IL"/>
        </w:rPr>
        <w:t>which are stating the same rule.</w:t>
      </w:r>
      <w:r w:rsidR="00FB2A00" w:rsidRPr="00F5371C">
        <w:rPr>
          <w:sz w:val="24"/>
          <w:szCs w:val="24"/>
          <w:lang w:bidi="he-IL"/>
        </w:rPr>
        <w:t xml:space="preserve"> The rule of </w:t>
      </w:r>
      <w:r w:rsidR="00FB2A00" w:rsidRPr="00F5371C">
        <w:rPr>
          <w:rFonts w:hint="cs"/>
          <w:sz w:val="24"/>
          <w:szCs w:val="24"/>
          <w:rtl/>
          <w:lang w:bidi="he-IL"/>
        </w:rPr>
        <w:t>ר"ה א"ר</w:t>
      </w:r>
      <w:r w:rsidR="00FB2A00" w:rsidRPr="00F5371C">
        <w:rPr>
          <w:sz w:val="24"/>
          <w:szCs w:val="24"/>
          <w:lang w:bidi="he-IL"/>
        </w:rPr>
        <w:t xml:space="preserve"> states that a </w:t>
      </w:r>
      <w:r w:rsidR="00FB2A00" w:rsidRPr="00F5371C">
        <w:rPr>
          <w:rFonts w:hint="cs"/>
          <w:sz w:val="24"/>
          <w:szCs w:val="24"/>
          <w:rtl/>
          <w:lang w:bidi="he-IL"/>
        </w:rPr>
        <w:t>מגו</w:t>
      </w:r>
      <w:r w:rsidR="00FB2A00" w:rsidRPr="00F5371C">
        <w:rPr>
          <w:sz w:val="24"/>
          <w:szCs w:val="24"/>
          <w:lang w:bidi="he-IL"/>
        </w:rPr>
        <w:t xml:space="preserve"> is ineffective against a </w:t>
      </w:r>
      <w:r w:rsidR="00FB2A00" w:rsidRPr="00F5371C">
        <w:rPr>
          <w:rFonts w:hint="cs"/>
          <w:sz w:val="24"/>
          <w:szCs w:val="24"/>
          <w:rtl/>
          <w:lang w:bidi="he-IL"/>
        </w:rPr>
        <w:t>שטר</w:t>
      </w:r>
      <w:r w:rsidR="00FB2A00" w:rsidRPr="00F5371C">
        <w:rPr>
          <w:sz w:val="24"/>
          <w:szCs w:val="24"/>
          <w:lang w:bidi="he-IL"/>
        </w:rPr>
        <w:t xml:space="preserve"> (by </w:t>
      </w:r>
      <w:r w:rsidR="00FB2A00" w:rsidRPr="00F5371C">
        <w:rPr>
          <w:rFonts w:hint="cs"/>
          <w:sz w:val="24"/>
          <w:szCs w:val="24"/>
          <w:rtl/>
          <w:lang w:bidi="he-IL"/>
        </w:rPr>
        <w:t>פרעתי</w:t>
      </w:r>
      <w:r w:rsidR="00FB2A00" w:rsidRPr="00F5371C">
        <w:rPr>
          <w:sz w:val="24"/>
          <w:szCs w:val="24"/>
          <w:lang w:bidi="he-IL"/>
        </w:rPr>
        <w:t xml:space="preserve"> as well as all other claims</w:t>
      </w:r>
      <w:r w:rsidR="00FB2A00" w:rsidRPr="00F5371C">
        <w:rPr>
          <w:rStyle w:val="FootnoteReference"/>
          <w:sz w:val="24"/>
          <w:szCs w:val="24"/>
          <w:lang w:bidi="he-IL"/>
        </w:rPr>
        <w:footnoteReference w:id="2"/>
      </w:r>
      <w:r w:rsidR="00FB2A00" w:rsidRPr="00F5371C">
        <w:rPr>
          <w:sz w:val="24"/>
          <w:szCs w:val="24"/>
          <w:lang w:bidi="he-IL"/>
        </w:rPr>
        <w:t xml:space="preserve">); and </w:t>
      </w:r>
      <w:r w:rsidR="00FB2A00" w:rsidRPr="00F5371C">
        <w:rPr>
          <w:rFonts w:hint="cs"/>
          <w:sz w:val="24"/>
          <w:szCs w:val="24"/>
          <w:rtl/>
          <w:lang w:bidi="he-IL"/>
        </w:rPr>
        <w:t>ר"י א"ר</w:t>
      </w:r>
      <w:r w:rsidR="00FB2A00" w:rsidRPr="00F5371C">
        <w:rPr>
          <w:sz w:val="24"/>
          <w:szCs w:val="24"/>
          <w:lang w:bidi="he-IL"/>
        </w:rPr>
        <w:t xml:space="preserve"> states that the </w:t>
      </w:r>
      <w:r w:rsidR="00FB2A00" w:rsidRPr="00F5371C">
        <w:rPr>
          <w:rFonts w:hint="cs"/>
          <w:sz w:val="24"/>
          <w:szCs w:val="24"/>
          <w:rtl/>
          <w:lang w:bidi="he-IL"/>
        </w:rPr>
        <w:t>לוה</w:t>
      </w:r>
      <w:r w:rsidR="00FB2A00" w:rsidRPr="00F5371C">
        <w:rPr>
          <w:sz w:val="24"/>
          <w:szCs w:val="24"/>
          <w:lang w:bidi="he-IL"/>
        </w:rPr>
        <w:t xml:space="preserve"> is not believed to claim </w:t>
      </w:r>
      <w:r w:rsidR="00FB2A00" w:rsidRPr="00F5371C">
        <w:rPr>
          <w:rFonts w:hint="cs"/>
          <w:sz w:val="24"/>
          <w:szCs w:val="24"/>
          <w:rtl/>
          <w:lang w:bidi="he-IL"/>
        </w:rPr>
        <w:t>שטר אמנה הוא</w:t>
      </w:r>
      <w:r w:rsidR="00FB2A00" w:rsidRPr="00F5371C">
        <w:rPr>
          <w:sz w:val="24"/>
          <w:szCs w:val="24"/>
          <w:lang w:bidi="he-IL"/>
        </w:rPr>
        <w:t xml:space="preserve"> which we already know from </w:t>
      </w:r>
      <w:r w:rsidR="00FB2A00" w:rsidRPr="00F5371C">
        <w:rPr>
          <w:rFonts w:hint="cs"/>
          <w:sz w:val="24"/>
          <w:szCs w:val="24"/>
          <w:rtl/>
          <w:lang w:bidi="he-IL"/>
        </w:rPr>
        <w:t>ר"ה א"ר</w:t>
      </w:r>
      <w:r w:rsidR="00FB2A00" w:rsidRPr="00F5371C">
        <w:rPr>
          <w:sz w:val="24"/>
          <w:szCs w:val="24"/>
          <w:lang w:bidi="he-IL"/>
        </w:rPr>
        <w:t>.</w:t>
      </w:r>
    </w:p>
    <w:p w:rsidR="00FB2A00" w:rsidRPr="00F5371C" w:rsidRDefault="00FB2A00" w:rsidP="007139B7">
      <w:pPr>
        <w:spacing w:line="276" w:lineRule="auto"/>
        <w:jc w:val="both"/>
        <w:rPr>
          <w:sz w:val="24"/>
          <w:szCs w:val="24"/>
          <w:lang w:bidi="he-IL"/>
        </w:rPr>
      </w:pPr>
    </w:p>
    <w:p w:rsidR="00FB2A00" w:rsidRPr="00F5371C" w:rsidRDefault="00FB2A00" w:rsidP="007139B7">
      <w:pPr>
        <w:spacing w:line="276" w:lineRule="auto"/>
        <w:jc w:val="both"/>
        <w:rPr>
          <w:sz w:val="24"/>
          <w:szCs w:val="24"/>
          <w:lang w:bidi="he-IL"/>
        </w:rPr>
      </w:pPr>
      <w:r w:rsidRPr="00F5371C">
        <w:rPr>
          <w:rFonts w:hint="cs"/>
          <w:sz w:val="24"/>
          <w:szCs w:val="24"/>
          <w:rtl/>
          <w:lang w:bidi="he-IL"/>
        </w:rPr>
        <w:t>תוספות</w:t>
      </w:r>
      <w:r w:rsidRPr="00F5371C">
        <w:rPr>
          <w:sz w:val="24"/>
          <w:szCs w:val="24"/>
          <w:lang w:bidi="he-IL"/>
        </w:rPr>
        <w:t xml:space="preserve"> answers:</w:t>
      </w:r>
    </w:p>
    <w:p w:rsidR="007139B7" w:rsidRPr="00D13A4D" w:rsidRDefault="00FB2A00" w:rsidP="00D13A4D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13A4D">
        <w:rPr>
          <w:rFonts w:cs="David" w:hint="cs"/>
          <w:b/>
          <w:bCs/>
          <w:rtl/>
          <w:lang w:bidi="he-IL"/>
        </w:rPr>
        <w:t>ויש לומר</w:t>
      </w:r>
      <w:r w:rsidR="007139B7" w:rsidRPr="00D13A4D">
        <w:rPr>
          <w:rFonts w:cs="David" w:hint="cs"/>
          <w:b/>
          <w:bCs/>
          <w:rtl/>
          <w:lang w:bidi="he-IL"/>
        </w:rPr>
        <w:t xml:space="preserve"> דחדא מכלל חבירתה אתמר</w:t>
      </w:r>
      <w:r w:rsidRPr="00D13A4D">
        <w:rPr>
          <w:rFonts w:cs="David"/>
          <w:b/>
          <w:bCs/>
          <w:lang w:bidi="he-IL"/>
        </w:rPr>
        <w:t xml:space="preserve"> </w:t>
      </w:r>
      <w:r w:rsidR="00D13A4D">
        <w:rPr>
          <w:rFonts w:cs="David" w:hint="cs"/>
          <w:b/>
          <w:bCs/>
          <w:rtl/>
          <w:lang w:bidi="he-IL"/>
        </w:rPr>
        <w:t>-</w:t>
      </w:r>
    </w:p>
    <w:p w:rsidR="00FB2A00" w:rsidRPr="00F5371C" w:rsidRDefault="007139B7" w:rsidP="00D13A4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FB2A00">
        <w:rPr>
          <w:b/>
          <w:bCs/>
          <w:lang w:bidi="he-IL"/>
        </w:rPr>
        <w:t xml:space="preserve"> one can say that one was derived from the other. </w:t>
      </w:r>
      <w:r w:rsidR="00FB2A00" w:rsidRPr="00F5371C">
        <w:rPr>
          <w:rFonts w:hint="cs"/>
          <w:sz w:val="24"/>
          <w:szCs w:val="24"/>
          <w:rtl/>
          <w:lang w:bidi="he-IL"/>
        </w:rPr>
        <w:t>רב</w:t>
      </w:r>
      <w:r w:rsidR="00FB2A00" w:rsidRPr="00F5371C">
        <w:rPr>
          <w:sz w:val="24"/>
          <w:szCs w:val="24"/>
          <w:lang w:bidi="he-IL"/>
        </w:rPr>
        <w:t xml:space="preserve"> said only one ruling </w:t>
      </w:r>
      <w:r w:rsidR="00F5371C">
        <w:rPr>
          <w:sz w:val="24"/>
          <w:szCs w:val="24"/>
          <w:lang w:bidi="he-IL"/>
        </w:rPr>
        <w:t>[</w:t>
      </w:r>
      <w:r w:rsidR="00FB2A00" w:rsidRPr="00F5371C">
        <w:rPr>
          <w:rFonts w:hint="cs"/>
          <w:sz w:val="24"/>
          <w:szCs w:val="24"/>
          <w:rtl/>
          <w:lang w:bidi="he-IL"/>
        </w:rPr>
        <w:t>(מודה בשטר שכתבו א"צ לקיימו)</w:t>
      </w:r>
      <w:r w:rsidR="00FB2A00" w:rsidRPr="00F5371C">
        <w:rPr>
          <w:sz w:val="24"/>
          <w:szCs w:val="24"/>
          <w:lang w:bidi="he-IL"/>
        </w:rPr>
        <w:t xml:space="preserve">, which was cited by </w:t>
      </w:r>
      <w:r w:rsidR="00FB2A00" w:rsidRPr="00F5371C">
        <w:rPr>
          <w:rFonts w:hint="cs"/>
          <w:sz w:val="24"/>
          <w:szCs w:val="24"/>
          <w:rtl/>
          <w:lang w:bidi="he-IL"/>
        </w:rPr>
        <w:t>ר"ה</w:t>
      </w:r>
      <w:r w:rsidR="00FB2A00" w:rsidRPr="00F5371C">
        <w:rPr>
          <w:sz w:val="24"/>
          <w:szCs w:val="24"/>
          <w:lang w:bidi="he-IL"/>
        </w:rPr>
        <w:t>.</w:t>
      </w:r>
      <w:r w:rsidR="00D13A4D" w:rsidRPr="00D13A4D">
        <w:rPr>
          <w:rStyle w:val="FootnoteReference"/>
          <w:sz w:val="24"/>
          <w:szCs w:val="24"/>
          <w:rtl/>
          <w:lang w:bidi="he-IL"/>
        </w:rPr>
        <w:t xml:space="preserve"> </w:t>
      </w:r>
      <w:r w:rsidR="00D13A4D" w:rsidRPr="00F5371C">
        <w:rPr>
          <w:rStyle w:val="FootnoteReference"/>
          <w:sz w:val="24"/>
          <w:szCs w:val="24"/>
          <w:rtl/>
          <w:lang w:bidi="he-IL"/>
        </w:rPr>
        <w:footnoteReference w:id="3"/>
      </w:r>
      <w:r w:rsidR="00FB2A00" w:rsidRPr="00F5371C">
        <w:rPr>
          <w:sz w:val="24"/>
          <w:szCs w:val="24"/>
          <w:lang w:bidi="he-IL"/>
        </w:rPr>
        <w:t xml:space="preserve"> It was </w:t>
      </w:r>
      <w:r w:rsidR="00FB2A00" w:rsidRPr="00F5371C">
        <w:rPr>
          <w:rFonts w:hint="cs"/>
          <w:sz w:val="24"/>
          <w:szCs w:val="24"/>
          <w:rtl/>
          <w:lang w:bidi="he-IL"/>
        </w:rPr>
        <w:t>ר"י</w:t>
      </w:r>
      <w:r w:rsidR="00FB2A00" w:rsidRPr="00F5371C">
        <w:rPr>
          <w:sz w:val="24"/>
          <w:szCs w:val="24"/>
          <w:lang w:bidi="he-IL"/>
        </w:rPr>
        <w:t xml:space="preserve"> who derived from this ruling of </w:t>
      </w:r>
      <w:r w:rsidR="00FB2A00" w:rsidRPr="00F5371C">
        <w:rPr>
          <w:rFonts w:hint="cs"/>
          <w:sz w:val="24"/>
          <w:szCs w:val="24"/>
          <w:rtl/>
          <w:lang w:bidi="he-IL"/>
        </w:rPr>
        <w:t>רב</w:t>
      </w:r>
      <w:r w:rsidR="00FB2A00" w:rsidRPr="00F5371C">
        <w:rPr>
          <w:sz w:val="24"/>
          <w:szCs w:val="24"/>
          <w:lang w:bidi="he-IL"/>
        </w:rPr>
        <w:t xml:space="preserve"> that if a </w:t>
      </w:r>
      <w:r w:rsidR="00FB2A00" w:rsidRPr="00F5371C">
        <w:rPr>
          <w:rFonts w:hint="cs"/>
          <w:sz w:val="24"/>
          <w:szCs w:val="24"/>
          <w:rtl/>
          <w:lang w:bidi="he-IL"/>
        </w:rPr>
        <w:t>לוה</w:t>
      </w:r>
      <w:r w:rsidR="00FB2A00" w:rsidRPr="00F5371C">
        <w:rPr>
          <w:sz w:val="24"/>
          <w:szCs w:val="24"/>
          <w:lang w:bidi="he-IL"/>
        </w:rPr>
        <w:t xml:space="preserve"> claimed </w:t>
      </w:r>
      <w:r w:rsidR="00FB2A00" w:rsidRPr="00F5371C">
        <w:rPr>
          <w:rFonts w:hint="cs"/>
          <w:sz w:val="24"/>
          <w:szCs w:val="24"/>
          <w:rtl/>
          <w:lang w:bidi="he-IL"/>
        </w:rPr>
        <w:t>שטר אמנה הוא</w:t>
      </w:r>
      <w:r w:rsidR="00FB2A00" w:rsidRPr="00F5371C">
        <w:rPr>
          <w:sz w:val="24"/>
          <w:szCs w:val="24"/>
          <w:lang w:bidi="he-IL"/>
        </w:rPr>
        <w:t>, he is not believed</w:t>
      </w:r>
      <w:r w:rsidR="00F5371C">
        <w:rPr>
          <w:sz w:val="24"/>
          <w:szCs w:val="24"/>
          <w:lang w:bidi="he-IL"/>
        </w:rPr>
        <w:t>]</w:t>
      </w:r>
      <w:r w:rsidR="00FB2A00" w:rsidRPr="00F5371C">
        <w:rPr>
          <w:sz w:val="24"/>
          <w:szCs w:val="24"/>
          <w:lang w:bidi="he-IL"/>
        </w:rPr>
        <w:t>.</w:t>
      </w:r>
    </w:p>
    <w:p w:rsidR="00FB2A00" w:rsidRPr="00F5371C" w:rsidRDefault="00FB2A00" w:rsidP="007139B7">
      <w:pPr>
        <w:spacing w:line="276" w:lineRule="auto"/>
        <w:jc w:val="both"/>
        <w:rPr>
          <w:sz w:val="24"/>
          <w:szCs w:val="24"/>
          <w:lang w:bidi="he-IL"/>
        </w:rPr>
      </w:pPr>
    </w:p>
    <w:p w:rsidR="00FB2A00" w:rsidRPr="00D13A4D" w:rsidRDefault="00FB2A00" w:rsidP="007139B7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13A4D">
        <w:rPr>
          <w:rFonts w:ascii="Copperplate Gothic Bold" w:hAnsi="Copperplate Gothic Bold"/>
          <w:u w:val="double"/>
          <w:lang w:bidi="he-IL"/>
        </w:rPr>
        <w:t>Summary</w:t>
      </w:r>
    </w:p>
    <w:p w:rsidR="00FB2A00" w:rsidRDefault="00FB2A00" w:rsidP="007139B7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made only one ruling; that 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against a </w:t>
      </w:r>
      <w:r>
        <w:rPr>
          <w:rFonts w:hint="cs"/>
          <w:rtl/>
          <w:lang w:bidi="he-IL"/>
        </w:rPr>
        <w:t>שטר שאינו מקויים</w:t>
      </w:r>
      <w:r w:rsidR="00F5371C">
        <w:rPr>
          <w:lang w:bidi="he-IL"/>
        </w:rPr>
        <w:t>. Other ruling</w:t>
      </w:r>
      <w:r w:rsidR="00D13A4D">
        <w:rPr>
          <w:lang w:bidi="he-IL"/>
        </w:rPr>
        <w:t>s</w:t>
      </w:r>
      <w:r w:rsidR="00F5371C">
        <w:rPr>
          <w:lang w:bidi="he-IL"/>
        </w:rPr>
        <w:t xml:space="preserve"> (such as </w:t>
      </w:r>
      <w:r w:rsidR="00F5371C">
        <w:rPr>
          <w:rFonts w:hint="cs"/>
          <w:rtl/>
          <w:lang w:bidi="he-IL"/>
        </w:rPr>
        <w:t>האומר שטר אמנה הוא אינו נאמן</w:t>
      </w:r>
      <w:r w:rsidR="00F5371C">
        <w:rPr>
          <w:lang w:bidi="he-IL"/>
        </w:rPr>
        <w:t>) were derived from this ruling</w:t>
      </w:r>
    </w:p>
    <w:p w:rsidR="00F5371C" w:rsidRPr="00F5371C" w:rsidRDefault="00F5371C" w:rsidP="007139B7">
      <w:pPr>
        <w:spacing w:line="276" w:lineRule="auto"/>
        <w:jc w:val="both"/>
        <w:rPr>
          <w:sz w:val="24"/>
          <w:szCs w:val="24"/>
          <w:lang w:bidi="he-IL"/>
        </w:rPr>
      </w:pPr>
    </w:p>
    <w:p w:rsidR="00F5371C" w:rsidRPr="00D13A4D" w:rsidRDefault="00F5371C" w:rsidP="007139B7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13A4D">
        <w:rPr>
          <w:rFonts w:ascii="Copperplate Gothic Bold" w:hAnsi="Copperplate Gothic Bold"/>
          <w:u w:val="double"/>
          <w:lang w:bidi="he-IL"/>
        </w:rPr>
        <w:t>Thinking it over</w:t>
      </w:r>
    </w:p>
    <w:p w:rsidR="009C3E01" w:rsidRDefault="009C3E01" w:rsidP="000714F9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claims that the two rulings are redundant.</w:t>
      </w:r>
      <w:r w:rsidR="006D5410">
        <w:rPr>
          <w:rStyle w:val="FootnoteReference"/>
          <w:lang w:bidi="he-IL"/>
        </w:rPr>
        <w:footnoteReference w:id="4"/>
      </w:r>
      <w:r>
        <w:rPr>
          <w:lang w:bidi="he-IL"/>
        </w:rPr>
        <w:t xml:space="preserve"> Seemingly they are not. If it would only state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I would think that it applies only by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since there is a counterclaim of </w:t>
      </w:r>
      <w:r>
        <w:rPr>
          <w:rFonts w:hint="cs"/>
          <w:rtl/>
          <w:lang w:bidi="he-IL"/>
        </w:rPr>
        <w:t>שטרך בידי מאי בעי</w:t>
      </w:r>
      <w:r>
        <w:rPr>
          <w:lang w:bidi="he-IL"/>
        </w:rPr>
        <w:t xml:space="preserve">, however by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he would be believed. Conversely if only the rule of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was stated I certainly would not know that this applies by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as well (for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maintains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is believed and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not believed)</w:t>
      </w:r>
      <w:r w:rsidR="000714F9">
        <w:rPr>
          <w:lang w:bidi="he-IL"/>
        </w:rPr>
        <w:t>.</w:t>
      </w:r>
      <w:r w:rsidR="006D5410">
        <w:rPr>
          <w:lang w:bidi="he-IL"/>
        </w:rPr>
        <w:t xml:space="preserve"> Why does </w:t>
      </w:r>
      <w:r w:rsidR="006D5410">
        <w:rPr>
          <w:rFonts w:hint="cs"/>
          <w:rtl/>
          <w:lang w:bidi="he-IL"/>
        </w:rPr>
        <w:t>תוספות</w:t>
      </w:r>
      <w:r w:rsidR="006D5410">
        <w:rPr>
          <w:lang w:bidi="he-IL"/>
        </w:rPr>
        <w:t xml:space="preserve"> state that they </w:t>
      </w:r>
      <w:r w:rsidR="006D5410">
        <w:rPr>
          <w:lang w:bidi="he-IL"/>
        </w:rPr>
        <w:lastRenderedPageBreak/>
        <w:t>are redundant?!</w:t>
      </w:r>
      <w:r>
        <w:rPr>
          <w:rStyle w:val="FootnoteReference"/>
          <w:lang w:bidi="he-IL"/>
        </w:rPr>
        <w:footnoteReference w:id="5"/>
      </w:r>
    </w:p>
    <w:p w:rsidR="006D5410" w:rsidRDefault="006D5410" w:rsidP="006D5410">
      <w:pPr>
        <w:widowControl w:val="0"/>
        <w:spacing w:line="276" w:lineRule="auto"/>
        <w:jc w:val="both"/>
        <w:rPr>
          <w:lang w:bidi="he-IL"/>
        </w:rPr>
      </w:pPr>
    </w:p>
    <w:p w:rsidR="00F5371C" w:rsidRPr="00F5371C" w:rsidRDefault="009C3E01" w:rsidP="00D13A4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2. </w:t>
      </w:r>
      <w:r w:rsidR="00F5371C">
        <w:rPr>
          <w:rFonts w:hint="cs"/>
          <w:rtl/>
          <w:lang w:bidi="he-IL"/>
        </w:rPr>
        <w:t>תוספות</w:t>
      </w:r>
      <w:r w:rsidR="00F5371C">
        <w:rPr>
          <w:lang w:bidi="he-IL"/>
        </w:rPr>
        <w:t xml:space="preserve"> merely says that one rule was derived from the other.</w:t>
      </w:r>
      <w:r w:rsidR="006D5410">
        <w:rPr>
          <w:rStyle w:val="FootnoteReference"/>
          <w:lang w:bidi="he-IL"/>
        </w:rPr>
        <w:footnoteReference w:id="6"/>
      </w:r>
      <w:r w:rsidR="00F5371C">
        <w:rPr>
          <w:lang w:bidi="he-IL"/>
        </w:rPr>
        <w:t xml:space="preserve"> Can we assume which was the original rule and which was the derivative?</w:t>
      </w:r>
    </w:p>
    <w:sectPr w:rsidR="00F5371C" w:rsidRPr="00F5371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87" w:rsidRDefault="00A71B87">
      <w:r>
        <w:separator/>
      </w:r>
    </w:p>
  </w:endnote>
  <w:endnote w:type="continuationSeparator" w:id="0">
    <w:p w:rsidR="00A71B87" w:rsidRDefault="00A7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FC6" w:rsidRDefault="00103FC6">
    <w:pPr>
      <w:pStyle w:val="Footer"/>
      <w:jc w:val="center"/>
      <w:rPr>
        <w:noProof/>
        <w:sz w:val="16"/>
        <w:szCs w:val="16"/>
      </w:rPr>
    </w:pPr>
    <w:r w:rsidRPr="00103FC6">
      <w:rPr>
        <w:sz w:val="20"/>
        <w:szCs w:val="20"/>
      </w:rPr>
      <w:fldChar w:fldCharType="begin"/>
    </w:r>
    <w:r w:rsidRPr="00103FC6">
      <w:rPr>
        <w:sz w:val="20"/>
        <w:szCs w:val="20"/>
      </w:rPr>
      <w:instrText xml:space="preserve"> PAGE   \* MERGEFORMAT </w:instrText>
    </w:r>
    <w:r w:rsidRPr="00103FC6">
      <w:rPr>
        <w:sz w:val="20"/>
        <w:szCs w:val="20"/>
      </w:rPr>
      <w:fldChar w:fldCharType="separate"/>
    </w:r>
    <w:r w:rsidR="001F36BB">
      <w:rPr>
        <w:noProof/>
        <w:sz w:val="20"/>
        <w:szCs w:val="20"/>
      </w:rPr>
      <w:t>2</w:t>
    </w:r>
    <w:r w:rsidRPr="00103FC6">
      <w:rPr>
        <w:noProof/>
        <w:sz w:val="20"/>
        <w:szCs w:val="20"/>
      </w:rPr>
      <w:fldChar w:fldCharType="end"/>
    </w:r>
  </w:p>
  <w:p w:rsidR="00103FC6" w:rsidRPr="00103FC6" w:rsidRDefault="00103FC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F5371C" w:rsidRPr="00147945" w:rsidRDefault="00F5371C" w:rsidP="0014794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87" w:rsidRDefault="00A71B87">
      <w:r>
        <w:separator/>
      </w:r>
    </w:p>
  </w:footnote>
  <w:footnote w:type="continuationSeparator" w:id="0">
    <w:p w:rsidR="00A71B87" w:rsidRDefault="00A71B87">
      <w:r>
        <w:continuationSeparator/>
      </w:r>
    </w:p>
  </w:footnote>
  <w:footnote w:id="1">
    <w:p w:rsidR="006D5410" w:rsidRDefault="006D5410" w:rsidP="006D541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1.</w:t>
      </w:r>
    </w:p>
  </w:footnote>
  <w:footnote w:id="2">
    <w:p w:rsidR="00F5371C" w:rsidRDefault="00F5371C" w:rsidP="006D541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אימא</w:t>
      </w:r>
      <w:r>
        <w:rPr>
          <w:lang w:bidi="he-IL"/>
        </w:rPr>
        <w:t>.</w:t>
      </w:r>
    </w:p>
  </w:footnote>
  <w:footnote w:id="3">
    <w:p w:rsidR="00D13A4D" w:rsidRDefault="00D13A4D" w:rsidP="006D541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4">
    <w:p w:rsidR="006D5410" w:rsidRDefault="006D5410" w:rsidP="006D541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5">
    <w:p w:rsidR="009C3E01" w:rsidRDefault="009C3E01" w:rsidP="006D5410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  <w:footnote w:id="6">
    <w:p w:rsidR="006D5410" w:rsidRDefault="006D5410" w:rsidP="006D5410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71C" w:rsidRPr="00147945" w:rsidRDefault="00F5371C" w:rsidP="00147945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וכדרב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945"/>
    <w:rsid w:val="000714F9"/>
    <w:rsid w:val="00103FC6"/>
    <w:rsid w:val="00147945"/>
    <w:rsid w:val="00184D2E"/>
    <w:rsid w:val="001F36BB"/>
    <w:rsid w:val="0020216B"/>
    <w:rsid w:val="00210A1E"/>
    <w:rsid w:val="0038096C"/>
    <w:rsid w:val="003F6705"/>
    <w:rsid w:val="006D5410"/>
    <w:rsid w:val="007139B7"/>
    <w:rsid w:val="00751B0F"/>
    <w:rsid w:val="007552E7"/>
    <w:rsid w:val="0089054C"/>
    <w:rsid w:val="00890F28"/>
    <w:rsid w:val="008E6690"/>
    <w:rsid w:val="009C3E01"/>
    <w:rsid w:val="00A71B87"/>
    <w:rsid w:val="00D13A4D"/>
    <w:rsid w:val="00D54370"/>
    <w:rsid w:val="00D60178"/>
    <w:rsid w:val="00D80DE2"/>
    <w:rsid w:val="00F5371C"/>
    <w:rsid w:val="00FB2A0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2C901A-6B0D-47AF-9D1A-C051F28D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79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4794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B2A00"/>
    <w:rPr>
      <w:sz w:val="20"/>
      <w:szCs w:val="20"/>
    </w:rPr>
  </w:style>
  <w:style w:type="character" w:styleId="FootnoteReference">
    <w:name w:val="footnote reference"/>
    <w:semiHidden/>
    <w:rsid w:val="00FB2A00"/>
    <w:rPr>
      <w:vertAlign w:val="superscript"/>
    </w:rPr>
  </w:style>
  <w:style w:type="character" w:customStyle="1" w:styleId="FooterChar">
    <w:name w:val="Footer Char"/>
    <w:link w:val="Footer"/>
    <w:uiPriority w:val="99"/>
    <w:rsid w:val="00103FC6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וכדרב הונא אמר רב – And it follows the opinion of רב הונא אמר רב</vt:lpstr>
    </vt:vector>
  </TitlesOfParts>
  <Company>Microsoft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וכדרב הונא אמר רב – And it follows the opinion of רב הונא אמר רב</dc:title>
  <dc:subject/>
  <dc:creator>EP</dc:creator>
  <cp:keywords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