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6B" w:rsidRPr="001E5E6B" w:rsidRDefault="004A2E36" w:rsidP="001E5E6B">
      <w:pPr>
        <w:bidi/>
        <w:rPr>
          <w:b w:val="0"/>
          <w:bCs w:val="0"/>
          <w:sz w:val="16"/>
          <w:szCs w:val="16"/>
        </w:rPr>
      </w:pPr>
      <w:r w:rsidRPr="001E5E6B">
        <w:rPr>
          <w:sz w:val="36"/>
          <w:szCs w:val="36"/>
          <w:rtl/>
        </w:rPr>
        <w:t>אלא</w:t>
      </w:r>
      <w:r w:rsidR="001E5E6B">
        <w:rPr>
          <w:rFonts w:hint="cs"/>
          <w:rtl/>
        </w:rPr>
        <w:t xml:space="preserve"> </w:t>
      </w:r>
      <w:r w:rsidRPr="001E5E6B">
        <w:rPr>
          <w:sz w:val="32"/>
          <w:szCs w:val="32"/>
          <w:rtl/>
        </w:rPr>
        <w:t>לא נישאו</w:t>
      </w:r>
      <w:r w:rsidR="001E5E6B">
        <w:rPr>
          <w:rFonts w:hint="cs"/>
          <w:sz w:val="32"/>
          <w:szCs w:val="32"/>
          <w:rtl/>
        </w:rPr>
        <w:t xml:space="preserve"> </w:t>
      </w:r>
      <w:r w:rsidR="001E5E6B">
        <w:rPr>
          <w:sz w:val="32"/>
          <w:szCs w:val="32"/>
          <w:rtl/>
        </w:rPr>
        <w:t>–</w:t>
      </w:r>
      <w:r w:rsidR="001E5E6B">
        <w:rPr>
          <w:rFonts w:hint="cs"/>
          <w:sz w:val="32"/>
          <w:szCs w:val="32"/>
          <w:rtl/>
        </w:rPr>
        <w:t xml:space="preserve"> </w:t>
      </w:r>
      <w:r w:rsidR="001E5E6B">
        <w:rPr>
          <w:sz w:val="32"/>
          <w:szCs w:val="32"/>
        </w:rPr>
        <w:t xml:space="preserve">Rather; ‘They </w:t>
      </w:r>
      <w:r w:rsidR="001E5E6B">
        <w:rPr>
          <w:b w:val="0"/>
          <w:bCs w:val="0"/>
          <w:sz w:val="32"/>
          <w:szCs w:val="32"/>
        </w:rPr>
        <w:t xml:space="preserve">(the women) </w:t>
      </w:r>
      <w:r w:rsidR="001E5E6B">
        <w:rPr>
          <w:sz w:val="32"/>
          <w:szCs w:val="32"/>
        </w:rPr>
        <w:t xml:space="preserve">were not married’             </w:t>
      </w:r>
      <w:r w:rsidR="001E5E6B">
        <w:rPr>
          <w:sz w:val="16"/>
          <w:szCs w:val="16"/>
        </w:rPr>
        <w:t xml:space="preserve">  </w:t>
      </w:r>
    </w:p>
    <w:p w:rsidR="001E5E6B" w:rsidRDefault="001E5E6B" w:rsidP="001E5E6B">
      <w:pPr>
        <w:bidi/>
        <w:rPr>
          <w:b w:val="0"/>
          <w:bCs w:val="0"/>
          <w:sz w:val="24"/>
          <w:szCs w:val="24"/>
          <w:rtl/>
        </w:rPr>
      </w:pPr>
    </w:p>
    <w:p w:rsidR="001E5E6B" w:rsidRPr="001E5E6B" w:rsidRDefault="001E5E6B" w:rsidP="001E5E6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E5E6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E5E6B" w:rsidRPr="001E5E6B" w:rsidRDefault="001E5E6B" w:rsidP="00DD288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אחאי</w:t>
      </w:r>
      <w:r>
        <w:rPr>
          <w:b w:val="0"/>
          <w:bCs w:val="0"/>
        </w:rPr>
        <w:t xml:space="preserve"> inferred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reads </w:t>
      </w:r>
      <w:r>
        <w:rPr>
          <w:rFonts w:hint="cs"/>
          <w:b w:val="0"/>
          <w:bCs w:val="0"/>
          <w:rtl/>
        </w:rPr>
        <w:t>לא נישאו</w:t>
      </w:r>
      <w:r>
        <w:rPr>
          <w:b w:val="0"/>
          <w:bCs w:val="0"/>
        </w:rPr>
        <w:t xml:space="preserve"> (</w:t>
      </w:r>
      <w:r w:rsidR="00DD2880">
        <w:rPr>
          <w:b w:val="0"/>
          <w:bCs w:val="0"/>
        </w:rPr>
        <w:t xml:space="preserve">which </w:t>
      </w:r>
      <w:r>
        <w:rPr>
          <w:b w:val="0"/>
          <w:bCs w:val="0"/>
        </w:rPr>
        <w:t>indicat</w:t>
      </w:r>
      <w:r w:rsidR="00DD2880">
        <w:rPr>
          <w:b w:val="0"/>
          <w:bCs w:val="0"/>
        </w:rPr>
        <w:t>es</w:t>
      </w:r>
      <w:r>
        <w:rPr>
          <w:b w:val="0"/>
          <w:bCs w:val="0"/>
        </w:rPr>
        <w:t xml:space="preserve"> that the delay is caused by the woman), that even if the delay is caused by the women, they can still eat from the husband.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the inference of </w:t>
      </w:r>
      <w:r>
        <w:rPr>
          <w:rFonts w:hint="cs"/>
          <w:b w:val="0"/>
          <w:bCs w:val="0"/>
          <w:rtl/>
        </w:rPr>
        <w:t>[לא] נישאו</w:t>
      </w:r>
      <w:r>
        <w:rPr>
          <w:b w:val="0"/>
          <w:bCs w:val="0"/>
        </w:rPr>
        <w:t>.</w:t>
      </w:r>
    </w:p>
    <w:p w:rsidR="001E5E6B" w:rsidRDefault="002231CD" w:rsidP="00FD05F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1E5E6B" w:rsidRPr="002231CD" w:rsidRDefault="004A2E36" w:rsidP="002231CD">
      <w:pPr>
        <w:bidi/>
        <w:rPr>
          <w:rFonts w:cs="David"/>
        </w:rPr>
      </w:pPr>
      <w:r w:rsidRPr="002231CD">
        <w:rPr>
          <w:rFonts w:cs="David"/>
          <w:rtl/>
        </w:rPr>
        <w:t>פירוש</w:t>
      </w:r>
      <w:r w:rsidR="00230B0F" w:rsidRPr="002231CD">
        <w:rPr>
          <w:rStyle w:val="FootnoteReference"/>
          <w:rFonts w:cs="David"/>
          <w:rtl/>
        </w:rPr>
        <w:footnoteReference w:id="1"/>
      </w:r>
      <w:r w:rsidRPr="002231CD">
        <w:rPr>
          <w:rFonts w:cs="David"/>
          <w:rtl/>
        </w:rPr>
        <w:t xml:space="preserve"> דמשמע נמי דמעכבי אינהי</w:t>
      </w:r>
      <w:r w:rsidR="00DD2880" w:rsidRPr="002231CD">
        <w:rPr>
          <w:rStyle w:val="FootnoteReference"/>
          <w:rFonts w:cs="David"/>
          <w:rtl/>
        </w:rPr>
        <w:footnoteReference w:id="2"/>
      </w:r>
      <w:r w:rsidRPr="002231CD">
        <w:rPr>
          <w:rFonts w:cs="David"/>
          <w:rtl/>
        </w:rPr>
        <w:t xml:space="preserve"> </w:t>
      </w:r>
      <w:r w:rsidR="002231CD">
        <w:rPr>
          <w:rFonts w:cs="David" w:hint="cs"/>
          <w:rtl/>
        </w:rPr>
        <w:t>-</w:t>
      </w:r>
    </w:p>
    <w:p w:rsidR="001E5E6B" w:rsidRPr="002231CD" w:rsidRDefault="001E5E6B" w:rsidP="001E5E6B">
      <w:pPr>
        <w:rPr>
          <w:sz w:val="24"/>
          <w:szCs w:val="24"/>
        </w:rPr>
      </w:pPr>
      <w:r>
        <w:t xml:space="preserve">The explanation is that </w:t>
      </w:r>
      <w:r>
        <w:rPr>
          <w:rFonts w:hint="cs"/>
          <w:b w:val="0"/>
          <w:bCs w:val="0"/>
          <w:rtl/>
        </w:rPr>
        <w:t>לא נישאו</w:t>
      </w:r>
      <w:r>
        <w:rPr>
          <w:b w:val="0"/>
          <w:bCs w:val="0"/>
        </w:rPr>
        <w:t xml:space="preserve"> </w:t>
      </w:r>
      <w:r>
        <w:t xml:space="preserve">indicates that the women </w:t>
      </w:r>
      <w:r>
        <w:rPr>
          <w:b w:val="0"/>
          <w:bCs w:val="0"/>
        </w:rPr>
        <w:t xml:space="preserve">are </w:t>
      </w:r>
      <w:r>
        <w:t xml:space="preserve">also causing the delay </w:t>
      </w:r>
      <w:r w:rsidR="00230B0F" w:rsidRPr="002231CD">
        <w:rPr>
          <w:b w:val="0"/>
          <w:bCs w:val="0"/>
          <w:sz w:val="24"/>
          <w:szCs w:val="24"/>
        </w:rPr>
        <w:t xml:space="preserve">(in addition to </w:t>
      </w:r>
      <w:r w:rsidR="00DD2880" w:rsidRPr="002231CD">
        <w:rPr>
          <w:b w:val="0"/>
          <w:bCs w:val="0"/>
          <w:sz w:val="24"/>
          <w:szCs w:val="24"/>
        </w:rPr>
        <w:t xml:space="preserve">cases where </w:t>
      </w:r>
      <w:r w:rsidR="00230B0F" w:rsidRPr="002231CD">
        <w:rPr>
          <w:b w:val="0"/>
          <w:bCs w:val="0"/>
          <w:sz w:val="24"/>
          <w:szCs w:val="24"/>
        </w:rPr>
        <w:t>the men</w:t>
      </w:r>
      <w:r w:rsidR="00DD2880" w:rsidRPr="002231CD">
        <w:rPr>
          <w:b w:val="0"/>
          <w:bCs w:val="0"/>
          <w:sz w:val="24"/>
          <w:szCs w:val="24"/>
        </w:rPr>
        <w:t xml:space="preserve"> are delaying</w:t>
      </w:r>
      <w:r w:rsidR="00230B0F" w:rsidRPr="002231CD">
        <w:rPr>
          <w:b w:val="0"/>
          <w:bCs w:val="0"/>
          <w:sz w:val="24"/>
          <w:szCs w:val="24"/>
        </w:rPr>
        <w:t xml:space="preserve">) </w:t>
      </w:r>
      <w:r w:rsidRPr="002231CD">
        <w:rPr>
          <w:sz w:val="24"/>
          <w:szCs w:val="24"/>
        </w:rPr>
        <w:t>-</w:t>
      </w:r>
    </w:p>
    <w:p w:rsidR="001E5E6B" w:rsidRPr="002231CD" w:rsidRDefault="004A2E36" w:rsidP="002231CD">
      <w:pPr>
        <w:bidi/>
        <w:rPr>
          <w:rFonts w:cs="David"/>
        </w:rPr>
      </w:pPr>
      <w:r w:rsidRPr="002231CD">
        <w:rPr>
          <w:rFonts w:cs="David"/>
          <w:rtl/>
        </w:rPr>
        <w:t xml:space="preserve">אבל אין לומר דמשמע דוקא דמעכבי אינהי אבל לא אינהו </w:t>
      </w:r>
      <w:r w:rsidR="002231CD">
        <w:rPr>
          <w:rFonts w:cs="David" w:hint="cs"/>
          <w:rtl/>
        </w:rPr>
        <w:t>-</w:t>
      </w:r>
    </w:p>
    <w:p w:rsidR="001E5E6B" w:rsidRPr="002231CD" w:rsidRDefault="001E5E6B" w:rsidP="001E5E6B">
      <w:pPr>
        <w:rPr>
          <w:sz w:val="24"/>
          <w:szCs w:val="24"/>
        </w:rPr>
      </w:pPr>
      <w:r>
        <w:t xml:space="preserve">However one cannot say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לא נישאו</w:t>
      </w:r>
      <w:r>
        <w:rPr>
          <w:b w:val="0"/>
          <w:bCs w:val="0"/>
        </w:rPr>
        <w:t xml:space="preserve"> </w:t>
      </w:r>
      <w:r>
        <w:t xml:space="preserve">indicates that only the </w:t>
      </w:r>
      <w:r w:rsidRPr="00DD2880">
        <w:rPr>
          <w:b w:val="0"/>
          <w:bCs w:val="0"/>
        </w:rPr>
        <w:t>women</w:t>
      </w:r>
      <w:r>
        <w:t xml:space="preserve"> are causing the delay, but not the </w:t>
      </w:r>
      <w:r w:rsidRPr="002231CD">
        <w:rPr>
          <w:b w:val="0"/>
          <w:bCs w:val="0"/>
          <w:sz w:val="24"/>
          <w:szCs w:val="24"/>
        </w:rPr>
        <w:t>men</w:t>
      </w:r>
      <w:r w:rsidR="002231CD">
        <w:rPr>
          <w:b w:val="0"/>
          <w:bCs w:val="0"/>
          <w:sz w:val="24"/>
          <w:szCs w:val="24"/>
        </w:rPr>
        <w:t>; this is incorrect, for</w:t>
      </w:r>
      <w:r w:rsidRPr="002231CD">
        <w:rPr>
          <w:sz w:val="24"/>
          <w:szCs w:val="24"/>
        </w:rPr>
        <w:t xml:space="preserve"> -</w:t>
      </w:r>
    </w:p>
    <w:p w:rsidR="001E5E6B" w:rsidRPr="002231CD" w:rsidRDefault="004A2E36" w:rsidP="002231CD">
      <w:pPr>
        <w:bidi/>
        <w:rPr>
          <w:rFonts w:cs="David"/>
        </w:rPr>
      </w:pPr>
      <w:r w:rsidRPr="002231CD">
        <w:rPr>
          <w:rFonts w:cs="David"/>
          <w:rtl/>
        </w:rPr>
        <w:t>מדקאמר לעולם דמעכבי א</w:t>
      </w:r>
      <w:r w:rsidR="001E5E6B" w:rsidRPr="002231CD">
        <w:rPr>
          <w:rFonts w:cs="David"/>
          <w:rtl/>
        </w:rPr>
        <w:t>ינהו ואיידי דתנא רישא בדידהי</w:t>
      </w:r>
      <w:r w:rsidR="00FD05F2" w:rsidRPr="002231CD">
        <w:rPr>
          <w:rStyle w:val="FootnoteReference"/>
          <w:rFonts w:cs="David"/>
          <w:rtl/>
        </w:rPr>
        <w:footnoteReference w:id="3"/>
      </w:r>
      <w:r w:rsidR="001E5E6B" w:rsidRPr="002231CD">
        <w:rPr>
          <w:rFonts w:cs="David"/>
          <w:rtl/>
        </w:rPr>
        <w:t xml:space="preserve"> כו</w:t>
      </w:r>
      <w:r w:rsidR="001E5E6B" w:rsidRPr="002231CD">
        <w:rPr>
          <w:rFonts w:cs="David" w:hint="cs"/>
          <w:rtl/>
        </w:rPr>
        <w:t>לי</w:t>
      </w:r>
      <w:r w:rsidRPr="002231CD">
        <w:rPr>
          <w:rFonts w:cs="David"/>
          <w:rtl/>
        </w:rPr>
        <w:t xml:space="preserve"> </w:t>
      </w:r>
      <w:r w:rsidR="002231CD">
        <w:rPr>
          <w:rFonts w:cs="David" w:hint="cs"/>
          <w:rtl/>
        </w:rPr>
        <w:t>-</w:t>
      </w:r>
    </w:p>
    <w:p w:rsidR="001E5E6B" w:rsidRPr="002231CD" w:rsidRDefault="001E5E6B" w:rsidP="001E5E6B">
      <w:pPr>
        <w:rPr>
          <w:b w:val="0"/>
          <w:bCs w:val="0"/>
          <w:sz w:val="24"/>
          <w:szCs w:val="24"/>
        </w:rPr>
      </w:pPr>
      <w:r>
        <w:t xml:space="preserve">Since </w:t>
      </w:r>
      <w:r>
        <w:rPr>
          <w:rFonts w:hint="cs"/>
          <w:b w:val="0"/>
          <w:bCs w:val="0"/>
          <w:rtl/>
        </w:rPr>
        <w:t>רב אשי</w:t>
      </w:r>
      <w:r>
        <w:rPr>
          <w:b w:val="0"/>
          <w:bCs w:val="0"/>
        </w:rPr>
        <w:t xml:space="preserve"> </w:t>
      </w:r>
      <w:r>
        <w:t xml:space="preserve">states, really the men are delaying </w:t>
      </w:r>
      <w:r w:rsidR="00DD2880">
        <w:rPr>
          <w:b w:val="0"/>
          <w:bCs w:val="0"/>
        </w:rPr>
        <w:t xml:space="preserve">(and only then are they </w:t>
      </w:r>
      <w:r w:rsidR="00DD2880">
        <w:rPr>
          <w:rFonts w:hint="cs"/>
          <w:b w:val="0"/>
          <w:bCs w:val="0"/>
          <w:rtl/>
        </w:rPr>
        <w:t>מעלה לה מזונות</w:t>
      </w:r>
      <w:r w:rsidR="00DD2880">
        <w:rPr>
          <w:b w:val="0"/>
          <w:bCs w:val="0"/>
        </w:rPr>
        <w:t xml:space="preserve">), </w:t>
      </w:r>
      <w:r>
        <w:t xml:space="preserve">and </w:t>
      </w:r>
      <w:r>
        <w:rPr>
          <w:b w:val="0"/>
          <w:bCs w:val="0"/>
        </w:rPr>
        <w:t xml:space="preserve">the reason we read </w:t>
      </w:r>
      <w:r>
        <w:rPr>
          <w:rFonts w:hint="cs"/>
          <w:b w:val="0"/>
          <w:bCs w:val="0"/>
          <w:rtl/>
        </w:rPr>
        <w:t>נישאו</w:t>
      </w:r>
      <w:r>
        <w:rPr>
          <w:b w:val="0"/>
          <w:bCs w:val="0"/>
        </w:rPr>
        <w:t xml:space="preserve"> (which indicates that the woman are delaying) </w:t>
      </w:r>
      <w:r>
        <w:t xml:space="preserve">is since the </w:t>
      </w:r>
      <w:r>
        <w:rPr>
          <w:rFonts w:hint="cs"/>
          <w:rtl/>
        </w:rPr>
        <w:t>רישא</w:t>
      </w:r>
      <w:r>
        <w:t xml:space="preserve"> discusses the </w:t>
      </w:r>
      <w:r w:rsidR="00230B0F">
        <w:t>wo</w:t>
      </w:r>
      <w:r>
        <w:t xml:space="preserve">men, etc., </w:t>
      </w:r>
      <w:r w:rsidRPr="002231CD">
        <w:rPr>
          <w:b w:val="0"/>
          <w:bCs w:val="0"/>
          <w:sz w:val="24"/>
          <w:szCs w:val="24"/>
        </w:rPr>
        <w:t xml:space="preserve">the </w:t>
      </w:r>
      <w:r w:rsidRPr="002231CD">
        <w:rPr>
          <w:rFonts w:hint="cs"/>
          <w:b w:val="0"/>
          <w:bCs w:val="0"/>
          <w:sz w:val="24"/>
          <w:szCs w:val="24"/>
          <w:rtl/>
        </w:rPr>
        <w:t>סיפא</w:t>
      </w:r>
      <w:r w:rsidRPr="002231CD">
        <w:rPr>
          <w:b w:val="0"/>
          <w:bCs w:val="0"/>
          <w:sz w:val="24"/>
          <w:szCs w:val="24"/>
        </w:rPr>
        <w:t xml:space="preserve"> also discusses the </w:t>
      </w:r>
      <w:r w:rsidR="00230B0F" w:rsidRPr="002231CD">
        <w:rPr>
          <w:b w:val="0"/>
          <w:bCs w:val="0"/>
          <w:sz w:val="24"/>
          <w:szCs w:val="24"/>
        </w:rPr>
        <w:t>wo</w:t>
      </w:r>
      <w:r w:rsidRPr="002231CD">
        <w:rPr>
          <w:b w:val="0"/>
          <w:bCs w:val="0"/>
          <w:sz w:val="24"/>
          <w:szCs w:val="24"/>
        </w:rPr>
        <w:t xml:space="preserve">men by saying </w:t>
      </w:r>
      <w:r w:rsidRPr="002231CD">
        <w:rPr>
          <w:rFonts w:hint="cs"/>
          <w:b w:val="0"/>
          <w:bCs w:val="0"/>
          <w:sz w:val="24"/>
          <w:szCs w:val="24"/>
          <w:rtl/>
        </w:rPr>
        <w:t>נ</w:t>
      </w:r>
      <w:r w:rsidR="00230B0F" w:rsidRPr="002231CD">
        <w:rPr>
          <w:rFonts w:hint="cs"/>
          <w:b w:val="0"/>
          <w:bCs w:val="0"/>
          <w:sz w:val="24"/>
          <w:szCs w:val="24"/>
          <w:rtl/>
        </w:rPr>
        <w:t>ישאו</w:t>
      </w:r>
      <w:r w:rsidR="00230B0F" w:rsidRPr="002231CD">
        <w:rPr>
          <w:b w:val="0"/>
          <w:bCs w:val="0"/>
          <w:sz w:val="24"/>
          <w:szCs w:val="24"/>
        </w:rPr>
        <w:t xml:space="preserve">. However if </w:t>
      </w:r>
      <w:r w:rsidR="00230B0F" w:rsidRPr="002231CD">
        <w:rPr>
          <w:rFonts w:hint="cs"/>
          <w:b w:val="0"/>
          <w:bCs w:val="0"/>
          <w:sz w:val="24"/>
          <w:szCs w:val="24"/>
          <w:rtl/>
        </w:rPr>
        <w:t>נישאו</w:t>
      </w:r>
      <w:r w:rsidR="00230B0F" w:rsidRPr="002231CD">
        <w:rPr>
          <w:b w:val="0"/>
          <w:bCs w:val="0"/>
          <w:sz w:val="24"/>
          <w:szCs w:val="24"/>
        </w:rPr>
        <w:t xml:space="preserve"> means women exclusively -</w:t>
      </w:r>
    </w:p>
    <w:p w:rsidR="004A2E36" w:rsidRPr="002231CD" w:rsidRDefault="004A2E36" w:rsidP="001E5E6B">
      <w:pPr>
        <w:bidi/>
        <w:rPr>
          <w:rFonts w:cs="David"/>
        </w:rPr>
      </w:pPr>
      <w:r w:rsidRPr="002231CD">
        <w:rPr>
          <w:rFonts w:cs="David"/>
          <w:rtl/>
        </w:rPr>
        <w:t>דמשום איידי</w:t>
      </w:r>
      <w:r w:rsidR="00230B0F" w:rsidRPr="002231CD">
        <w:rPr>
          <w:rStyle w:val="FootnoteReference"/>
          <w:rFonts w:cs="David"/>
          <w:rtl/>
        </w:rPr>
        <w:footnoteReference w:id="4"/>
      </w:r>
      <w:r w:rsidRPr="002231CD">
        <w:rPr>
          <w:rFonts w:cs="David"/>
          <w:rtl/>
        </w:rPr>
        <w:t xml:space="preserve"> אין לשנות טעות בסיפא</w:t>
      </w:r>
      <w:r w:rsidRPr="002231CD">
        <w:rPr>
          <w:rFonts w:cs="David"/>
        </w:rPr>
        <w:t>:</w:t>
      </w:r>
    </w:p>
    <w:p w:rsidR="00230B0F" w:rsidRPr="00230B0F" w:rsidRDefault="00230B0F" w:rsidP="00230B0F">
      <w:r w:rsidRPr="00230B0F">
        <w:t>There</w:t>
      </w:r>
      <w:r>
        <w:rPr>
          <w:b w:val="0"/>
          <w:bCs w:val="0"/>
        </w:rPr>
        <w:t xml:space="preserve"> is </w:t>
      </w:r>
      <w:r>
        <w:t xml:space="preserve">no </w:t>
      </w:r>
      <w:r>
        <w:rPr>
          <w:b w:val="0"/>
          <w:bCs w:val="0"/>
        </w:rPr>
        <w:t xml:space="preserve">justification </w:t>
      </w:r>
      <w:r>
        <w:t xml:space="preserve">to </w:t>
      </w:r>
      <w:r>
        <w:rPr>
          <w:b w:val="0"/>
          <w:bCs w:val="0"/>
        </w:rPr>
        <w:t xml:space="preserve">insert </w:t>
      </w:r>
      <w:r w:rsidRPr="00230B0F">
        <w:t xml:space="preserve">an erroneous teaching in the </w:t>
      </w:r>
      <w:r w:rsidRPr="00230B0F">
        <w:rPr>
          <w:rFonts w:hint="cs"/>
          <w:rtl/>
        </w:rPr>
        <w:t>סיפא</w:t>
      </w:r>
      <w:r>
        <w:t xml:space="preserve"> because of the ‘since’</w:t>
      </w:r>
      <w:r w:rsidRPr="00230B0F">
        <w:t xml:space="preserve">. </w:t>
      </w:r>
    </w:p>
    <w:p w:rsidR="003D4453" w:rsidRPr="002231CD" w:rsidRDefault="003D4453">
      <w:pPr>
        <w:rPr>
          <w:sz w:val="24"/>
          <w:szCs w:val="24"/>
        </w:rPr>
      </w:pPr>
    </w:p>
    <w:p w:rsidR="001E5E6B" w:rsidRPr="001E5E6B" w:rsidRDefault="001E5E6B">
      <w:pPr>
        <w:rPr>
          <w:rFonts w:ascii="Copperplate Gothic Bold" w:hAnsi="Copperplate Gothic Bold"/>
          <w:b w:val="0"/>
          <w:bCs w:val="0"/>
          <w:u w:val="double"/>
        </w:rPr>
      </w:pPr>
      <w:r w:rsidRPr="001E5E6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E5E6B" w:rsidRDefault="00DD2880" w:rsidP="00DD288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לא נישאו</w:t>
      </w:r>
      <w:r>
        <w:rPr>
          <w:b w:val="0"/>
          <w:bCs w:val="0"/>
        </w:rPr>
        <w:t xml:space="preserve"> can refer to both men and women causing the delay</w:t>
      </w:r>
    </w:p>
    <w:p w:rsidR="00F3351B" w:rsidRDefault="00F3351B">
      <w:pPr>
        <w:rPr>
          <w:rFonts w:ascii="Copperplate Gothic Bold" w:hAnsi="Copperplate Gothic Bold"/>
          <w:b w:val="0"/>
          <w:bCs w:val="0"/>
          <w:sz w:val="20"/>
          <w:szCs w:val="20"/>
          <w:u w:val="double"/>
        </w:rPr>
      </w:pPr>
    </w:p>
    <w:p w:rsidR="001E5E6B" w:rsidRPr="001E5E6B" w:rsidRDefault="001E5E6B">
      <w:pPr>
        <w:rPr>
          <w:rFonts w:ascii="Copperplate Gothic Bold" w:hAnsi="Copperplate Gothic Bold"/>
          <w:b w:val="0"/>
          <w:bCs w:val="0"/>
          <w:u w:val="double"/>
        </w:rPr>
      </w:pPr>
      <w:r w:rsidRPr="001E5E6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E5E6B" w:rsidRPr="001E5E6B" w:rsidRDefault="002231CD" w:rsidP="002231CD">
      <w:pPr>
        <w:rPr>
          <w:b w:val="0"/>
          <w:bCs w:val="0"/>
        </w:rPr>
      </w:pPr>
      <w:r>
        <w:rPr>
          <w:b w:val="0"/>
          <w:bCs w:val="0"/>
        </w:rPr>
        <w:t xml:space="preserve">Why is it not considered a </w:t>
      </w:r>
      <w:r>
        <w:rPr>
          <w:rFonts w:hint="cs"/>
          <w:b w:val="0"/>
          <w:bCs w:val="0"/>
          <w:rtl/>
        </w:rPr>
        <w:t>טעות בסיפא</w:t>
      </w:r>
      <w:r>
        <w:rPr>
          <w:b w:val="0"/>
          <w:bCs w:val="0"/>
        </w:rPr>
        <w:t xml:space="preserve"> if </w:t>
      </w:r>
      <w:r>
        <w:rPr>
          <w:rFonts w:hint="cs"/>
          <w:b w:val="0"/>
          <w:bCs w:val="0"/>
          <w:rtl/>
        </w:rPr>
        <w:t>נישאו</w:t>
      </w:r>
      <w:r>
        <w:rPr>
          <w:b w:val="0"/>
          <w:bCs w:val="0"/>
        </w:rPr>
        <w:t xml:space="preserve"> means women also?</w:t>
      </w:r>
      <w:r w:rsidR="00F3351B">
        <w:rPr>
          <w:rStyle w:val="FootnoteReference"/>
          <w:b w:val="0"/>
          <w:bCs w:val="0"/>
        </w:rPr>
        <w:footnoteReference w:id="5"/>
      </w:r>
    </w:p>
    <w:sectPr w:rsidR="001E5E6B" w:rsidRPr="001E5E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197" w:rsidRDefault="00F75197" w:rsidP="001E5E6B">
      <w:pPr>
        <w:spacing w:line="240" w:lineRule="auto"/>
      </w:pPr>
      <w:r>
        <w:separator/>
      </w:r>
    </w:p>
  </w:endnote>
  <w:endnote w:type="continuationSeparator" w:id="0">
    <w:p w:rsidR="00F75197" w:rsidRDefault="00F75197" w:rsidP="001E5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8FB" w:rsidRPr="002278FB" w:rsidRDefault="002278FB" w:rsidP="002278FB">
    <w:pPr>
      <w:pStyle w:val="Footer"/>
      <w:jc w:val="center"/>
      <w:rPr>
        <w:b w:val="0"/>
        <w:bCs w:val="0"/>
        <w:sz w:val="16"/>
        <w:szCs w:val="16"/>
      </w:rPr>
    </w:pPr>
    <w:r w:rsidRPr="002278FB">
      <w:rPr>
        <w:b w:val="0"/>
        <w:bCs w:val="0"/>
        <w:sz w:val="16"/>
        <w:szCs w:val="16"/>
      </w:rPr>
      <w:t>TosfosInEnglish.com</w:t>
    </w:r>
  </w:p>
  <w:p w:rsidR="002278FB" w:rsidRDefault="00227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197" w:rsidRDefault="00F75197" w:rsidP="001E5E6B">
      <w:pPr>
        <w:spacing w:line="240" w:lineRule="auto"/>
      </w:pPr>
      <w:r>
        <w:separator/>
      </w:r>
    </w:p>
  </w:footnote>
  <w:footnote w:type="continuationSeparator" w:id="0">
    <w:p w:rsidR="00F75197" w:rsidRDefault="00F75197" w:rsidP="001E5E6B">
      <w:pPr>
        <w:spacing w:line="240" w:lineRule="auto"/>
      </w:pPr>
      <w:r>
        <w:continuationSeparator/>
      </w:r>
    </w:p>
  </w:footnote>
  <w:footnote w:id="1">
    <w:p w:rsidR="00230B0F" w:rsidRPr="002231CD" w:rsidRDefault="00230B0F" w:rsidP="002231CD">
      <w:pPr>
        <w:pStyle w:val="FootnoteText"/>
        <w:spacing w:line="264" w:lineRule="auto"/>
        <w:rPr>
          <w:b w:val="0"/>
          <w:bCs w:val="0"/>
        </w:rPr>
      </w:pPr>
      <w:r w:rsidRPr="002231CD">
        <w:rPr>
          <w:rStyle w:val="FootnoteReference"/>
          <w:b w:val="0"/>
          <w:bCs w:val="0"/>
        </w:rPr>
        <w:footnoteRef/>
      </w:r>
      <w:r w:rsidRPr="002231CD">
        <w:rPr>
          <w:b w:val="0"/>
          <w:bCs w:val="0"/>
        </w:rPr>
        <w:t xml:space="preserve"> The word </w:t>
      </w:r>
      <w:r w:rsidRPr="002231CD">
        <w:rPr>
          <w:rFonts w:hint="cs"/>
          <w:b w:val="0"/>
          <w:bCs w:val="0"/>
          <w:rtl/>
        </w:rPr>
        <w:t>פירוש</w:t>
      </w:r>
      <w:r w:rsidRPr="002231CD">
        <w:rPr>
          <w:b w:val="0"/>
          <w:bCs w:val="0"/>
        </w:rPr>
        <w:t xml:space="preserve"> is used (as usual) to reject an alternate explanation, nam</w:t>
      </w:r>
      <w:bookmarkStart w:id="0" w:name="_GoBack"/>
      <w:bookmarkEnd w:id="0"/>
      <w:r w:rsidRPr="002231CD">
        <w:rPr>
          <w:b w:val="0"/>
          <w:bCs w:val="0"/>
        </w:rPr>
        <w:t xml:space="preserve">ely, the </w:t>
      </w:r>
      <w:r w:rsidRPr="002231CD">
        <w:rPr>
          <w:rFonts w:hint="cs"/>
          <w:b w:val="0"/>
          <w:bCs w:val="0"/>
          <w:rtl/>
        </w:rPr>
        <w:t>אבל אין לומר</w:t>
      </w:r>
      <w:r w:rsidRPr="002231CD">
        <w:rPr>
          <w:b w:val="0"/>
          <w:bCs w:val="0"/>
        </w:rPr>
        <w:t xml:space="preserve">, which follows. </w:t>
      </w:r>
    </w:p>
  </w:footnote>
  <w:footnote w:id="2">
    <w:p w:rsidR="00DD2880" w:rsidRPr="002231CD" w:rsidRDefault="00DD2880" w:rsidP="002231CD">
      <w:pPr>
        <w:pStyle w:val="FootnoteText"/>
        <w:spacing w:line="264" w:lineRule="auto"/>
        <w:rPr>
          <w:b w:val="0"/>
          <w:bCs w:val="0"/>
        </w:rPr>
      </w:pPr>
      <w:r w:rsidRPr="002231CD">
        <w:rPr>
          <w:rStyle w:val="FootnoteReference"/>
          <w:b w:val="0"/>
          <w:bCs w:val="0"/>
        </w:rPr>
        <w:footnoteRef/>
      </w:r>
      <w:r w:rsidRPr="002231CD">
        <w:rPr>
          <w:b w:val="0"/>
          <w:bCs w:val="0"/>
        </w:rPr>
        <w:t xml:space="preserve"> </w:t>
      </w:r>
      <w:r w:rsidRPr="002231CD">
        <w:rPr>
          <w:rFonts w:hint="cs"/>
          <w:b w:val="0"/>
          <w:bCs w:val="0"/>
          <w:rtl/>
        </w:rPr>
        <w:t>רב אחאי</w:t>
      </w:r>
      <w:r w:rsidRPr="002231CD">
        <w:rPr>
          <w:b w:val="0"/>
          <w:bCs w:val="0"/>
        </w:rPr>
        <w:t xml:space="preserve"> therefore infers that since the </w:t>
      </w:r>
      <w:r w:rsidRPr="002231CD">
        <w:rPr>
          <w:rFonts w:hint="cs"/>
          <w:b w:val="0"/>
          <w:bCs w:val="0"/>
          <w:rtl/>
        </w:rPr>
        <w:t>משנה</w:t>
      </w:r>
      <w:r w:rsidRPr="002231CD">
        <w:rPr>
          <w:b w:val="0"/>
          <w:bCs w:val="0"/>
        </w:rPr>
        <w:t xml:space="preserve"> does not read </w:t>
      </w:r>
      <w:r w:rsidRPr="002231CD">
        <w:rPr>
          <w:rFonts w:hint="cs"/>
          <w:b w:val="0"/>
          <w:bCs w:val="0"/>
          <w:rtl/>
        </w:rPr>
        <w:t>נשאו</w:t>
      </w:r>
      <w:r w:rsidRPr="002231CD">
        <w:rPr>
          <w:b w:val="0"/>
          <w:bCs w:val="0"/>
        </w:rPr>
        <w:t xml:space="preserve"> (which refers to the men exclusively) but rather </w:t>
      </w:r>
      <w:r w:rsidRPr="002231CD">
        <w:rPr>
          <w:rFonts w:hint="cs"/>
          <w:b w:val="0"/>
          <w:bCs w:val="0"/>
          <w:rtl/>
        </w:rPr>
        <w:t>נישאו</w:t>
      </w:r>
      <w:r w:rsidRPr="002231CD">
        <w:rPr>
          <w:b w:val="0"/>
          <w:bCs w:val="0"/>
        </w:rPr>
        <w:t xml:space="preserve"> (which refers to delays caused by either the men or the woman), that even if the delay is caused by the woman, nevertheless </w:t>
      </w:r>
      <w:r w:rsidRPr="002231CD">
        <w:rPr>
          <w:rFonts w:hint="cs"/>
          <w:b w:val="0"/>
          <w:bCs w:val="0"/>
          <w:rtl/>
        </w:rPr>
        <w:t>מעלה לה מזונות</w:t>
      </w:r>
      <w:r w:rsidRPr="002231CD">
        <w:rPr>
          <w:b w:val="0"/>
          <w:bCs w:val="0"/>
        </w:rPr>
        <w:t>,</w:t>
      </w:r>
    </w:p>
  </w:footnote>
  <w:footnote w:id="3">
    <w:p w:rsidR="00FD05F2" w:rsidRPr="002231CD" w:rsidRDefault="00FD05F2" w:rsidP="002231CD">
      <w:pPr>
        <w:pStyle w:val="FootnoteText"/>
        <w:spacing w:line="264" w:lineRule="auto"/>
        <w:rPr>
          <w:b w:val="0"/>
          <w:bCs w:val="0"/>
        </w:rPr>
      </w:pPr>
      <w:r w:rsidRPr="002231CD">
        <w:rPr>
          <w:rStyle w:val="FootnoteReference"/>
          <w:b w:val="0"/>
          <w:bCs w:val="0"/>
        </w:rPr>
        <w:footnoteRef/>
      </w:r>
      <w:r w:rsidRPr="002231CD">
        <w:rPr>
          <w:b w:val="0"/>
          <w:bCs w:val="0"/>
        </w:rPr>
        <w:t xml:space="preserve"> </w:t>
      </w:r>
      <w:proofErr w:type="gramStart"/>
      <w:r w:rsidRPr="002231CD">
        <w:rPr>
          <w:b w:val="0"/>
          <w:bCs w:val="0"/>
        </w:rPr>
        <w:t xml:space="preserve">See </w:t>
      </w:r>
      <w:r w:rsidRPr="002231CD">
        <w:rPr>
          <w:rFonts w:hint="cs"/>
          <w:b w:val="0"/>
          <w:bCs w:val="0"/>
          <w:rtl/>
        </w:rPr>
        <w:t>רש"י ד"ה ואיידי</w:t>
      </w:r>
      <w:r w:rsidRPr="002231CD">
        <w:rPr>
          <w:b w:val="0"/>
          <w:bCs w:val="0"/>
        </w:rPr>
        <w:t xml:space="preserve"> that the </w:t>
      </w:r>
      <w:r w:rsidRPr="002231CD">
        <w:rPr>
          <w:rFonts w:hint="cs"/>
          <w:b w:val="0"/>
          <w:bCs w:val="0"/>
          <w:rtl/>
        </w:rPr>
        <w:t>רישא</w:t>
      </w:r>
      <w:r w:rsidRPr="002231CD">
        <w:rPr>
          <w:b w:val="0"/>
          <w:bCs w:val="0"/>
        </w:rPr>
        <w:t xml:space="preserve"> is discussing the women by saying </w:t>
      </w:r>
      <w:r w:rsidRPr="002231CD">
        <w:rPr>
          <w:rFonts w:hint="cs"/>
          <w:b w:val="0"/>
          <w:bCs w:val="0"/>
          <w:rtl/>
        </w:rPr>
        <w:t>נותנין לבתולה וכו'</w:t>
      </w:r>
      <w:r w:rsidRPr="002231CD">
        <w:rPr>
          <w:b w:val="0"/>
          <w:bCs w:val="0"/>
        </w:rPr>
        <w:t>.</w:t>
      </w:r>
      <w:proofErr w:type="gramEnd"/>
    </w:p>
  </w:footnote>
  <w:footnote w:id="4">
    <w:p w:rsidR="00230B0F" w:rsidRPr="002231CD" w:rsidRDefault="00230B0F" w:rsidP="00F3351B">
      <w:pPr>
        <w:pStyle w:val="FootnoteText"/>
        <w:spacing w:line="264" w:lineRule="auto"/>
        <w:rPr>
          <w:b w:val="0"/>
          <w:bCs w:val="0"/>
        </w:rPr>
      </w:pPr>
      <w:r w:rsidRPr="002231CD">
        <w:rPr>
          <w:rStyle w:val="FootnoteReference"/>
          <w:b w:val="0"/>
          <w:bCs w:val="0"/>
        </w:rPr>
        <w:footnoteRef/>
      </w:r>
      <w:r w:rsidRPr="002231CD">
        <w:rPr>
          <w:b w:val="0"/>
          <w:bCs w:val="0"/>
        </w:rPr>
        <w:t xml:space="preserve"> </w:t>
      </w:r>
      <w:r w:rsidRPr="002231CD">
        <w:rPr>
          <w:rFonts w:hint="cs"/>
          <w:b w:val="0"/>
          <w:bCs w:val="0"/>
          <w:rtl/>
        </w:rPr>
        <w:t>איידי</w:t>
      </w:r>
      <w:r w:rsidRPr="002231CD">
        <w:rPr>
          <w:b w:val="0"/>
          <w:bCs w:val="0"/>
        </w:rPr>
        <w:t xml:space="preserve"> (or ‘since’) refers to the reasoning of the </w:t>
      </w:r>
      <w:r w:rsidR="002231CD">
        <w:rPr>
          <w:rFonts w:hint="cs"/>
          <w:b w:val="0"/>
          <w:bCs w:val="0"/>
          <w:rtl/>
        </w:rPr>
        <w:t>רב אשי</w:t>
      </w:r>
      <w:r w:rsidRPr="002231CD">
        <w:rPr>
          <w:b w:val="0"/>
          <w:bCs w:val="0"/>
        </w:rPr>
        <w:t xml:space="preserve"> why the </w:t>
      </w:r>
      <w:r w:rsidRPr="002231CD">
        <w:rPr>
          <w:rFonts w:hint="cs"/>
          <w:b w:val="0"/>
          <w:bCs w:val="0"/>
          <w:rtl/>
        </w:rPr>
        <w:t>משנה</w:t>
      </w:r>
      <w:r w:rsidRPr="002231CD">
        <w:rPr>
          <w:b w:val="0"/>
          <w:bCs w:val="0"/>
        </w:rPr>
        <w:t xml:space="preserve"> reads </w:t>
      </w:r>
      <w:r w:rsidRPr="002231CD">
        <w:rPr>
          <w:rFonts w:hint="cs"/>
          <w:b w:val="0"/>
          <w:bCs w:val="0"/>
          <w:rtl/>
        </w:rPr>
        <w:t>נישאו</w:t>
      </w:r>
      <w:r w:rsidRPr="002231CD">
        <w:rPr>
          <w:b w:val="0"/>
          <w:bCs w:val="0"/>
        </w:rPr>
        <w:t xml:space="preserve"> if it is referring to the men. </w:t>
      </w:r>
      <w:proofErr w:type="gramStart"/>
      <w:r w:rsidRPr="002231CD">
        <w:rPr>
          <w:b w:val="0"/>
          <w:bCs w:val="0"/>
        </w:rPr>
        <w:t xml:space="preserve">If </w:t>
      </w:r>
      <w:r w:rsidRPr="002231CD">
        <w:rPr>
          <w:rFonts w:hint="cs"/>
          <w:b w:val="0"/>
          <w:bCs w:val="0"/>
          <w:rtl/>
        </w:rPr>
        <w:t>נישאו</w:t>
      </w:r>
      <w:r w:rsidRPr="002231CD">
        <w:rPr>
          <w:b w:val="0"/>
          <w:bCs w:val="0"/>
        </w:rPr>
        <w:t xml:space="preserve"> refers to </w:t>
      </w:r>
      <w:r w:rsidR="00DD2880" w:rsidRPr="002231CD">
        <w:rPr>
          <w:b w:val="0"/>
          <w:bCs w:val="0"/>
        </w:rPr>
        <w:t xml:space="preserve">the delay caused by </w:t>
      </w:r>
      <w:r w:rsidR="002231CD">
        <w:rPr>
          <w:b w:val="0"/>
          <w:bCs w:val="0"/>
        </w:rPr>
        <w:t>either</w:t>
      </w:r>
      <w:r w:rsidRPr="002231CD">
        <w:rPr>
          <w:b w:val="0"/>
          <w:bCs w:val="0"/>
        </w:rPr>
        <w:t xml:space="preserve"> men </w:t>
      </w:r>
      <w:r w:rsidR="002231CD">
        <w:rPr>
          <w:b w:val="0"/>
          <w:bCs w:val="0"/>
        </w:rPr>
        <w:t>or</w:t>
      </w:r>
      <w:r w:rsidRPr="002231CD">
        <w:rPr>
          <w:b w:val="0"/>
          <w:bCs w:val="0"/>
        </w:rPr>
        <w:t xml:space="preserve"> women (as </w:t>
      </w:r>
      <w:r w:rsidRPr="002231CD">
        <w:rPr>
          <w:rFonts w:hint="cs"/>
          <w:b w:val="0"/>
          <w:bCs w:val="0"/>
          <w:rtl/>
        </w:rPr>
        <w:t>תוספות</w:t>
      </w:r>
      <w:r w:rsidRPr="002231CD">
        <w:rPr>
          <w:b w:val="0"/>
          <w:bCs w:val="0"/>
        </w:rPr>
        <w:t xml:space="preserve"> maintains)</w:t>
      </w:r>
      <w:r w:rsidR="002231CD">
        <w:rPr>
          <w:b w:val="0"/>
          <w:bCs w:val="0"/>
        </w:rPr>
        <w:t>,</w:t>
      </w:r>
      <w:r w:rsidRPr="002231CD">
        <w:rPr>
          <w:b w:val="0"/>
          <w:bCs w:val="0"/>
        </w:rPr>
        <w:t xml:space="preserve"> we can justify the use of </w:t>
      </w:r>
      <w:r w:rsidRPr="002231CD">
        <w:rPr>
          <w:rFonts w:hint="cs"/>
          <w:b w:val="0"/>
          <w:bCs w:val="0"/>
          <w:rtl/>
        </w:rPr>
        <w:t>נישאו</w:t>
      </w:r>
      <w:r w:rsidRPr="002231CD">
        <w:rPr>
          <w:b w:val="0"/>
          <w:bCs w:val="0"/>
        </w:rPr>
        <w:t xml:space="preserve"> (even though it can [erroneously] imply women as well) for here it means only men</w:t>
      </w:r>
      <w:r w:rsidR="00DD2880" w:rsidRPr="002231CD">
        <w:rPr>
          <w:b w:val="0"/>
          <w:bCs w:val="0"/>
        </w:rPr>
        <w:t>,</w:t>
      </w:r>
      <w:r w:rsidRPr="002231CD">
        <w:rPr>
          <w:b w:val="0"/>
          <w:bCs w:val="0"/>
        </w:rPr>
        <w:t xml:space="preserve"> and the term </w:t>
      </w:r>
      <w:r w:rsidRPr="002231CD">
        <w:rPr>
          <w:rFonts w:hint="cs"/>
          <w:b w:val="0"/>
          <w:bCs w:val="0"/>
          <w:rtl/>
        </w:rPr>
        <w:t>נישאו</w:t>
      </w:r>
      <w:r w:rsidRPr="002231CD">
        <w:rPr>
          <w:b w:val="0"/>
          <w:bCs w:val="0"/>
        </w:rPr>
        <w:t xml:space="preserve"> was used </w:t>
      </w:r>
      <w:r w:rsidRPr="002231CD">
        <w:rPr>
          <w:rFonts w:hint="cs"/>
          <w:b w:val="0"/>
          <w:bCs w:val="0"/>
          <w:rtl/>
        </w:rPr>
        <w:t>איידי דתנא רישא וכו'</w:t>
      </w:r>
      <w:r w:rsidRPr="002231CD">
        <w:rPr>
          <w:b w:val="0"/>
          <w:bCs w:val="0"/>
        </w:rPr>
        <w:t>.</w:t>
      </w:r>
      <w:proofErr w:type="gramEnd"/>
      <w:r w:rsidR="00DD2880" w:rsidRPr="002231CD">
        <w:rPr>
          <w:b w:val="0"/>
          <w:bCs w:val="0"/>
        </w:rPr>
        <w:t xml:space="preserve"> However, if </w:t>
      </w:r>
      <w:r w:rsidR="00DD2880" w:rsidRPr="002231CD">
        <w:rPr>
          <w:rFonts w:hint="cs"/>
          <w:b w:val="0"/>
          <w:bCs w:val="0"/>
          <w:rtl/>
        </w:rPr>
        <w:t>נישאו</w:t>
      </w:r>
      <w:r w:rsidR="00DD2880" w:rsidRPr="002231CD">
        <w:rPr>
          <w:b w:val="0"/>
          <w:bCs w:val="0"/>
        </w:rPr>
        <w:t xml:space="preserve"> means a delay caused by women exclusively, what justification is there to use the term </w:t>
      </w:r>
      <w:r w:rsidR="00DD2880" w:rsidRPr="002231CD">
        <w:rPr>
          <w:rFonts w:hint="cs"/>
          <w:b w:val="0"/>
          <w:bCs w:val="0"/>
          <w:rtl/>
        </w:rPr>
        <w:t>נישאו</w:t>
      </w:r>
      <w:r w:rsidR="00DD2880" w:rsidRPr="002231CD">
        <w:rPr>
          <w:b w:val="0"/>
          <w:bCs w:val="0"/>
        </w:rPr>
        <w:t xml:space="preserve"> (which applies to women exclusively), when we mean men exclusively. The reasoning of </w:t>
      </w:r>
      <w:r w:rsidR="00DD2880" w:rsidRPr="002231CD">
        <w:rPr>
          <w:rFonts w:hint="cs"/>
          <w:b w:val="0"/>
          <w:bCs w:val="0"/>
          <w:rtl/>
        </w:rPr>
        <w:t>איידי</w:t>
      </w:r>
      <w:r w:rsidR="00DD2880" w:rsidRPr="002231CD">
        <w:rPr>
          <w:b w:val="0"/>
          <w:bCs w:val="0"/>
        </w:rPr>
        <w:t xml:space="preserve"> cannot justify such a </w:t>
      </w:r>
      <w:r w:rsidR="002231CD">
        <w:rPr>
          <w:b w:val="0"/>
          <w:bCs w:val="0"/>
        </w:rPr>
        <w:t>blata</w:t>
      </w:r>
      <w:r w:rsidR="00DD2880" w:rsidRPr="002231CD">
        <w:rPr>
          <w:b w:val="0"/>
          <w:bCs w:val="0"/>
        </w:rPr>
        <w:t>nt error.</w:t>
      </w:r>
    </w:p>
  </w:footnote>
  <w:footnote w:id="5">
    <w:p w:rsidR="00F3351B" w:rsidRPr="00F3351B" w:rsidRDefault="00F3351B" w:rsidP="00F3351B">
      <w:pPr>
        <w:pStyle w:val="FootnoteText"/>
        <w:spacing w:line="264" w:lineRule="auto"/>
        <w:rPr>
          <w:b w:val="0"/>
          <w:bCs w:val="0"/>
        </w:rPr>
      </w:pPr>
      <w:r w:rsidRPr="00F3351B">
        <w:rPr>
          <w:rStyle w:val="FootnoteReference"/>
          <w:b w:val="0"/>
          <w:bCs w:val="0"/>
        </w:rPr>
        <w:footnoteRef/>
      </w:r>
      <w:r w:rsidRPr="00F3351B">
        <w:rPr>
          <w:b w:val="0"/>
          <w:bCs w:val="0"/>
        </w:rPr>
        <w:t xml:space="preserve"> </w:t>
      </w:r>
      <w:proofErr w:type="gramStart"/>
      <w:r w:rsidRPr="00F3351B">
        <w:rPr>
          <w:b w:val="0"/>
          <w:bCs w:val="0"/>
        </w:rPr>
        <w:t xml:space="preserve">See </w:t>
      </w:r>
      <w:r w:rsidRPr="00F3351B">
        <w:rPr>
          <w:rFonts w:hint="cs"/>
          <w:b w:val="0"/>
          <w:bCs w:val="0"/>
          <w:rtl/>
        </w:rPr>
        <w:t>חי' נחלת בן יוסף (חלק טוב עין) באריכות</w:t>
      </w:r>
      <w:r w:rsidRPr="00F3351B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E6B" w:rsidRPr="001E5E6B" w:rsidRDefault="001E5E6B" w:rsidP="001E5E6B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ב,ב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36"/>
    <w:rsid w:val="001E5E6B"/>
    <w:rsid w:val="002231CD"/>
    <w:rsid w:val="002278FB"/>
    <w:rsid w:val="00230B0F"/>
    <w:rsid w:val="003D4453"/>
    <w:rsid w:val="004A2E36"/>
    <w:rsid w:val="00DD2880"/>
    <w:rsid w:val="00EF1410"/>
    <w:rsid w:val="00F3351B"/>
    <w:rsid w:val="00F75197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E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6B"/>
  </w:style>
  <w:style w:type="paragraph" w:styleId="Footer">
    <w:name w:val="footer"/>
    <w:basedOn w:val="Normal"/>
    <w:link w:val="FooterChar"/>
    <w:uiPriority w:val="99"/>
    <w:unhideWhenUsed/>
    <w:rsid w:val="001E5E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6B"/>
  </w:style>
  <w:style w:type="paragraph" w:styleId="FootnoteText">
    <w:name w:val="footnote text"/>
    <w:basedOn w:val="Normal"/>
    <w:link w:val="FootnoteTextChar"/>
    <w:uiPriority w:val="99"/>
    <w:semiHidden/>
    <w:unhideWhenUsed/>
    <w:rsid w:val="00230B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0B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0B0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8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E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6B"/>
  </w:style>
  <w:style w:type="paragraph" w:styleId="Footer">
    <w:name w:val="footer"/>
    <w:basedOn w:val="Normal"/>
    <w:link w:val="FooterChar"/>
    <w:uiPriority w:val="99"/>
    <w:unhideWhenUsed/>
    <w:rsid w:val="001E5E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6B"/>
  </w:style>
  <w:style w:type="paragraph" w:styleId="FootnoteText">
    <w:name w:val="footnote text"/>
    <w:basedOn w:val="Normal"/>
    <w:link w:val="FootnoteTextChar"/>
    <w:uiPriority w:val="99"/>
    <w:semiHidden/>
    <w:unhideWhenUsed/>
    <w:rsid w:val="00230B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0B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0B0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8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A6CD-86EC-4EF1-81C2-F213F828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2016-03-14T16:48:00Z</dcterms:created>
  <dcterms:modified xsi:type="dcterms:W3CDTF">2016-03-24T01:39:00Z</dcterms:modified>
</cp:coreProperties>
</file>