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33" w:rsidRDefault="005422D4" w:rsidP="00422233">
      <w:pPr>
        <w:bidi/>
        <w:rPr>
          <w:sz w:val="32"/>
          <w:szCs w:val="32"/>
        </w:rPr>
      </w:pPr>
      <w:r w:rsidRPr="00422233">
        <w:rPr>
          <w:sz w:val="36"/>
          <w:szCs w:val="36"/>
          <w:rtl/>
        </w:rPr>
        <w:t>הרי</w:t>
      </w:r>
      <w:r w:rsidR="00422233">
        <w:rPr>
          <w:rFonts w:hint="cs"/>
          <w:rtl/>
        </w:rPr>
        <w:t xml:space="preserve"> </w:t>
      </w:r>
      <w:r w:rsidRPr="00422233">
        <w:rPr>
          <w:sz w:val="32"/>
          <w:szCs w:val="32"/>
          <w:rtl/>
        </w:rPr>
        <w:t>זה גיטיך אם מתי מחולי זה לאחר מיתה</w:t>
      </w:r>
      <w:r w:rsidR="00422233">
        <w:rPr>
          <w:rFonts w:hint="cs"/>
          <w:sz w:val="32"/>
          <w:szCs w:val="32"/>
          <w:rtl/>
        </w:rPr>
        <w:t xml:space="preserve"> </w:t>
      </w:r>
      <w:r w:rsidR="00422233">
        <w:rPr>
          <w:sz w:val="32"/>
          <w:szCs w:val="32"/>
          <w:rtl/>
        </w:rPr>
        <w:t>–</w:t>
      </w:r>
      <w:r w:rsidR="00422233">
        <w:rPr>
          <w:rFonts w:hint="cs"/>
          <w:sz w:val="32"/>
          <w:szCs w:val="32"/>
          <w:rtl/>
        </w:rPr>
        <w:t xml:space="preserve"> </w:t>
      </w:r>
    </w:p>
    <w:p w:rsidR="00422233" w:rsidRPr="00422233" w:rsidRDefault="00422233" w:rsidP="00422233">
      <w:pPr>
        <w:rPr>
          <w:b w:val="0"/>
          <w:bCs w:val="0"/>
        </w:rPr>
      </w:pPr>
      <w:r>
        <w:rPr>
          <w:sz w:val="32"/>
          <w:szCs w:val="32"/>
        </w:rPr>
        <w:t xml:space="preserve">This is your </w:t>
      </w:r>
      <w:r>
        <w:rPr>
          <w:i/>
          <w:iCs/>
          <w:sz w:val="32"/>
          <w:szCs w:val="32"/>
        </w:rPr>
        <w:t>Get</w:t>
      </w:r>
      <w:r>
        <w:rPr>
          <w:sz w:val="32"/>
          <w:szCs w:val="32"/>
        </w:rPr>
        <w:t>: if I die; from this sickness; after I die</w:t>
      </w:r>
    </w:p>
    <w:p w:rsidR="00422233" w:rsidRDefault="00422233" w:rsidP="00422233">
      <w:pPr>
        <w:bidi/>
        <w:rPr>
          <w:b w:val="0"/>
          <w:bCs w:val="0"/>
          <w:sz w:val="24"/>
          <w:szCs w:val="24"/>
          <w:rtl/>
        </w:rPr>
      </w:pPr>
    </w:p>
    <w:p w:rsidR="00422233" w:rsidRPr="00422233" w:rsidRDefault="00422233" w:rsidP="00422233">
      <w:pPr>
        <w:rPr>
          <w:rFonts w:ascii="Copperplate Gothic Bold" w:hAnsi="Copperplate Gothic Bold"/>
          <w:b w:val="0"/>
          <w:bCs w:val="0"/>
          <w:u w:val="double"/>
          <w:rtl/>
        </w:rPr>
      </w:pPr>
      <w:r w:rsidRPr="00422233">
        <w:rPr>
          <w:rFonts w:ascii="Copperplate Gothic Bold" w:hAnsi="Copperplate Gothic Bold"/>
          <w:b w:val="0"/>
          <w:bCs w:val="0"/>
          <w:u w:val="double"/>
        </w:rPr>
        <w:t>Overview</w:t>
      </w:r>
    </w:p>
    <w:p w:rsidR="00422233" w:rsidRDefault="00422233" w:rsidP="00422233">
      <w:pPr>
        <w:rPr>
          <w:b w:val="0"/>
          <w:bCs w:val="0"/>
        </w:rPr>
      </w:pPr>
      <w:r>
        <w:rPr>
          <w:b w:val="0"/>
          <w:bCs w:val="0"/>
        </w:rPr>
        <w:t xml:space="preserve">The </w:t>
      </w:r>
      <w:r>
        <w:rPr>
          <w:rFonts w:hint="cs"/>
          <w:b w:val="0"/>
          <w:bCs w:val="0"/>
          <w:rtl/>
        </w:rPr>
        <w:t>גמרא</w:t>
      </w:r>
      <w:r>
        <w:rPr>
          <w:b w:val="0"/>
          <w:bCs w:val="0"/>
        </w:rPr>
        <w:t xml:space="preserve"> cites a </w:t>
      </w:r>
      <w:r>
        <w:rPr>
          <w:rFonts w:hint="cs"/>
          <w:b w:val="0"/>
          <w:bCs w:val="0"/>
          <w:rtl/>
        </w:rPr>
        <w:t>משנה</w:t>
      </w:r>
      <w:r>
        <w:rPr>
          <w:b w:val="0"/>
          <w:bCs w:val="0"/>
        </w:rPr>
        <w:t xml:space="preserve"> which states three cases where a </w:t>
      </w:r>
      <w:r>
        <w:rPr>
          <w:rFonts w:hint="cs"/>
          <w:b w:val="0"/>
          <w:bCs w:val="0"/>
          <w:rtl/>
        </w:rPr>
        <w:t>גט</w:t>
      </w:r>
      <w:r>
        <w:rPr>
          <w:b w:val="0"/>
          <w:bCs w:val="0"/>
        </w:rPr>
        <w:t xml:space="preserve"> is ineffective; where the husband either said, this is your </w:t>
      </w:r>
      <w:r>
        <w:rPr>
          <w:rFonts w:hint="cs"/>
          <w:b w:val="0"/>
          <w:bCs w:val="0"/>
          <w:rtl/>
        </w:rPr>
        <w:t>גט</w:t>
      </w:r>
      <w:r w:rsidR="009F6918">
        <w:rPr>
          <w:b w:val="0"/>
          <w:bCs w:val="0"/>
        </w:rPr>
        <w:t>:</w:t>
      </w:r>
      <w:r>
        <w:rPr>
          <w:b w:val="0"/>
          <w:bCs w:val="0"/>
        </w:rPr>
        <w:t xml:space="preserve"> if I die, or [if I die] from this sickness, or (it should become effective) after my death.</w:t>
      </w:r>
      <w:r w:rsidR="00D77E5E">
        <w:rPr>
          <w:b w:val="0"/>
          <w:bCs w:val="0"/>
        </w:rPr>
        <w:t xml:space="preserve"> </w:t>
      </w:r>
      <w:r w:rsidR="00D77E5E">
        <w:rPr>
          <w:rFonts w:hint="cs"/>
          <w:b w:val="0"/>
          <w:bCs w:val="0"/>
          <w:rtl/>
        </w:rPr>
        <w:t>תוספות</w:t>
      </w:r>
      <w:r w:rsidR="00D77E5E">
        <w:rPr>
          <w:b w:val="0"/>
          <w:bCs w:val="0"/>
        </w:rPr>
        <w:t xml:space="preserve"> discusses the structure and the need for this </w:t>
      </w:r>
      <w:r w:rsidR="00D77E5E">
        <w:rPr>
          <w:rFonts w:hint="cs"/>
          <w:b w:val="0"/>
          <w:bCs w:val="0"/>
          <w:rtl/>
        </w:rPr>
        <w:t>משנה</w:t>
      </w:r>
      <w:r w:rsidR="00D77E5E">
        <w:rPr>
          <w:b w:val="0"/>
          <w:bCs w:val="0"/>
        </w:rPr>
        <w:t>.</w:t>
      </w:r>
    </w:p>
    <w:p w:rsidR="00422233" w:rsidRDefault="00C0554D" w:rsidP="00C0554D">
      <w:pPr>
        <w:bidi/>
        <w:jc w:val="center"/>
        <w:rPr>
          <w:b w:val="0"/>
          <w:bCs w:val="0"/>
          <w:sz w:val="24"/>
          <w:szCs w:val="24"/>
        </w:rPr>
      </w:pPr>
      <w:r>
        <w:rPr>
          <w:b w:val="0"/>
          <w:bCs w:val="0"/>
          <w:sz w:val="24"/>
          <w:szCs w:val="24"/>
        </w:rPr>
        <w:t>-----------------------</w:t>
      </w:r>
    </w:p>
    <w:p w:rsidR="00D77E5E" w:rsidRDefault="00D77E5E" w:rsidP="00D77E5E">
      <w:pPr>
        <w:rPr>
          <w:b w:val="0"/>
          <w:bCs w:val="0"/>
          <w:sz w:val="24"/>
          <w:szCs w:val="24"/>
        </w:rPr>
      </w:pPr>
      <w:r>
        <w:rPr>
          <w:rFonts w:hint="cs"/>
          <w:b w:val="0"/>
          <w:bCs w:val="0"/>
          <w:sz w:val="24"/>
          <w:szCs w:val="24"/>
          <w:rtl/>
        </w:rPr>
        <w:t>תוספות</w:t>
      </w:r>
      <w:r>
        <w:rPr>
          <w:b w:val="0"/>
          <w:bCs w:val="0"/>
          <w:sz w:val="24"/>
          <w:szCs w:val="24"/>
        </w:rPr>
        <w:t xml:space="preserve"> discusses the structure of the </w:t>
      </w:r>
      <w:r>
        <w:rPr>
          <w:rFonts w:hint="cs"/>
          <w:b w:val="0"/>
          <w:bCs w:val="0"/>
          <w:sz w:val="24"/>
          <w:szCs w:val="24"/>
          <w:rtl/>
        </w:rPr>
        <w:t>משנה</w:t>
      </w:r>
      <w:r>
        <w:rPr>
          <w:b w:val="0"/>
          <w:bCs w:val="0"/>
          <w:sz w:val="24"/>
          <w:szCs w:val="24"/>
        </w:rPr>
        <w:t>:</w:t>
      </w:r>
      <w:r>
        <w:rPr>
          <w:rStyle w:val="FootnoteReference"/>
          <w:b w:val="0"/>
          <w:bCs w:val="0"/>
          <w:sz w:val="24"/>
          <w:szCs w:val="24"/>
        </w:rPr>
        <w:footnoteReference w:id="1"/>
      </w:r>
    </w:p>
    <w:p w:rsidR="00422233" w:rsidRPr="00C0554D" w:rsidRDefault="005422D4" w:rsidP="00C0554D">
      <w:pPr>
        <w:bidi/>
        <w:rPr>
          <w:rFonts w:cs="David"/>
        </w:rPr>
      </w:pPr>
      <w:r w:rsidRPr="00C0554D">
        <w:rPr>
          <w:rFonts w:cs="David"/>
          <w:rtl/>
        </w:rPr>
        <w:t>לאחר מיתה הוי טעמא</w:t>
      </w:r>
      <w:r w:rsidR="00476D57" w:rsidRPr="00C0554D">
        <w:rPr>
          <w:rStyle w:val="FootnoteReference"/>
          <w:rFonts w:cs="David"/>
          <w:rtl/>
        </w:rPr>
        <w:footnoteReference w:id="2"/>
      </w:r>
      <w:r w:rsidRPr="00C0554D">
        <w:rPr>
          <w:rFonts w:cs="David"/>
          <w:rtl/>
        </w:rPr>
        <w:t xml:space="preserve"> דכולהו </w:t>
      </w:r>
      <w:r w:rsidR="00C0554D">
        <w:rPr>
          <w:rFonts w:cs="David" w:hint="cs"/>
          <w:rtl/>
        </w:rPr>
        <w:t>-</w:t>
      </w:r>
    </w:p>
    <w:p w:rsidR="00422233" w:rsidRPr="00C0554D" w:rsidRDefault="00422233" w:rsidP="00422233">
      <w:pPr>
        <w:rPr>
          <w:b w:val="0"/>
          <w:bCs w:val="0"/>
          <w:sz w:val="24"/>
          <w:szCs w:val="24"/>
        </w:rPr>
      </w:pPr>
      <w:r>
        <w:t xml:space="preserve">The reason </w:t>
      </w:r>
      <w:r>
        <w:rPr>
          <w:b w:val="0"/>
          <w:bCs w:val="0"/>
        </w:rPr>
        <w:t xml:space="preserve">why </w:t>
      </w:r>
      <w:r>
        <w:t xml:space="preserve">all these </w:t>
      </w:r>
      <w:r>
        <w:rPr>
          <w:b w:val="0"/>
          <w:bCs w:val="0"/>
        </w:rPr>
        <w:t xml:space="preserve">three </w:t>
      </w:r>
      <w:r>
        <w:rPr>
          <w:rFonts w:hint="cs"/>
          <w:b w:val="0"/>
          <w:bCs w:val="0"/>
          <w:rtl/>
        </w:rPr>
        <w:t>גיטין</w:t>
      </w:r>
      <w:r>
        <w:rPr>
          <w:b w:val="0"/>
          <w:bCs w:val="0"/>
        </w:rPr>
        <w:t xml:space="preserve"> are invalid is because the husband made them take effect </w:t>
      </w:r>
      <w:r>
        <w:t xml:space="preserve">after death, </w:t>
      </w:r>
      <w:r w:rsidRPr="00C0554D">
        <w:rPr>
          <w:b w:val="0"/>
          <w:bCs w:val="0"/>
          <w:sz w:val="24"/>
          <w:szCs w:val="24"/>
        </w:rPr>
        <w:t xml:space="preserve">and there is no </w:t>
      </w:r>
      <w:r w:rsidRPr="00C0554D">
        <w:rPr>
          <w:rFonts w:hint="cs"/>
          <w:b w:val="0"/>
          <w:bCs w:val="0"/>
          <w:sz w:val="24"/>
          <w:szCs w:val="24"/>
          <w:rtl/>
        </w:rPr>
        <w:t>גט לאחר מיתה</w:t>
      </w:r>
      <w:r w:rsidRPr="00C0554D">
        <w:rPr>
          <w:b w:val="0"/>
          <w:bCs w:val="0"/>
          <w:sz w:val="24"/>
          <w:szCs w:val="24"/>
        </w:rPr>
        <w:t>.</w:t>
      </w:r>
    </w:p>
    <w:p w:rsidR="00645C01" w:rsidRPr="00C0554D" w:rsidRDefault="00645C01" w:rsidP="00422233">
      <w:pPr>
        <w:rPr>
          <w:b w:val="0"/>
          <w:bCs w:val="0"/>
          <w:sz w:val="24"/>
          <w:szCs w:val="24"/>
        </w:rPr>
      </w:pPr>
    </w:p>
    <w:p w:rsidR="00645C01" w:rsidRPr="00C0554D" w:rsidRDefault="00645C01" w:rsidP="00C0554D">
      <w:pPr>
        <w:rPr>
          <w:b w:val="0"/>
          <w:bCs w:val="0"/>
          <w:sz w:val="24"/>
          <w:szCs w:val="24"/>
        </w:rPr>
      </w:pPr>
      <w:r w:rsidRPr="00C0554D">
        <w:rPr>
          <w:rFonts w:hint="cs"/>
          <w:b w:val="0"/>
          <w:bCs w:val="0"/>
          <w:sz w:val="24"/>
          <w:szCs w:val="24"/>
          <w:rtl/>
        </w:rPr>
        <w:t>תוספות</w:t>
      </w:r>
      <w:r w:rsidRPr="00C0554D">
        <w:rPr>
          <w:b w:val="0"/>
          <w:bCs w:val="0"/>
          <w:sz w:val="24"/>
          <w:szCs w:val="24"/>
        </w:rPr>
        <w:t xml:space="preserve"> finds a similar situation:</w:t>
      </w:r>
    </w:p>
    <w:p w:rsidR="00476D57" w:rsidRPr="00C0554D" w:rsidRDefault="005422D4" w:rsidP="00C0554D">
      <w:pPr>
        <w:bidi/>
        <w:rPr>
          <w:rFonts w:cs="David"/>
          <w:rtl/>
        </w:rPr>
      </w:pPr>
      <w:r w:rsidRPr="00C0554D">
        <w:rPr>
          <w:rFonts w:cs="David"/>
          <w:rtl/>
        </w:rPr>
        <w:t>כמו אתם</w:t>
      </w:r>
      <w:r w:rsidR="00476D57" w:rsidRPr="00C0554D">
        <w:rPr>
          <w:rStyle w:val="FootnoteReference"/>
          <w:rFonts w:cs="David"/>
          <w:rtl/>
        </w:rPr>
        <w:footnoteReference w:id="3"/>
      </w:r>
      <w:r w:rsidRPr="00C0554D">
        <w:rPr>
          <w:rFonts w:cs="David"/>
          <w:rtl/>
        </w:rPr>
        <w:t xml:space="preserve"> ולא אפוטרופסין</w:t>
      </w:r>
      <w:r w:rsidR="00D71057" w:rsidRPr="00C0554D">
        <w:rPr>
          <w:rStyle w:val="FootnoteReference"/>
          <w:rFonts w:cs="David"/>
          <w:rtl/>
        </w:rPr>
        <w:footnoteReference w:id="4"/>
      </w:r>
      <w:r w:rsidRPr="00C0554D">
        <w:rPr>
          <w:rFonts w:cs="David"/>
          <w:rtl/>
        </w:rPr>
        <w:t xml:space="preserve"> ולא שותפין</w:t>
      </w:r>
      <w:r w:rsidR="00D71057" w:rsidRPr="00C0554D">
        <w:rPr>
          <w:rStyle w:val="FootnoteReference"/>
          <w:rFonts w:cs="David"/>
          <w:rtl/>
        </w:rPr>
        <w:footnoteReference w:id="5"/>
      </w:r>
      <w:r w:rsidRPr="00C0554D">
        <w:rPr>
          <w:rFonts w:cs="David"/>
          <w:rtl/>
        </w:rPr>
        <w:t xml:space="preserve"> ולא אריסין</w:t>
      </w:r>
      <w:r w:rsidR="00D71057" w:rsidRPr="00C0554D">
        <w:rPr>
          <w:rStyle w:val="FootnoteReference"/>
          <w:rFonts w:cs="David"/>
          <w:rtl/>
        </w:rPr>
        <w:footnoteReference w:id="6"/>
      </w:r>
      <w:r w:rsidRPr="00C0554D">
        <w:rPr>
          <w:rFonts w:cs="David"/>
          <w:rtl/>
        </w:rPr>
        <w:t xml:space="preserve"> </w:t>
      </w:r>
      <w:r w:rsidR="00C0554D">
        <w:rPr>
          <w:rFonts w:cs="David" w:hint="cs"/>
          <w:rtl/>
        </w:rPr>
        <w:t>-</w:t>
      </w:r>
    </w:p>
    <w:p w:rsidR="00476D57" w:rsidRDefault="00476D57" w:rsidP="00476D57">
      <w:pPr>
        <w:rPr>
          <w:rtl/>
        </w:rPr>
      </w:pPr>
      <w:r>
        <w:t xml:space="preserve">Just like </w:t>
      </w:r>
      <w:r>
        <w:rPr>
          <w:b w:val="0"/>
          <w:bCs w:val="0"/>
        </w:rPr>
        <w:t xml:space="preserve">the </w:t>
      </w:r>
      <w:r>
        <w:rPr>
          <w:rFonts w:hint="cs"/>
          <w:b w:val="0"/>
          <w:bCs w:val="0"/>
          <w:rtl/>
        </w:rPr>
        <w:t>ברייתא</w:t>
      </w:r>
      <w:r>
        <w:rPr>
          <w:b w:val="0"/>
          <w:bCs w:val="0"/>
        </w:rPr>
        <w:t xml:space="preserve"> which states that the word </w:t>
      </w:r>
      <w:r>
        <w:rPr>
          <w:rFonts w:hint="cs"/>
          <w:rtl/>
        </w:rPr>
        <w:t>אתם</w:t>
      </w:r>
      <w:r>
        <w:t xml:space="preserve"> </w:t>
      </w:r>
      <w:r>
        <w:rPr>
          <w:b w:val="0"/>
          <w:bCs w:val="0"/>
        </w:rPr>
        <w:t xml:space="preserve">(regarding the separating of </w:t>
      </w:r>
      <w:r>
        <w:rPr>
          <w:rFonts w:hint="cs"/>
          <w:b w:val="0"/>
          <w:bCs w:val="0"/>
          <w:rtl/>
        </w:rPr>
        <w:t>תרומה</w:t>
      </w:r>
      <w:r>
        <w:rPr>
          <w:b w:val="0"/>
          <w:bCs w:val="0"/>
        </w:rPr>
        <w:t>) excludes</w:t>
      </w:r>
      <w:r w:rsidR="00C0554D">
        <w:rPr>
          <w:b w:val="0"/>
          <w:bCs w:val="0"/>
        </w:rPr>
        <w:t>;</w:t>
      </w:r>
      <w:r>
        <w:rPr>
          <w:b w:val="0"/>
          <w:bCs w:val="0"/>
        </w:rPr>
        <w:t xml:space="preserve"> </w:t>
      </w:r>
      <w:r>
        <w:t>but not guardians, but not partners, but not sharecroppers -</w:t>
      </w:r>
    </w:p>
    <w:p w:rsidR="00422233" w:rsidRPr="00C0554D" w:rsidRDefault="005422D4" w:rsidP="00C0554D">
      <w:pPr>
        <w:bidi/>
        <w:rPr>
          <w:rFonts w:cs="David"/>
        </w:rPr>
      </w:pPr>
      <w:r w:rsidRPr="00C0554D">
        <w:rPr>
          <w:rFonts w:cs="David"/>
          <w:rtl/>
        </w:rPr>
        <w:t>ולא כל התורם את שאינו שלו</w:t>
      </w:r>
      <w:r w:rsidR="00C0554D" w:rsidRPr="00C0554D">
        <w:rPr>
          <w:rStyle w:val="FootnoteReference"/>
          <w:rFonts w:cs="David"/>
          <w:b w:val="0"/>
          <w:bCs w:val="0"/>
          <w:sz w:val="24"/>
          <w:szCs w:val="24"/>
        </w:rPr>
        <w:footnoteReference w:id="7"/>
      </w:r>
      <w:r w:rsidRPr="00C0554D">
        <w:rPr>
          <w:rFonts w:cs="David"/>
          <w:rtl/>
        </w:rPr>
        <w:t xml:space="preserve"> </w:t>
      </w:r>
      <w:r w:rsidRPr="00C0554D">
        <w:rPr>
          <w:rFonts w:cs="David"/>
          <w:sz w:val="20"/>
          <w:szCs w:val="20"/>
          <w:rtl/>
        </w:rPr>
        <w:t>(גיטין דף נב</w:t>
      </w:r>
      <w:r w:rsidR="00422233" w:rsidRPr="00C0554D">
        <w:rPr>
          <w:rFonts w:cs="David" w:hint="cs"/>
          <w:sz w:val="20"/>
          <w:szCs w:val="20"/>
          <w:rtl/>
        </w:rPr>
        <w:t>,א</w:t>
      </w:r>
      <w:r w:rsidRPr="00C0554D">
        <w:rPr>
          <w:rFonts w:cs="David"/>
          <w:sz w:val="20"/>
          <w:szCs w:val="20"/>
          <w:rtl/>
        </w:rPr>
        <w:t>)</w:t>
      </w:r>
      <w:r w:rsidR="00422233" w:rsidRPr="00C0554D">
        <w:rPr>
          <w:rFonts w:cs="David" w:hint="cs"/>
          <w:rtl/>
        </w:rPr>
        <w:t xml:space="preserve"> </w:t>
      </w:r>
      <w:r w:rsidR="00C0554D">
        <w:rPr>
          <w:rFonts w:cs="David" w:hint="cs"/>
          <w:rtl/>
        </w:rPr>
        <w:t>-</w:t>
      </w:r>
    </w:p>
    <w:p w:rsidR="00645C01" w:rsidRPr="00C0554D" w:rsidRDefault="00645C01" w:rsidP="00151A77">
      <w:pPr>
        <w:rPr>
          <w:b w:val="0"/>
          <w:bCs w:val="0"/>
          <w:sz w:val="24"/>
          <w:szCs w:val="24"/>
        </w:rPr>
      </w:pPr>
      <w:proofErr w:type="gramStart"/>
      <w:r>
        <w:t>but</w:t>
      </w:r>
      <w:proofErr w:type="gramEnd"/>
      <w:r>
        <w:t xml:space="preserve"> not one who separates </w:t>
      </w:r>
      <w:r>
        <w:rPr>
          <w:rFonts w:hint="cs"/>
          <w:rtl/>
        </w:rPr>
        <w:t>תרומה</w:t>
      </w:r>
      <w:r>
        <w:t xml:space="preserve"> </w:t>
      </w:r>
      <w:r w:rsidR="00151A77">
        <w:t>for</w:t>
      </w:r>
      <w:r w:rsidR="00151A77">
        <w:rPr>
          <w:b w:val="0"/>
          <w:bCs w:val="0"/>
        </w:rPr>
        <w:t xml:space="preserve"> </w:t>
      </w:r>
      <w:bookmarkStart w:id="0" w:name="_GoBack"/>
      <w:bookmarkEnd w:id="0"/>
      <w:r>
        <w:rPr>
          <w:b w:val="0"/>
          <w:bCs w:val="0"/>
        </w:rPr>
        <w:t xml:space="preserve">crops </w:t>
      </w:r>
      <w:r>
        <w:t xml:space="preserve">which are not his; </w:t>
      </w:r>
      <w:r w:rsidRPr="00C0554D">
        <w:rPr>
          <w:b w:val="0"/>
          <w:bCs w:val="0"/>
          <w:sz w:val="24"/>
          <w:szCs w:val="24"/>
        </w:rPr>
        <w:t xml:space="preserve">in all these cases the </w:t>
      </w:r>
      <w:r w:rsidRPr="00C0554D">
        <w:rPr>
          <w:rFonts w:hint="cs"/>
          <w:b w:val="0"/>
          <w:bCs w:val="0"/>
          <w:sz w:val="24"/>
          <w:szCs w:val="24"/>
          <w:rtl/>
        </w:rPr>
        <w:t>תרומה</w:t>
      </w:r>
      <w:r w:rsidRPr="00C0554D">
        <w:rPr>
          <w:b w:val="0"/>
          <w:bCs w:val="0"/>
          <w:sz w:val="24"/>
          <w:szCs w:val="24"/>
        </w:rPr>
        <w:t xml:space="preserve"> is invalid, there too the reason the </w:t>
      </w:r>
      <w:r w:rsidRPr="00C0554D">
        <w:rPr>
          <w:rFonts w:hint="cs"/>
          <w:b w:val="0"/>
          <w:bCs w:val="0"/>
          <w:sz w:val="24"/>
          <w:szCs w:val="24"/>
          <w:rtl/>
        </w:rPr>
        <w:t>תר</w:t>
      </w:r>
      <w:r w:rsidR="00476D57" w:rsidRPr="00C0554D">
        <w:rPr>
          <w:rFonts w:hint="cs"/>
          <w:b w:val="0"/>
          <w:bCs w:val="0"/>
          <w:sz w:val="24"/>
          <w:szCs w:val="24"/>
          <w:rtl/>
        </w:rPr>
        <w:t>ו</w:t>
      </w:r>
      <w:r w:rsidRPr="00C0554D">
        <w:rPr>
          <w:rFonts w:hint="cs"/>
          <w:b w:val="0"/>
          <w:bCs w:val="0"/>
          <w:sz w:val="24"/>
          <w:szCs w:val="24"/>
          <w:rtl/>
        </w:rPr>
        <w:t>מה</w:t>
      </w:r>
      <w:r w:rsidRPr="00C0554D">
        <w:rPr>
          <w:b w:val="0"/>
          <w:bCs w:val="0"/>
          <w:sz w:val="24"/>
          <w:szCs w:val="24"/>
        </w:rPr>
        <w:t xml:space="preserve"> is invalid -</w:t>
      </w:r>
    </w:p>
    <w:p w:rsidR="00422233" w:rsidRPr="00C0554D" w:rsidRDefault="005422D4" w:rsidP="00C0554D">
      <w:pPr>
        <w:bidi/>
        <w:rPr>
          <w:rFonts w:cs="David"/>
        </w:rPr>
      </w:pPr>
      <w:r w:rsidRPr="00C0554D">
        <w:rPr>
          <w:rFonts w:cs="David"/>
          <w:rtl/>
        </w:rPr>
        <w:t xml:space="preserve">דכולהו הוו משום תורם את שאינו שלו </w:t>
      </w:r>
      <w:r w:rsidR="00C0554D">
        <w:rPr>
          <w:rFonts w:cs="David" w:hint="cs"/>
          <w:rtl/>
        </w:rPr>
        <w:t>-</w:t>
      </w:r>
    </w:p>
    <w:p w:rsidR="00645C01" w:rsidRDefault="00645C01" w:rsidP="00645C01">
      <w:r>
        <w:t>In</w:t>
      </w:r>
      <w:r w:rsidRPr="00645C01">
        <w:t xml:space="preserve"> all those ca</w:t>
      </w:r>
      <w:r>
        <w:t xml:space="preserve">ses is because </w:t>
      </w:r>
      <w:r w:rsidRPr="00645C01">
        <w:rPr>
          <w:b w:val="0"/>
          <w:bCs w:val="0"/>
        </w:rPr>
        <w:t>they are all considered</w:t>
      </w:r>
      <w:r>
        <w:rPr>
          <w:b w:val="0"/>
          <w:bCs w:val="0"/>
        </w:rPr>
        <w:t xml:space="preserve"> as </w:t>
      </w:r>
      <w:r>
        <w:t xml:space="preserve">one who is </w:t>
      </w:r>
      <w:r>
        <w:rPr>
          <w:rFonts w:hint="cs"/>
          <w:rtl/>
        </w:rPr>
        <w:t>תורם</w:t>
      </w:r>
      <w:r>
        <w:t xml:space="preserve"> </w:t>
      </w:r>
      <w:r>
        <w:rPr>
          <w:b w:val="0"/>
          <w:bCs w:val="0"/>
        </w:rPr>
        <w:t xml:space="preserve">crops </w:t>
      </w:r>
      <w:r>
        <w:t xml:space="preserve">which are not his </w:t>
      </w:r>
      <w:r w:rsidR="00F34193">
        <w:t>–</w:t>
      </w:r>
    </w:p>
    <w:p w:rsidR="00F34193" w:rsidRPr="00C0554D" w:rsidRDefault="007D784A" w:rsidP="00645C01">
      <w:pPr>
        <w:rPr>
          <w:b w:val="0"/>
          <w:bCs w:val="0"/>
          <w:sz w:val="24"/>
          <w:szCs w:val="24"/>
        </w:rPr>
      </w:pPr>
      <w:r w:rsidRPr="00C0554D">
        <w:rPr>
          <w:rFonts w:hint="cs"/>
          <w:b w:val="0"/>
          <w:bCs w:val="0"/>
          <w:sz w:val="24"/>
          <w:szCs w:val="24"/>
          <w:rtl/>
        </w:rPr>
        <w:lastRenderedPageBreak/>
        <w:t>תוספות</w:t>
      </w:r>
      <w:r w:rsidRPr="00C0554D">
        <w:rPr>
          <w:b w:val="0"/>
          <w:bCs w:val="0"/>
          <w:sz w:val="24"/>
          <w:szCs w:val="24"/>
        </w:rPr>
        <w:t xml:space="preserve"> asks</w:t>
      </w:r>
    </w:p>
    <w:p w:rsidR="00422233" w:rsidRPr="00C0554D" w:rsidRDefault="005422D4" w:rsidP="00C0554D">
      <w:pPr>
        <w:bidi/>
        <w:rPr>
          <w:rFonts w:cs="David"/>
        </w:rPr>
      </w:pPr>
      <w:r w:rsidRPr="00C0554D">
        <w:rPr>
          <w:rFonts w:cs="David"/>
          <w:rtl/>
        </w:rPr>
        <w:t>וא</w:t>
      </w:r>
      <w:r w:rsidR="00422233" w:rsidRPr="00C0554D">
        <w:rPr>
          <w:rFonts w:cs="David" w:hint="cs"/>
          <w:rtl/>
        </w:rPr>
        <w:t xml:space="preserve">ם </w:t>
      </w:r>
      <w:r w:rsidRPr="00C0554D">
        <w:rPr>
          <w:rFonts w:cs="David"/>
          <w:rtl/>
        </w:rPr>
        <w:t>ת</w:t>
      </w:r>
      <w:r w:rsidR="00422233" w:rsidRPr="00C0554D">
        <w:rPr>
          <w:rFonts w:cs="David" w:hint="cs"/>
          <w:rtl/>
        </w:rPr>
        <w:t>אמר</w:t>
      </w:r>
      <w:r w:rsidRPr="00C0554D">
        <w:rPr>
          <w:rFonts w:cs="David"/>
          <w:rtl/>
        </w:rPr>
        <w:t xml:space="preserve"> ההיא משנה גופה</w:t>
      </w:r>
      <w:r w:rsidR="00C0554D" w:rsidRPr="00C0554D">
        <w:rPr>
          <w:rStyle w:val="FootnoteReference"/>
          <w:rFonts w:cs="David"/>
          <w:rtl/>
        </w:rPr>
        <w:footnoteReference w:id="8"/>
      </w:r>
      <w:r w:rsidRPr="00C0554D">
        <w:rPr>
          <w:rFonts w:cs="David"/>
          <w:rtl/>
        </w:rPr>
        <w:t xml:space="preserve"> אמאי איצטריך </w:t>
      </w:r>
      <w:r w:rsidR="00C0554D">
        <w:rPr>
          <w:rFonts w:cs="David" w:hint="cs"/>
          <w:rtl/>
        </w:rPr>
        <w:t>-</w:t>
      </w:r>
    </w:p>
    <w:p w:rsidR="007D784A" w:rsidRPr="00C0554D" w:rsidRDefault="007D784A" w:rsidP="007D784A">
      <w:pPr>
        <w:rPr>
          <w:b w:val="0"/>
          <w:bCs w:val="0"/>
          <w:sz w:val="24"/>
          <w:szCs w:val="24"/>
        </w:rPr>
      </w:pPr>
      <w:r>
        <w:t xml:space="preserve">And if you will say; and why is that </w:t>
      </w:r>
      <w:r>
        <w:rPr>
          <w:rFonts w:hint="cs"/>
          <w:rtl/>
        </w:rPr>
        <w:t>משנה</w:t>
      </w:r>
      <w:r>
        <w:t xml:space="preserve"> </w:t>
      </w:r>
      <w:r>
        <w:rPr>
          <w:b w:val="0"/>
          <w:bCs w:val="0"/>
        </w:rPr>
        <w:t xml:space="preserve">(of </w:t>
      </w:r>
      <w:r>
        <w:rPr>
          <w:rFonts w:hint="cs"/>
          <w:b w:val="0"/>
          <w:bCs w:val="0"/>
          <w:rtl/>
        </w:rPr>
        <w:t>הרי"ז גיטך אם מתי וכו'</w:t>
      </w:r>
      <w:r>
        <w:rPr>
          <w:b w:val="0"/>
          <w:bCs w:val="0"/>
        </w:rPr>
        <w:t xml:space="preserve">) </w:t>
      </w:r>
      <w:r>
        <w:t xml:space="preserve">necessary </w:t>
      </w:r>
      <w:r w:rsidRPr="00C0554D">
        <w:rPr>
          <w:b w:val="0"/>
          <w:bCs w:val="0"/>
          <w:sz w:val="24"/>
          <w:szCs w:val="24"/>
        </w:rPr>
        <w:t xml:space="preserve">to teach us that </w:t>
      </w:r>
      <w:r w:rsidRPr="00C0554D">
        <w:rPr>
          <w:rFonts w:hint="cs"/>
          <w:b w:val="0"/>
          <w:bCs w:val="0"/>
          <w:sz w:val="24"/>
          <w:szCs w:val="24"/>
          <w:rtl/>
        </w:rPr>
        <w:t>אין גט לאחר מיתה</w:t>
      </w:r>
      <w:r w:rsidRPr="00C0554D">
        <w:rPr>
          <w:b w:val="0"/>
          <w:bCs w:val="0"/>
          <w:sz w:val="24"/>
          <w:szCs w:val="24"/>
        </w:rPr>
        <w:t xml:space="preserve"> -</w:t>
      </w:r>
    </w:p>
    <w:p w:rsidR="00422233" w:rsidRPr="00C0554D" w:rsidRDefault="005422D4" w:rsidP="00C0554D">
      <w:pPr>
        <w:bidi/>
        <w:rPr>
          <w:rFonts w:cs="David"/>
        </w:rPr>
      </w:pPr>
      <w:r w:rsidRPr="00C0554D">
        <w:rPr>
          <w:rFonts w:cs="David"/>
          <w:rtl/>
        </w:rPr>
        <w:t>הא תנן בהדיא בפ</w:t>
      </w:r>
      <w:r w:rsidR="00422233" w:rsidRPr="00C0554D">
        <w:rPr>
          <w:rFonts w:cs="David" w:hint="cs"/>
          <w:rtl/>
        </w:rPr>
        <w:t xml:space="preserve">רק </w:t>
      </w:r>
      <w:r w:rsidRPr="00C0554D">
        <w:rPr>
          <w:rFonts w:cs="David"/>
          <w:rtl/>
        </w:rPr>
        <w:t>ק</w:t>
      </w:r>
      <w:r w:rsidR="00422233" w:rsidRPr="00C0554D">
        <w:rPr>
          <w:rFonts w:cs="David" w:hint="cs"/>
          <w:rtl/>
        </w:rPr>
        <w:t>מא</w:t>
      </w:r>
      <w:r w:rsidRPr="00C0554D">
        <w:rPr>
          <w:rFonts w:cs="David"/>
          <w:rtl/>
        </w:rPr>
        <w:t xml:space="preserve"> דגיטין </w:t>
      </w:r>
      <w:r w:rsidRPr="00C0554D">
        <w:rPr>
          <w:rFonts w:cs="David"/>
          <w:sz w:val="20"/>
          <w:szCs w:val="20"/>
          <w:rtl/>
        </w:rPr>
        <w:t>(דף יג</w:t>
      </w:r>
      <w:r w:rsidR="00422233" w:rsidRPr="00C0554D">
        <w:rPr>
          <w:rFonts w:cs="David" w:hint="cs"/>
          <w:sz w:val="20"/>
          <w:szCs w:val="20"/>
          <w:rtl/>
        </w:rPr>
        <w:t>,א</w:t>
      </w:r>
      <w:r w:rsidRPr="00C0554D">
        <w:rPr>
          <w:rFonts w:cs="David"/>
          <w:sz w:val="20"/>
          <w:szCs w:val="20"/>
          <w:rtl/>
        </w:rPr>
        <w:t xml:space="preserve"> ושם)</w:t>
      </w:r>
      <w:r w:rsidRPr="00C0554D">
        <w:rPr>
          <w:rFonts w:cs="David"/>
          <w:rtl/>
        </w:rPr>
        <w:t xml:space="preserve"> דאין גט לאחר מיתה </w:t>
      </w:r>
      <w:r w:rsidR="00C0554D">
        <w:rPr>
          <w:rFonts w:cs="David" w:hint="cs"/>
          <w:rtl/>
        </w:rPr>
        <w:t>-</w:t>
      </w:r>
    </w:p>
    <w:p w:rsidR="007D784A" w:rsidRPr="007D784A" w:rsidRDefault="007D784A" w:rsidP="007D784A">
      <w:r>
        <w:t xml:space="preserve">Since we already learnt a </w:t>
      </w:r>
      <w:r>
        <w:rPr>
          <w:rFonts w:hint="cs"/>
          <w:rtl/>
        </w:rPr>
        <w:t>משנה</w:t>
      </w:r>
      <w:r>
        <w:t xml:space="preserve"> in the first </w:t>
      </w:r>
      <w:r>
        <w:rPr>
          <w:rFonts w:hint="cs"/>
          <w:rtl/>
        </w:rPr>
        <w:t>פרק</w:t>
      </w:r>
      <w:r>
        <w:t xml:space="preserve"> of </w:t>
      </w:r>
      <w:r>
        <w:rPr>
          <w:rFonts w:hint="cs"/>
          <w:b w:val="0"/>
          <w:bCs w:val="0"/>
          <w:rtl/>
        </w:rPr>
        <w:t xml:space="preserve">מסכת </w:t>
      </w:r>
      <w:r>
        <w:rPr>
          <w:rFonts w:hint="cs"/>
          <w:rtl/>
        </w:rPr>
        <w:t>גיטין</w:t>
      </w:r>
      <w:r>
        <w:t xml:space="preserve">, </w:t>
      </w:r>
      <w:r>
        <w:rPr>
          <w:b w:val="0"/>
          <w:bCs w:val="0"/>
        </w:rPr>
        <w:t xml:space="preserve">which states </w:t>
      </w:r>
      <w:r w:rsidRPr="007D784A">
        <w:t>explicitly</w:t>
      </w:r>
      <w:r>
        <w:t xml:space="preserve"> that </w:t>
      </w:r>
      <w:r>
        <w:rPr>
          <w:rFonts w:hint="cs"/>
          <w:rtl/>
        </w:rPr>
        <w:t>אין גט לאחר מיתה</w:t>
      </w:r>
      <w:r>
        <w:t xml:space="preserve"> -</w:t>
      </w:r>
    </w:p>
    <w:p w:rsidR="00422233" w:rsidRPr="00C0554D" w:rsidRDefault="005422D4" w:rsidP="00C0554D">
      <w:pPr>
        <w:bidi/>
        <w:rPr>
          <w:rFonts w:cs="David"/>
          <w:rtl/>
        </w:rPr>
      </w:pPr>
      <w:r w:rsidRPr="00C0554D">
        <w:rPr>
          <w:rFonts w:cs="David"/>
          <w:rtl/>
        </w:rPr>
        <w:t xml:space="preserve">דתנן האומר תנו גט זה לאשתי לא יתנו לאחר מיתה </w:t>
      </w:r>
      <w:r w:rsidR="00C0554D">
        <w:rPr>
          <w:rFonts w:cs="David" w:hint="cs"/>
          <w:rtl/>
        </w:rPr>
        <w:t>-</w:t>
      </w:r>
    </w:p>
    <w:p w:rsidR="007D784A" w:rsidRDefault="007D784A" w:rsidP="007D784A">
      <w:r>
        <w:t xml:space="preserve">For the </w:t>
      </w:r>
      <w:r>
        <w:rPr>
          <w:rFonts w:hint="cs"/>
          <w:rtl/>
        </w:rPr>
        <w:t>משנה</w:t>
      </w:r>
      <w:r>
        <w:t xml:space="preserve"> </w:t>
      </w:r>
      <w:r>
        <w:rPr>
          <w:b w:val="0"/>
          <w:bCs w:val="0"/>
        </w:rPr>
        <w:t xml:space="preserve">in </w:t>
      </w:r>
      <w:r>
        <w:rPr>
          <w:rFonts w:hint="cs"/>
          <w:b w:val="0"/>
          <w:bCs w:val="0"/>
          <w:rtl/>
        </w:rPr>
        <w:t>גיטין</w:t>
      </w:r>
      <w:r>
        <w:rPr>
          <w:b w:val="0"/>
          <w:bCs w:val="0"/>
        </w:rPr>
        <w:t xml:space="preserve"> </w:t>
      </w:r>
      <w:r>
        <w:t xml:space="preserve">states, ‘one who says, ‘give this </w:t>
      </w:r>
      <w:r>
        <w:rPr>
          <w:rFonts w:hint="cs"/>
          <w:rtl/>
        </w:rPr>
        <w:t>גט</w:t>
      </w:r>
      <w:r>
        <w:t xml:space="preserve"> to my wife’, they should not give </w:t>
      </w:r>
      <w:r>
        <w:rPr>
          <w:b w:val="0"/>
          <w:bCs w:val="0"/>
        </w:rPr>
        <w:t xml:space="preserve">it to her </w:t>
      </w:r>
      <w:r>
        <w:t xml:space="preserve">after </w:t>
      </w:r>
      <w:r>
        <w:rPr>
          <w:b w:val="0"/>
          <w:bCs w:val="0"/>
        </w:rPr>
        <w:t xml:space="preserve">his </w:t>
      </w:r>
      <w:r>
        <w:t>death</w:t>
      </w:r>
      <w:r w:rsidR="00C0554D">
        <w:t xml:space="preserve">’. </w:t>
      </w:r>
      <w:r w:rsidR="00C0554D">
        <w:rPr>
          <w:b w:val="0"/>
          <w:bCs w:val="0"/>
          <w:sz w:val="24"/>
          <w:szCs w:val="24"/>
        </w:rPr>
        <w:t xml:space="preserve">The reason is because </w:t>
      </w:r>
      <w:r w:rsidR="00C0554D">
        <w:rPr>
          <w:rFonts w:hint="cs"/>
          <w:b w:val="0"/>
          <w:bCs w:val="0"/>
          <w:sz w:val="24"/>
          <w:szCs w:val="24"/>
          <w:rtl/>
        </w:rPr>
        <w:t>אין גט לאחר מיתה</w:t>
      </w:r>
      <w:r w:rsidR="00C0554D">
        <w:rPr>
          <w:b w:val="0"/>
          <w:bCs w:val="0"/>
          <w:sz w:val="24"/>
          <w:szCs w:val="24"/>
        </w:rPr>
        <w:t xml:space="preserve">; why is it repeated in this </w:t>
      </w:r>
      <w:r w:rsidR="00C0554D">
        <w:rPr>
          <w:rFonts w:hint="cs"/>
          <w:b w:val="0"/>
          <w:bCs w:val="0"/>
          <w:sz w:val="24"/>
          <w:szCs w:val="24"/>
          <w:rtl/>
        </w:rPr>
        <w:t>משנה</w:t>
      </w:r>
      <w:r w:rsidR="00C0554D">
        <w:rPr>
          <w:b w:val="0"/>
          <w:bCs w:val="0"/>
          <w:sz w:val="24"/>
          <w:szCs w:val="24"/>
        </w:rPr>
        <w:t xml:space="preserve"> cited here?</w:t>
      </w:r>
      <w:r>
        <w:t xml:space="preserve"> –</w:t>
      </w:r>
    </w:p>
    <w:p w:rsidR="007D784A" w:rsidRPr="00C0554D" w:rsidRDefault="007D784A" w:rsidP="007D784A">
      <w:pPr>
        <w:rPr>
          <w:sz w:val="24"/>
          <w:szCs w:val="24"/>
        </w:rPr>
      </w:pPr>
    </w:p>
    <w:p w:rsidR="007D784A" w:rsidRPr="00C0554D" w:rsidRDefault="007D784A" w:rsidP="007D784A">
      <w:pPr>
        <w:rPr>
          <w:b w:val="0"/>
          <w:bCs w:val="0"/>
          <w:sz w:val="24"/>
          <w:szCs w:val="24"/>
        </w:rPr>
      </w:pPr>
      <w:r w:rsidRPr="00C0554D">
        <w:rPr>
          <w:rFonts w:hint="cs"/>
          <w:b w:val="0"/>
          <w:bCs w:val="0"/>
          <w:sz w:val="24"/>
          <w:szCs w:val="24"/>
          <w:rtl/>
        </w:rPr>
        <w:t>תוספות</w:t>
      </w:r>
      <w:r w:rsidRPr="00C0554D">
        <w:rPr>
          <w:b w:val="0"/>
          <w:bCs w:val="0"/>
          <w:sz w:val="24"/>
          <w:szCs w:val="24"/>
        </w:rPr>
        <w:t xml:space="preserve"> responds:</w:t>
      </w:r>
    </w:p>
    <w:p w:rsidR="005422D4" w:rsidRPr="003D58D1" w:rsidRDefault="005422D4" w:rsidP="00422233">
      <w:pPr>
        <w:bidi/>
        <w:rPr>
          <w:rFonts w:cs="David"/>
          <w:rtl/>
        </w:rPr>
      </w:pPr>
      <w:r w:rsidRPr="003D58D1">
        <w:rPr>
          <w:rFonts w:cs="David"/>
          <w:rtl/>
        </w:rPr>
        <w:t xml:space="preserve">ובפרק קמא דגיטין </w:t>
      </w:r>
      <w:r w:rsidRPr="003D58D1">
        <w:rPr>
          <w:rFonts w:cs="David"/>
          <w:sz w:val="20"/>
          <w:szCs w:val="20"/>
          <w:rtl/>
        </w:rPr>
        <w:t>(שם ד</w:t>
      </w:r>
      <w:r w:rsidR="00422233" w:rsidRPr="003D58D1">
        <w:rPr>
          <w:rFonts w:cs="David" w:hint="cs"/>
          <w:sz w:val="20"/>
          <w:szCs w:val="20"/>
          <w:rtl/>
        </w:rPr>
        <w:t xml:space="preserve">יבור </w:t>
      </w:r>
      <w:r w:rsidRPr="003D58D1">
        <w:rPr>
          <w:rFonts w:cs="David"/>
          <w:sz w:val="20"/>
          <w:szCs w:val="20"/>
          <w:rtl/>
        </w:rPr>
        <w:t>ה</w:t>
      </w:r>
      <w:r w:rsidR="00422233" w:rsidRPr="003D58D1">
        <w:rPr>
          <w:rFonts w:cs="David" w:hint="cs"/>
          <w:sz w:val="20"/>
          <w:szCs w:val="20"/>
          <w:rtl/>
        </w:rPr>
        <w:t>מתחיל</w:t>
      </w:r>
      <w:r w:rsidRPr="003D58D1">
        <w:rPr>
          <w:rFonts w:cs="David"/>
          <w:sz w:val="20"/>
          <w:szCs w:val="20"/>
          <w:rtl/>
        </w:rPr>
        <w:t xml:space="preserve"> לא)</w:t>
      </w:r>
      <w:r w:rsidRPr="003D58D1">
        <w:rPr>
          <w:rFonts w:cs="David"/>
          <w:rtl/>
        </w:rPr>
        <w:t xml:space="preserve"> פירשנו</w:t>
      </w:r>
      <w:r w:rsidRPr="003D58D1">
        <w:rPr>
          <w:rFonts w:cs="David"/>
        </w:rPr>
        <w:t>:</w:t>
      </w:r>
      <w:r w:rsidR="007D784A" w:rsidRPr="003D58D1">
        <w:rPr>
          <w:rStyle w:val="FootnoteReference"/>
          <w:rFonts w:cs="David"/>
        </w:rPr>
        <w:footnoteReference w:id="9"/>
      </w:r>
    </w:p>
    <w:p w:rsidR="007D784A" w:rsidRPr="009F6918" w:rsidRDefault="007D784A" w:rsidP="007D784A">
      <w:pPr>
        <w:rPr>
          <w:b w:val="0"/>
          <w:bCs w:val="0"/>
          <w:sz w:val="24"/>
          <w:szCs w:val="24"/>
        </w:rPr>
      </w:pPr>
      <w:r>
        <w:t xml:space="preserve">And in the first </w:t>
      </w:r>
      <w:r>
        <w:rPr>
          <w:rFonts w:hint="cs"/>
          <w:rtl/>
        </w:rPr>
        <w:t>פרק</w:t>
      </w:r>
      <w:r>
        <w:t xml:space="preserve"> of </w:t>
      </w:r>
      <w:r>
        <w:rPr>
          <w:rFonts w:hint="cs"/>
          <w:b w:val="0"/>
          <w:bCs w:val="0"/>
          <w:rtl/>
        </w:rPr>
        <w:t xml:space="preserve">מסכת </w:t>
      </w:r>
      <w:r>
        <w:rPr>
          <w:rFonts w:hint="cs"/>
          <w:rtl/>
        </w:rPr>
        <w:t>גיטין</w:t>
      </w:r>
      <w:r>
        <w:t xml:space="preserve">, </w:t>
      </w:r>
      <w:r w:rsidRPr="007D784A">
        <w:t>we explained</w:t>
      </w:r>
      <w:r>
        <w:t xml:space="preserve"> </w:t>
      </w:r>
      <w:r w:rsidRPr="009F6918">
        <w:rPr>
          <w:b w:val="0"/>
          <w:bCs w:val="0"/>
          <w:sz w:val="24"/>
          <w:szCs w:val="24"/>
        </w:rPr>
        <w:t xml:space="preserve">the necessity of both these </w:t>
      </w:r>
      <w:r w:rsidRPr="009F6918">
        <w:rPr>
          <w:rFonts w:hint="cs"/>
          <w:b w:val="0"/>
          <w:bCs w:val="0"/>
          <w:sz w:val="24"/>
          <w:szCs w:val="24"/>
          <w:rtl/>
        </w:rPr>
        <w:t>משניות</w:t>
      </w:r>
      <w:r w:rsidRPr="009F6918">
        <w:rPr>
          <w:b w:val="0"/>
          <w:bCs w:val="0"/>
          <w:sz w:val="24"/>
          <w:szCs w:val="24"/>
        </w:rPr>
        <w:t>.</w:t>
      </w:r>
    </w:p>
    <w:p w:rsidR="003D4453" w:rsidRPr="009F6918" w:rsidRDefault="003D4453">
      <w:pPr>
        <w:rPr>
          <w:sz w:val="24"/>
          <w:szCs w:val="24"/>
        </w:rPr>
      </w:pPr>
    </w:p>
    <w:p w:rsidR="00422233" w:rsidRPr="00422233" w:rsidRDefault="00422233">
      <w:pPr>
        <w:rPr>
          <w:rFonts w:ascii="Copperplate Gothic Bold" w:hAnsi="Copperplate Gothic Bold"/>
          <w:b w:val="0"/>
          <w:bCs w:val="0"/>
          <w:u w:val="double"/>
        </w:rPr>
      </w:pPr>
      <w:r w:rsidRPr="00422233">
        <w:rPr>
          <w:rFonts w:ascii="Copperplate Gothic Bold" w:hAnsi="Copperplate Gothic Bold"/>
          <w:b w:val="0"/>
          <w:bCs w:val="0"/>
          <w:u w:val="double"/>
        </w:rPr>
        <w:t>Summary</w:t>
      </w:r>
    </w:p>
    <w:p w:rsidR="00422233" w:rsidRDefault="00D71057" w:rsidP="00D71057">
      <w:pPr>
        <w:rPr>
          <w:b w:val="0"/>
          <w:bCs w:val="0"/>
        </w:rPr>
      </w:pPr>
      <w:r>
        <w:rPr>
          <w:b w:val="0"/>
          <w:bCs w:val="0"/>
        </w:rPr>
        <w:t xml:space="preserve">The </w:t>
      </w:r>
      <w:r>
        <w:rPr>
          <w:rFonts w:hint="cs"/>
          <w:b w:val="0"/>
          <w:bCs w:val="0"/>
          <w:rtl/>
        </w:rPr>
        <w:t>תנא</w:t>
      </w:r>
      <w:r>
        <w:rPr>
          <w:b w:val="0"/>
          <w:bCs w:val="0"/>
        </w:rPr>
        <w:t xml:space="preserve"> may mention an obvious case to clarify the reason for the other cases. </w:t>
      </w:r>
      <w:r w:rsidR="003D58D1">
        <w:rPr>
          <w:b w:val="0"/>
          <w:bCs w:val="0"/>
        </w:rPr>
        <w:t xml:space="preserve">There are different types of ineffective </w:t>
      </w:r>
      <w:r w:rsidR="003D58D1">
        <w:rPr>
          <w:rFonts w:hint="cs"/>
          <w:b w:val="0"/>
          <w:bCs w:val="0"/>
          <w:rtl/>
        </w:rPr>
        <w:t>גיטין לאחר מיתה</w:t>
      </w:r>
      <w:r w:rsidR="003D58D1">
        <w:rPr>
          <w:b w:val="0"/>
          <w:bCs w:val="0"/>
        </w:rPr>
        <w:t>.</w:t>
      </w:r>
      <w:r>
        <w:rPr>
          <w:b w:val="0"/>
          <w:bCs w:val="0"/>
        </w:rPr>
        <w:t xml:space="preserve"> </w:t>
      </w:r>
    </w:p>
    <w:p w:rsidR="00422233" w:rsidRPr="009F6918" w:rsidRDefault="00422233">
      <w:pPr>
        <w:rPr>
          <w:b w:val="0"/>
          <w:bCs w:val="0"/>
          <w:sz w:val="24"/>
          <w:szCs w:val="24"/>
        </w:rPr>
      </w:pPr>
    </w:p>
    <w:p w:rsidR="00422233" w:rsidRPr="00422233" w:rsidRDefault="00422233">
      <w:pPr>
        <w:rPr>
          <w:rFonts w:ascii="Copperplate Gothic Bold" w:hAnsi="Copperplate Gothic Bold"/>
          <w:b w:val="0"/>
          <w:bCs w:val="0"/>
          <w:u w:val="double"/>
        </w:rPr>
      </w:pPr>
      <w:r w:rsidRPr="00422233">
        <w:rPr>
          <w:rFonts w:ascii="Copperplate Gothic Bold" w:hAnsi="Copperplate Gothic Bold"/>
          <w:b w:val="0"/>
          <w:bCs w:val="0"/>
          <w:u w:val="double"/>
        </w:rPr>
        <w:t>Thinking it over</w:t>
      </w:r>
    </w:p>
    <w:p w:rsidR="00422233" w:rsidRDefault="00AA1F15">
      <w:pPr>
        <w:rPr>
          <w:b w:val="0"/>
          <w:bCs w:val="0"/>
        </w:rPr>
      </w:pPr>
      <w:r>
        <w:rPr>
          <w:b w:val="0"/>
          <w:bCs w:val="0"/>
        </w:rPr>
        <w:t xml:space="preserve">1. </w:t>
      </w:r>
      <w:r w:rsidR="003D58D1">
        <w:rPr>
          <w:b w:val="0"/>
          <w:bCs w:val="0"/>
        </w:rPr>
        <w:t xml:space="preserve">Is there any connection between the opening comment of </w:t>
      </w:r>
      <w:r w:rsidR="003D58D1">
        <w:rPr>
          <w:rFonts w:hint="cs"/>
          <w:b w:val="0"/>
          <w:bCs w:val="0"/>
          <w:rtl/>
        </w:rPr>
        <w:t>תוספות</w:t>
      </w:r>
      <w:r w:rsidR="003D58D1">
        <w:rPr>
          <w:b w:val="0"/>
          <w:bCs w:val="0"/>
        </w:rPr>
        <w:t xml:space="preserve"> and the subsequent question?</w:t>
      </w:r>
      <w:r>
        <w:rPr>
          <w:rStyle w:val="FootnoteReference"/>
          <w:b w:val="0"/>
          <w:bCs w:val="0"/>
        </w:rPr>
        <w:footnoteReference w:id="10"/>
      </w:r>
    </w:p>
    <w:p w:rsidR="00AA1F15" w:rsidRDefault="00AA1F15">
      <w:pPr>
        <w:rPr>
          <w:b w:val="0"/>
          <w:bCs w:val="0"/>
        </w:rPr>
      </w:pPr>
    </w:p>
    <w:p w:rsidR="00AA1F15" w:rsidRPr="00422233" w:rsidRDefault="00AA1F15">
      <w:pPr>
        <w:rPr>
          <w:b w:val="0"/>
          <w:bCs w:val="0"/>
        </w:rPr>
      </w:pPr>
      <w:r>
        <w:rPr>
          <w:b w:val="0"/>
          <w:bCs w:val="0"/>
        </w:rPr>
        <w:t xml:space="preserve">2. Why did not </w:t>
      </w:r>
      <w:r>
        <w:rPr>
          <w:rFonts w:hint="cs"/>
          <w:b w:val="0"/>
          <w:bCs w:val="0"/>
          <w:rtl/>
        </w:rPr>
        <w:t>תוספות</w:t>
      </w:r>
      <w:r>
        <w:rPr>
          <w:b w:val="0"/>
          <w:bCs w:val="0"/>
        </w:rPr>
        <w:t xml:space="preserve"> state explicitly the answer to his question (instead of referring us to </w:t>
      </w:r>
      <w:r>
        <w:rPr>
          <w:rFonts w:hint="cs"/>
          <w:b w:val="0"/>
          <w:bCs w:val="0"/>
          <w:rtl/>
        </w:rPr>
        <w:t>גיטין</w:t>
      </w:r>
      <w:r>
        <w:rPr>
          <w:b w:val="0"/>
          <w:bCs w:val="0"/>
        </w:rPr>
        <w:t>)?</w:t>
      </w:r>
    </w:p>
    <w:sectPr w:rsidR="00AA1F15" w:rsidRPr="004222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B65" w:rsidRDefault="00953B65" w:rsidP="00422233">
      <w:pPr>
        <w:spacing w:line="240" w:lineRule="auto"/>
      </w:pPr>
      <w:r>
        <w:separator/>
      </w:r>
    </w:p>
  </w:endnote>
  <w:endnote w:type="continuationSeparator" w:id="0">
    <w:p w:rsidR="00953B65" w:rsidRDefault="00953B65" w:rsidP="00422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08245025"/>
      <w:docPartObj>
        <w:docPartGallery w:val="Page Numbers (Bottom of Page)"/>
        <w:docPartUnique/>
      </w:docPartObj>
    </w:sdtPr>
    <w:sdtEndPr>
      <w:rPr>
        <w:b w:val="0"/>
        <w:bCs w:val="0"/>
        <w:noProof/>
      </w:rPr>
    </w:sdtEndPr>
    <w:sdtContent>
      <w:p w:rsidR="00C0554D" w:rsidRPr="00C0554D" w:rsidRDefault="00C0554D">
        <w:pPr>
          <w:pStyle w:val="Footer"/>
          <w:jc w:val="center"/>
          <w:rPr>
            <w:b w:val="0"/>
            <w:bCs w:val="0"/>
            <w:noProof/>
            <w:sz w:val="16"/>
            <w:szCs w:val="16"/>
            <w:rtl/>
          </w:rPr>
        </w:pPr>
        <w:r w:rsidRPr="00C0554D">
          <w:rPr>
            <w:b w:val="0"/>
            <w:bCs w:val="0"/>
            <w:sz w:val="20"/>
            <w:szCs w:val="20"/>
          </w:rPr>
          <w:fldChar w:fldCharType="begin"/>
        </w:r>
        <w:r w:rsidRPr="00C0554D">
          <w:rPr>
            <w:b w:val="0"/>
            <w:bCs w:val="0"/>
            <w:sz w:val="20"/>
            <w:szCs w:val="20"/>
          </w:rPr>
          <w:instrText xml:space="preserve"> PAGE   \* MERGEFORMAT </w:instrText>
        </w:r>
        <w:r w:rsidRPr="00C0554D">
          <w:rPr>
            <w:b w:val="0"/>
            <w:bCs w:val="0"/>
            <w:sz w:val="20"/>
            <w:szCs w:val="20"/>
          </w:rPr>
          <w:fldChar w:fldCharType="separate"/>
        </w:r>
        <w:r w:rsidR="00151A77">
          <w:rPr>
            <w:b w:val="0"/>
            <w:bCs w:val="0"/>
            <w:noProof/>
            <w:sz w:val="20"/>
            <w:szCs w:val="20"/>
          </w:rPr>
          <w:t>1</w:t>
        </w:r>
        <w:r w:rsidRPr="00C0554D">
          <w:rPr>
            <w:b w:val="0"/>
            <w:bCs w:val="0"/>
            <w:noProof/>
            <w:sz w:val="20"/>
            <w:szCs w:val="20"/>
          </w:rPr>
          <w:fldChar w:fldCharType="end"/>
        </w:r>
      </w:p>
      <w:p w:rsidR="00C0554D" w:rsidRPr="00C0554D" w:rsidRDefault="00C0554D">
        <w:pPr>
          <w:pStyle w:val="Footer"/>
          <w:jc w:val="center"/>
          <w:rPr>
            <w:b w:val="0"/>
            <w:bCs w:val="0"/>
            <w:sz w:val="20"/>
            <w:szCs w:val="20"/>
          </w:rPr>
        </w:pPr>
        <w:r w:rsidRPr="00C0554D">
          <w:rPr>
            <w:b w:val="0"/>
            <w:bCs w:val="0"/>
            <w:noProof/>
            <w:sz w:val="16"/>
            <w:szCs w:val="16"/>
          </w:rPr>
          <w:t>TosfosInEnglish.com</w:t>
        </w:r>
      </w:p>
    </w:sdtContent>
  </w:sdt>
  <w:p w:rsidR="00C0554D" w:rsidRDefault="00C0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B65" w:rsidRDefault="00953B65" w:rsidP="00422233">
      <w:pPr>
        <w:spacing w:line="240" w:lineRule="auto"/>
      </w:pPr>
      <w:r>
        <w:separator/>
      </w:r>
    </w:p>
  </w:footnote>
  <w:footnote w:type="continuationSeparator" w:id="0">
    <w:p w:rsidR="00953B65" w:rsidRDefault="00953B65" w:rsidP="00422233">
      <w:pPr>
        <w:spacing w:line="240" w:lineRule="auto"/>
      </w:pPr>
      <w:r>
        <w:continuationSeparator/>
      </w:r>
    </w:p>
  </w:footnote>
  <w:footnote w:id="1">
    <w:p w:rsidR="00D77E5E" w:rsidRPr="00C0554D" w:rsidRDefault="00D77E5E" w:rsidP="009A3C26">
      <w:pPr>
        <w:pStyle w:val="FootnoteText"/>
        <w:spacing w:line="264" w:lineRule="auto"/>
        <w:rPr>
          <w:b w:val="0"/>
          <w:bCs w:val="0"/>
        </w:rPr>
      </w:pPr>
      <w:r w:rsidRPr="00C0554D">
        <w:rPr>
          <w:rStyle w:val="FootnoteReference"/>
          <w:b w:val="0"/>
          <w:bCs w:val="0"/>
        </w:rPr>
        <w:footnoteRef/>
      </w:r>
      <w:r w:rsidRPr="00C0554D">
        <w:rPr>
          <w:b w:val="0"/>
          <w:bCs w:val="0"/>
        </w:rPr>
        <w:t xml:space="preserve"> Seemingly once the </w:t>
      </w:r>
      <w:r w:rsidRPr="00C0554D">
        <w:rPr>
          <w:rFonts w:hint="cs"/>
          <w:b w:val="0"/>
          <w:bCs w:val="0"/>
          <w:rtl/>
        </w:rPr>
        <w:t>משנה</w:t>
      </w:r>
      <w:r w:rsidRPr="00C0554D">
        <w:rPr>
          <w:b w:val="0"/>
          <w:bCs w:val="0"/>
        </w:rPr>
        <w:t xml:space="preserve"> taught the first two cases of </w:t>
      </w:r>
      <w:r w:rsidRPr="00C0554D">
        <w:rPr>
          <w:rFonts w:hint="cs"/>
          <w:b w:val="0"/>
          <w:bCs w:val="0"/>
          <w:rtl/>
        </w:rPr>
        <w:t>אם מתי</w:t>
      </w:r>
      <w:r w:rsidRPr="00C0554D">
        <w:rPr>
          <w:b w:val="0"/>
          <w:bCs w:val="0"/>
        </w:rPr>
        <w:t xml:space="preserve"> and </w:t>
      </w:r>
      <w:r w:rsidRPr="00C0554D">
        <w:rPr>
          <w:rFonts w:hint="cs"/>
          <w:b w:val="0"/>
          <w:bCs w:val="0"/>
          <w:rtl/>
        </w:rPr>
        <w:t>מחולי זה</w:t>
      </w:r>
      <w:r w:rsidRPr="00C0554D">
        <w:rPr>
          <w:b w:val="0"/>
          <w:bCs w:val="0"/>
        </w:rPr>
        <w:t xml:space="preserve"> </w:t>
      </w:r>
      <w:r w:rsidR="00476D57" w:rsidRPr="00C0554D">
        <w:rPr>
          <w:b w:val="0"/>
          <w:bCs w:val="0"/>
        </w:rPr>
        <w:t xml:space="preserve">(where it is possible to interpret his intention that it should be </w:t>
      </w:r>
      <w:r w:rsidR="00476D57" w:rsidRPr="00C0554D">
        <w:rPr>
          <w:rFonts w:hint="cs"/>
          <w:b w:val="0"/>
          <w:bCs w:val="0"/>
          <w:rtl/>
        </w:rPr>
        <w:t>חל מעכשיו</w:t>
      </w:r>
      <w:r w:rsidR="00476D57" w:rsidRPr="00C0554D">
        <w:rPr>
          <w:b w:val="0"/>
          <w:bCs w:val="0"/>
        </w:rPr>
        <w:t xml:space="preserve">) </w:t>
      </w:r>
      <w:r w:rsidRPr="00C0554D">
        <w:rPr>
          <w:b w:val="0"/>
          <w:bCs w:val="0"/>
        </w:rPr>
        <w:t xml:space="preserve">that it is not a </w:t>
      </w:r>
      <w:r w:rsidRPr="00C0554D">
        <w:rPr>
          <w:rFonts w:hint="cs"/>
          <w:b w:val="0"/>
          <w:bCs w:val="0"/>
          <w:rtl/>
        </w:rPr>
        <w:t>גט</w:t>
      </w:r>
      <w:r w:rsidRPr="00C0554D">
        <w:rPr>
          <w:b w:val="0"/>
          <w:bCs w:val="0"/>
        </w:rPr>
        <w:t xml:space="preserve"> (presumably because </w:t>
      </w:r>
      <w:r w:rsidRPr="00C0554D">
        <w:rPr>
          <w:rFonts w:hint="cs"/>
          <w:b w:val="0"/>
          <w:bCs w:val="0"/>
          <w:rtl/>
        </w:rPr>
        <w:t>אין גט לאחר מיתה</w:t>
      </w:r>
      <w:r w:rsidRPr="00C0554D">
        <w:rPr>
          <w:b w:val="0"/>
          <w:bCs w:val="0"/>
        </w:rPr>
        <w:t xml:space="preserve">), then certainly </w:t>
      </w:r>
      <w:r w:rsidRPr="00C0554D">
        <w:rPr>
          <w:rFonts w:hint="cs"/>
          <w:b w:val="0"/>
          <w:bCs w:val="0"/>
          <w:rtl/>
        </w:rPr>
        <w:t>לאחר מותי</w:t>
      </w:r>
      <w:r w:rsidRPr="00C0554D">
        <w:rPr>
          <w:b w:val="0"/>
          <w:bCs w:val="0"/>
        </w:rPr>
        <w:t xml:space="preserve"> </w:t>
      </w:r>
      <w:r w:rsidR="00476D57" w:rsidRPr="00C0554D">
        <w:rPr>
          <w:b w:val="0"/>
          <w:bCs w:val="0"/>
        </w:rPr>
        <w:t xml:space="preserve">(where he stated explicitly that it should be effective only </w:t>
      </w:r>
      <w:r w:rsidR="00476D57" w:rsidRPr="00C0554D">
        <w:rPr>
          <w:rFonts w:hint="cs"/>
          <w:b w:val="0"/>
          <w:bCs w:val="0"/>
          <w:rtl/>
        </w:rPr>
        <w:t>לאחר מיתה</w:t>
      </w:r>
      <w:r w:rsidR="00476D57" w:rsidRPr="00C0554D">
        <w:rPr>
          <w:b w:val="0"/>
          <w:bCs w:val="0"/>
        </w:rPr>
        <w:t>)</w:t>
      </w:r>
      <w:r w:rsidRPr="00C0554D">
        <w:rPr>
          <w:b w:val="0"/>
          <w:bCs w:val="0"/>
        </w:rPr>
        <w:t xml:space="preserve"> it is surely not a </w:t>
      </w:r>
      <w:r w:rsidRPr="00C0554D">
        <w:rPr>
          <w:rFonts w:hint="cs"/>
          <w:b w:val="0"/>
          <w:bCs w:val="0"/>
          <w:rtl/>
        </w:rPr>
        <w:t>גט</w:t>
      </w:r>
      <w:r w:rsidRPr="00C0554D">
        <w:rPr>
          <w:b w:val="0"/>
          <w:bCs w:val="0"/>
        </w:rPr>
        <w:t xml:space="preserve">; why mention the last case of </w:t>
      </w:r>
      <w:r w:rsidRPr="00C0554D">
        <w:rPr>
          <w:rFonts w:hint="cs"/>
          <w:b w:val="0"/>
          <w:bCs w:val="0"/>
          <w:rtl/>
        </w:rPr>
        <w:t>לאחר מותי</w:t>
      </w:r>
      <w:r w:rsidRPr="00C0554D">
        <w:rPr>
          <w:b w:val="0"/>
          <w:bCs w:val="0"/>
        </w:rPr>
        <w:t>.</w:t>
      </w:r>
    </w:p>
  </w:footnote>
  <w:footnote w:id="2">
    <w:p w:rsidR="00476D57" w:rsidRPr="00C0554D" w:rsidRDefault="00476D57" w:rsidP="00C0554D">
      <w:pPr>
        <w:pStyle w:val="FootnoteText"/>
        <w:spacing w:line="264" w:lineRule="auto"/>
        <w:rPr>
          <w:b w:val="0"/>
          <w:bCs w:val="0"/>
        </w:rPr>
      </w:pPr>
      <w:r w:rsidRPr="00C0554D">
        <w:rPr>
          <w:rStyle w:val="FootnoteReference"/>
          <w:b w:val="0"/>
          <w:bCs w:val="0"/>
        </w:rPr>
        <w:footnoteRef/>
      </w:r>
      <w:r w:rsidRPr="00C0554D">
        <w:rPr>
          <w:b w:val="0"/>
          <w:bCs w:val="0"/>
        </w:rPr>
        <w:t xml:space="preserve"> </w:t>
      </w:r>
      <w:r w:rsidRPr="00C0554D">
        <w:rPr>
          <w:rFonts w:hint="cs"/>
          <w:b w:val="0"/>
          <w:bCs w:val="0"/>
          <w:rtl/>
        </w:rPr>
        <w:t>לאחר מיתה</w:t>
      </w:r>
      <w:r w:rsidRPr="00C0554D">
        <w:rPr>
          <w:b w:val="0"/>
          <w:bCs w:val="0"/>
        </w:rPr>
        <w:t xml:space="preserve"> is not merely a third case, but rather it explains why it is not a </w:t>
      </w:r>
      <w:r w:rsidRPr="00C0554D">
        <w:rPr>
          <w:rFonts w:hint="cs"/>
          <w:b w:val="0"/>
          <w:bCs w:val="0"/>
          <w:rtl/>
        </w:rPr>
        <w:t>גט</w:t>
      </w:r>
      <w:r w:rsidRPr="00C0554D">
        <w:rPr>
          <w:b w:val="0"/>
          <w:bCs w:val="0"/>
        </w:rPr>
        <w:t xml:space="preserve"> in the previous two cases.</w:t>
      </w:r>
    </w:p>
  </w:footnote>
  <w:footnote w:id="3">
    <w:p w:rsidR="00476D57" w:rsidRPr="00C0554D" w:rsidRDefault="00476D57" w:rsidP="00C0554D">
      <w:pPr>
        <w:pStyle w:val="FootnoteText"/>
        <w:spacing w:line="264" w:lineRule="auto"/>
        <w:rPr>
          <w:b w:val="0"/>
          <w:bCs w:val="0"/>
        </w:rPr>
      </w:pPr>
      <w:r w:rsidRPr="00C0554D">
        <w:rPr>
          <w:rStyle w:val="FootnoteReference"/>
          <w:b w:val="0"/>
          <w:bCs w:val="0"/>
        </w:rPr>
        <w:footnoteRef/>
      </w:r>
      <w:r w:rsidRPr="00C0554D">
        <w:rPr>
          <w:b w:val="0"/>
          <w:bCs w:val="0"/>
        </w:rPr>
        <w:t xml:space="preserve"> The </w:t>
      </w:r>
      <w:r w:rsidRPr="00C0554D">
        <w:rPr>
          <w:rFonts w:hint="cs"/>
          <w:b w:val="0"/>
          <w:bCs w:val="0"/>
          <w:rtl/>
        </w:rPr>
        <w:t>תורה</w:t>
      </w:r>
      <w:r w:rsidRPr="00C0554D">
        <w:rPr>
          <w:b w:val="0"/>
          <w:bCs w:val="0"/>
        </w:rPr>
        <w:t xml:space="preserve"> writes (in </w:t>
      </w:r>
      <w:r w:rsidRPr="00C0554D">
        <w:rPr>
          <w:rFonts w:hint="cs"/>
          <w:b w:val="0"/>
          <w:bCs w:val="0"/>
          <w:rtl/>
        </w:rPr>
        <w:t>במדבר [קרח] יח</w:t>
      </w:r>
      <w:proofErr w:type="gramStart"/>
      <w:r w:rsidRPr="00C0554D">
        <w:rPr>
          <w:rFonts w:hint="cs"/>
          <w:b w:val="0"/>
          <w:bCs w:val="0"/>
          <w:rtl/>
        </w:rPr>
        <w:t>,כח</w:t>
      </w:r>
      <w:proofErr w:type="gramEnd"/>
      <w:r w:rsidRPr="00C0554D">
        <w:rPr>
          <w:b w:val="0"/>
          <w:bCs w:val="0"/>
        </w:rPr>
        <w:t xml:space="preserve">) in regards to the separation of </w:t>
      </w:r>
      <w:r w:rsidRPr="00C0554D">
        <w:rPr>
          <w:rFonts w:hint="cs"/>
          <w:b w:val="0"/>
          <w:bCs w:val="0"/>
          <w:rtl/>
        </w:rPr>
        <w:t>תרומת [מעשר]</w:t>
      </w:r>
      <w:r w:rsidRPr="00C0554D">
        <w:rPr>
          <w:b w:val="0"/>
          <w:bCs w:val="0"/>
        </w:rPr>
        <w:t xml:space="preserve"> </w:t>
      </w:r>
      <w:r w:rsidR="00D71057" w:rsidRPr="00C0554D">
        <w:rPr>
          <w:b w:val="0"/>
          <w:bCs w:val="0"/>
        </w:rPr>
        <w:t>by</w:t>
      </w:r>
      <w:r w:rsidRPr="00C0554D">
        <w:rPr>
          <w:b w:val="0"/>
          <w:bCs w:val="0"/>
        </w:rPr>
        <w:t xml:space="preserve"> the </w:t>
      </w:r>
      <w:r w:rsidRPr="00C0554D">
        <w:rPr>
          <w:rFonts w:hint="cs"/>
          <w:b w:val="0"/>
          <w:bCs w:val="0"/>
          <w:rtl/>
        </w:rPr>
        <w:t>לויים</w:t>
      </w:r>
      <w:r w:rsidRPr="00C0554D">
        <w:rPr>
          <w:b w:val="0"/>
          <w:bCs w:val="0"/>
        </w:rPr>
        <w:t xml:space="preserve"> that </w:t>
      </w:r>
      <w:r w:rsidRPr="00C0554D">
        <w:rPr>
          <w:rFonts w:hint="cs"/>
          <w:b w:val="0"/>
          <w:bCs w:val="0"/>
          <w:rtl/>
        </w:rPr>
        <w:t xml:space="preserve">כן תרימו גם </w:t>
      </w:r>
      <w:r w:rsidRPr="00C0554D">
        <w:rPr>
          <w:rFonts w:hint="cs"/>
          <w:b w:val="0"/>
          <w:bCs w:val="0"/>
          <w:u w:val="single"/>
          <w:rtl/>
        </w:rPr>
        <w:t>אתם</w:t>
      </w:r>
      <w:r w:rsidRPr="00C0554D">
        <w:rPr>
          <w:rFonts w:hint="cs"/>
          <w:b w:val="0"/>
          <w:bCs w:val="0"/>
          <w:rtl/>
        </w:rPr>
        <w:t xml:space="preserve"> תרומת ה'</w:t>
      </w:r>
      <w:r w:rsidRPr="00C0554D">
        <w:rPr>
          <w:b w:val="0"/>
          <w:bCs w:val="0"/>
        </w:rPr>
        <w:t xml:space="preserve">. The word </w:t>
      </w:r>
      <w:r w:rsidRPr="00C0554D">
        <w:rPr>
          <w:rFonts w:hint="cs"/>
          <w:b w:val="0"/>
          <w:bCs w:val="0"/>
          <w:rtl/>
        </w:rPr>
        <w:t>אתם</w:t>
      </w:r>
      <w:r w:rsidRPr="00C0554D">
        <w:rPr>
          <w:b w:val="0"/>
          <w:bCs w:val="0"/>
        </w:rPr>
        <w:t xml:space="preserve"> </w:t>
      </w:r>
      <w:r w:rsidR="00D71057" w:rsidRPr="00C0554D">
        <w:rPr>
          <w:b w:val="0"/>
          <w:bCs w:val="0"/>
        </w:rPr>
        <w:t>(</w:t>
      </w:r>
      <w:r w:rsidR="00D71057" w:rsidRPr="00C0554D">
        <w:rPr>
          <w:b w:val="0"/>
          <w:bCs w:val="0"/>
          <w:u w:val="single"/>
        </w:rPr>
        <w:t>you</w:t>
      </w:r>
      <w:r w:rsidR="00D71057" w:rsidRPr="00C0554D">
        <w:rPr>
          <w:b w:val="0"/>
          <w:bCs w:val="0"/>
        </w:rPr>
        <w:t xml:space="preserve">, who are the owners) </w:t>
      </w:r>
      <w:r w:rsidRPr="00C0554D">
        <w:rPr>
          <w:b w:val="0"/>
          <w:bCs w:val="0"/>
        </w:rPr>
        <w:t>is understood to exclude</w:t>
      </w:r>
      <w:r w:rsidR="009F6918">
        <w:rPr>
          <w:b w:val="0"/>
          <w:bCs w:val="0"/>
        </w:rPr>
        <w:t>,</w:t>
      </w:r>
      <w:r w:rsidRPr="00C0554D">
        <w:rPr>
          <w:b w:val="0"/>
          <w:bCs w:val="0"/>
        </w:rPr>
        <w:t xml:space="preserve"> </w:t>
      </w:r>
      <w:r w:rsidR="00D71057" w:rsidRPr="00C0554D">
        <w:rPr>
          <w:b w:val="0"/>
          <w:bCs w:val="0"/>
        </w:rPr>
        <w:t xml:space="preserve">from separating </w:t>
      </w:r>
      <w:r w:rsidR="00D71057" w:rsidRPr="00C0554D">
        <w:rPr>
          <w:rFonts w:hint="cs"/>
          <w:b w:val="0"/>
          <w:bCs w:val="0"/>
          <w:rtl/>
        </w:rPr>
        <w:t>תרומה</w:t>
      </w:r>
      <w:r w:rsidR="009F6918">
        <w:rPr>
          <w:b w:val="0"/>
          <w:bCs w:val="0"/>
        </w:rPr>
        <w:t>,</w:t>
      </w:r>
      <w:r w:rsidR="00D71057" w:rsidRPr="00C0554D">
        <w:rPr>
          <w:b w:val="0"/>
          <w:bCs w:val="0"/>
        </w:rPr>
        <w:t xml:space="preserve"> </w:t>
      </w:r>
      <w:r w:rsidRPr="00C0554D">
        <w:rPr>
          <w:b w:val="0"/>
          <w:bCs w:val="0"/>
        </w:rPr>
        <w:t>anyone who is not the owner</w:t>
      </w:r>
      <w:r w:rsidR="00D71057" w:rsidRPr="00C0554D">
        <w:rPr>
          <w:b w:val="0"/>
          <w:bCs w:val="0"/>
        </w:rPr>
        <w:t>;</w:t>
      </w:r>
    </w:p>
  </w:footnote>
  <w:footnote w:id="4">
    <w:p w:rsidR="00D71057" w:rsidRPr="00C0554D" w:rsidRDefault="00D71057" w:rsidP="00C0554D">
      <w:pPr>
        <w:pStyle w:val="FootnoteText"/>
        <w:spacing w:line="264" w:lineRule="auto"/>
        <w:rPr>
          <w:b w:val="0"/>
          <w:bCs w:val="0"/>
        </w:rPr>
      </w:pPr>
      <w:r w:rsidRPr="00C0554D">
        <w:rPr>
          <w:rStyle w:val="FootnoteReference"/>
          <w:b w:val="0"/>
          <w:bCs w:val="0"/>
        </w:rPr>
        <w:footnoteRef/>
      </w:r>
      <w:r w:rsidRPr="00C0554D">
        <w:rPr>
          <w:b w:val="0"/>
          <w:bCs w:val="0"/>
        </w:rPr>
        <w:t xml:space="preserve"> </w:t>
      </w:r>
      <w:proofErr w:type="gramStart"/>
      <w:r w:rsidRPr="00C0554D">
        <w:rPr>
          <w:b w:val="0"/>
          <w:bCs w:val="0"/>
        </w:rPr>
        <w:t>An</w:t>
      </w:r>
      <w:proofErr w:type="gramEnd"/>
      <w:r w:rsidRPr="00C0554D">
        <w:rPr>
          <w:b w:val="0"/>
          <w:bCs w:val="0"/>
        </w:rPr>
        <w:t xml:space="preserve"> </w:t>
      </w:r>
      <w:r w:rsidRPr="00C0554D">
        <w:rPr>
          <w:rFonts w:hint="cs"/>
          <w:b w:val="0"/>
          <w:bCs w:val="0"/>
          <w:rtl/>
        </w:rPr>
        <w:t>אפוטרופוס</w:t>
      </w:r>
      <w:r w:rsidRPr="00C0554D">
        <w:rPr>
          <w:b w:val="0"/>
          <w:bCs w:val="0"/>
        </w:rPr>
        <w:t xml:space="preserve"> is one who is appointed as a guardian to manage the estates of minors. However he does not own any of their assets</w:t>
      </w:r>
      <w:r w:rsidR="009F6918">
        <w:rPr>
          <w:b w:val="0"/>
          <w:bCs w:val="0"/>
        </w:rPr>
        <w:t xml:space="preserve"> and cannot be </w:t>
      </w:r>
      <w:r w:rsidR="009F6918">
        <w:rPr>
          <w:rFonts w:hint="cs"/>
          <w:b w:val="0"/>
          <w:bCs w:val="0"/>
          <w:rtl/>
        </w:rPr>
        <w:t>תורם</w:t>
      </w:r>
      <w:r w:rsidR="009F6918">
        <w:rPr>
          <w:b w:val="0"/>
          <w:bCs w:val="0"/>
        </w:rPr>
        <w:t xml:space="preserve"> for them</w:t>
      </w:r>
      <w:r w:rsidRPr="00C0554D">
        <w:rPr>
          <w:b w:val="0"/>
          <w:bCs w:val="0"/>
        </w:rPr>
        <w:t>.</w:t>
      </w:r>
    </w:p>
  </w:footnote>
  <w:footnote w:id="5">
    <w:p w:rsidR="00D71057" w:rsidRPr="00C0554D" w:rsidRDefault="00D71057" w:rsidP="00C0554D">
      <w:pPr>
        <w:pStyle w:val="FootnoteText"/>
        <w:spacing w:line="264" w:lineRule="auto"/>
        <w:rPr>
          <w:b w:val="0"/>
          <w:bCs w:val="0"/>
        </w:rPr>
      </w:pPr>
      <w:r w:rsidRPr="00C0554D">
        <w:rPr>
          <w:rStyle w:val="FootnoteReference"/>
          <w:b w:val="0"/>
          <w:bCs w:val="0"/>
        </w:rPr>
        <w:footnoteRef/>
      </w:r>
      <w:r w:rsidRPr="00C0554D">
        <w:rPr>
          <w:b w:val="0"/>
          <w:bCs w:val="0"/>
        </w:rPr>
        <w:t xml:space="preserve"> A partner cannot be </w:t>
      </w:r>
      <w:r w:rsidRPr="00C0554D">
        <w:rPr>
          <w:rFonts w:hint="cs"/>
          <w:b w:val="0"/>
          <w:bCs w:val="0"/>
          <w:rtl/>
        </w:rPr>
        <w:t>תורם</w:t>
      </w:r>
      <w:r w:rsidRPr="00C0554D">
        <w:rPr>
          <w:b w:val="0"/>
          <w:bCs w:val="0"/>
        </w:rPr>
        <w:t xml:space="preserve"> the share of his (other) partner, only his own share.</w:t>
      </w:r>
    </w:p>
  </w:footnote>
  <w:footnote w:id="6">
    <w:p w:rsidR="00D71057" w:rsidRPr="00C0554D" w:rsidRDefault="00D71057" w:rsidP="00C0554D">
      <w:pPr>
        <w:pStyle w:val="FootnoteText"/>
        <w:spacing w:line="264" w:lineRule="auto"/>
        <w:rPr>
          <w:b w:val="0"/>
          <w:bCs w:val="0"/>
        </w:rPr>
      </w:pPr>
      <w:r w:rsidRPr="00C0554D">
        <w:rPr>
          <w:rStyle w:val="FootnoteReference"/>
          <w:b w:val="0"/>
          <w:bCs w:val="0"/>
        </w:rPr>
        <w:footnoteRef/>
      </w:r>
      <w:r w:rsidRPr="00C0554D">
        <w:rPr>
          <w:b w:val="0"/>
          <w:bCs w:val="0"/>
        </w:rPr>
        <w:t xml:space="preserve"> A sharecropper does not own the </w:t>
      </w:r>
      <w:r w:rsidR="009F6918" w:rsidRPr="00C0554D">
        <w:rPr>
          <w:b w:val="0"/>
          <w:bCs w:val="0"/>
        </w:rPr>
        <w:t>crops;</w:t>
      </w:r>
      <w:r w:rsidRPr="00C0554D">
        <w:rPr>
          <w:b w:val="0"/>
          <w:bCs w:val="0"/>
        </w:rPr>
        <w:t xml:space="preserve"> he merely receives his share after they are harvested. He cannot be </w:t>
      </w:r>
      <w:r w:rsidRPr="00C0554D">
        <w:rPr>
          <w:rFonts w:hint="cs"/>
          <w:b w:val="0"/>
          <w:bCs w:val="0"/>
          <w:rtl/>
        </w:rPr>
        <w:t>תורם</w:t>
      </w:r>
      <w:r w:rsidRPr="00C0554D">
        <w:rPr>
          <w:b w:val="0"/>
          <w:bCs w:val="0"/>
        </w:rPr>
        <w:t xml:space="preserve"> on behalf of the landowner.</w:t>
      </w:r>
    </w:p>
  </w:footnote>
  <w:footnote w:id="7">
    <w:p w:rsidR="00C0554D" w:rsidRPr="00C0554D" w:rsidRDefault="00C0554D" w:rsidP="00C0554D">
      <w:pPr>
        <w:pStyle w:val="FootnoteText"/>
        <w:spacing w:line="264" w:lineRule="auto"/>
        <w:rPr>
          <w:b w:val="0"/>
          <w:bCs w:val="0"/>
        </w:rPr>
      </w:pPr>
      <w:r w:rsidRPr="00C0554D">
        <w:rPr>
          <w:rStyle w:val="FootnoteReference"/>
          <w:b w:val="0"/>
          <w:bCs w:val="0"/>
        </w:rPr>
        <w:footnoteRef/>
      </w:r>
      <w:r w:rsidRPr="00C0554D">
        <w:rPr>
          <w:b w:val="0"/>
          <w:bCs w:val="0"/>
        </w:rPr>
        <w:t xml:space="preserve"> There is the same issue in the cited </w:t>
      </w:r>
      <w:r w:rsidRPr="00C0554D">
        <w:rPr>
          <w:rFonts w:hint="cs"/>
          <w:b w:val="0"/>
          <w:bCs w:val="0"/>
          <w:rtl/>
        </w:rPr>
        <w:t>ברייתא</w:t>
      </w:r>
      <w:r w:rsidRPr="00C0554D">
        <w:rPr>
          <w:b w:val="0"/>
          <w:bCs w:val="0"/>
        </w:rPr>
        <w:t xml:space="preserve">. Once we know that </w:t>
      </w:r>
      <w:r w:rsidRPr="00C0554D">
        <w:rPr>
          <w:rFonts w:hint="cs"/>
          <w:b w:val="0"/>
          <w:bCs w:val="0"/>
          <w:rtl/>
        </w:rPr>
        <w:t>אפוטרופסין שותפין וכו'</w:t>
      </w:r>
      <w:r w:rsidRPr="00C0554D">
        <w:rPr>
          <w:b w:val="0"/>
          <w:bCs w:val="0"/>
        </w:rPr>
        <w:t xml:space="preserve"> cannot be </w:t>
      </w:r>
      <w:r w:rsidRPr="00C0554D">
        <w:rPr>
          <w:rFonts w:hint="cs"/>
          <w:b w:val="0"/>
          <w:bCs w:val="0"/>
          <w:rtl/>
        </w:rPr>
        <w:t>תורם</w:t>
      </w:r>
      <w:r w:rsidRPr="00C0554D">
        <w:rPr>
          <w:b w:val="0"/>
          <w:bCs w:val="0"/>
        </w:rPr>
        <w:t xml:space="preserve"> (even though they have somewhat of an interest in the crops), then certainly a </w:t>
      </w:r>
      <w:r w:rsidRPr="00C0554D">
        <w:rPr>
          <w:rFonts w:hint="cs"/>
          <w:b w:val="0"/>
          <w:bCs w:val="0"/>
          <w:rtl/>
        </w:rPr>
        <w:t>תורם שאינו שלו</w:t>
      </w:r>
      <w:r w:rsidRPr="00C0554D">
        <w:rPr>
          <w:b w:val="0"/>
          <w:bCs w:val="0"/>
        </w:rPr>
        <w:t xml:space="preserve"> (who has no interest at all in the crops) cannot make it </w:t>
      </w:r>
      <w:r w:rsidRPr="00C0554D">
        <w:rPr>
          <w:rFonts w:hint="cs"/>
          <w:b w:val="0"/>
          <w:bCs w:val="0"/>
          <w:rtl/>
        </w:rPr>
        <w:t>תרומה</w:t>
      </w:r>
      <w:r w:rsidRPr="00C0554D">
        <w:rPr>
          <w:b w:val="0"/>
          <w:bCs w:val="0"/>
        </w:rPr>
        <w:t xml:space="preserve">; why mention the case of </w:t>
      </w:r>
      <w:r w:rsidRPr="00C0554D">
        <w:rPr>
          <w:rFonts w:hint="cs"/>
          <w:b w:val="0"/>
          <w:bCs w:val="0"/>
          <w:rtl/>
        </w:rPr>
        <w:t>התורם שאינו שלו</w:t>
      </w:r>
      <w:r w:rsidRPr="00C0554D">
        <w:rPr>
          <w:b w:val="0"/>
          <w:bCs w:val="0"/>
        </w:rPr>
        <w:t xml:space="preserve">. </w:t>
      </w:r>
      <w:proofErr w:type="gramStart"/>
      <w:r w:rsidRPr="00C0554D">
        <w:rPr>
          <w:b w:val="0"/>
          <w:bCs w:val="0"/>
        </w:rPr>
        <w:t xml:space="preserve">See </w:t>
      </w:r>
      <w:r w:rsidRPr="00C0554D">
        <w:rPr>
          <w:rFonts w:hint="cs"/>
          <w:b w:val="0"/>
          <w:bCs w:val="0"/>
          <w:rtl/>
        </w:rPr>
        <w:t>רש"י</w:t>
      </w:r>
      <w:r w:rsidRPr="00C0554D">
        <w:rPr>
          <w:b w:val="0"/>
          <w:bCs w:val="0"/>
        </w:rPr>
        <w:t xml:space="preserve"> there </w:t>
      </w:r>
      <w:r w:rsidRPr="00C0554D">
        <w:rPr>
          <w:rFonts w:hint="cs"/>
          <w:b w:val="0"/>
          <w:bCs w:val="0"/>
          <w:rtl/>
        </w:rPr>
        <w:t>ד"ה אתם</w:t>
      </w:r>
      <w:r w:rsidRPr="00C0554D">
        <w:rPr>
          <w:b w:val="0"/>
          <w:bCs w:val="0"/>
        </w:rPr>
        <w:t>.</w:t>
      </w:r>
      <w:proofErr w:type="gramEnd"/>
    </w:p>
  </w:footnote>
  <w:footnote w:id="8">
    <w:p w:rsidR="00C0554D" w:rsidRPr="00C0554D" w:rsidRDefault="00C0554D" w:rsidP="00C0554D">
      <w:pPr>
        <w:pStyle w:val="FootnoteText"/>
        <w:spacing w:line="264" w:lineRule="auto"/>
        <w:rPr>
          <w:b w:val="0"/>
          <w:bCs w:val="0"/>
        </w:rPr>
      </w:pPr>
      <w:r w:rsidRPr="00C0554D">
        <w:rPr>
          <w:rStyle w:val="FootnoteReference"/>
          <w:b w:val="0"/>
          <w:bCs w:val="0"/>
        </w:rPr>
        <w:footnoteRef/>
      </w:r>
      <w:r w:rsidRPr="00C0554D">
        <w:rPr>
          <w:b w:val="0"/>
          <w:bCs w:val="0"/>
        </w:rPr>
        <w:t xml:space="preserve"> The </w:t>
      </w:r>
      <w:r w:rsidRPr="00C0554D">
        <w:rPr>
          <w:rFonts w:hint="cs"/>
          <w:b w:val="0"/>
          <w:bCs w:val="0"/>
          <w:rtl/>
        </w:rPr>
        <w:t>גמרא</w:t>
      </w:r>
      <w:r w:rsidRPr="00C0554D">
        <w:rPr>
          <w:b w:val="0"/>
          <w:bCs w:val="0"/>
        </w:rPr>
        <w:t xml:space="preserve"> just asked why </w:t>
      </w:r>
      <w:r w:rsidR="003D58D1" w:rsidRPr="00C0554D">
        <w:rPr>
          <w:b w:val="0"/>
          <w:bCs w:val="0"/>
        </w:rPr>
        <w:t>we</w:t>
      </w:r>
      <w:r w:rsidRPr="00C0554D">
        <w:rPr>
          <w:b w:val="0"/>
          <w:bCs w:val="0"/>
        </w:rPr>
        <w:t xml:space="preserve"> need the </w:t>
      </w:r>
      <w:r w:rsidRPr="00C0554D">
        <w:rPr>
          <w:rFonts w:hint="cs"/>
          <w:b w:val="0"/>
          <w:bCs w:val="0"/>
          <w:rtl/>
        </w:rPr>
        <w:t>סיפא</w:t>
      </w:r>
      <w:r w:rsidRPr="00C0554D">
        <w:rPr>
          <w:b w:val="0"/>
          <w:bCs w:val="0"/>
        </w:rPr>
        <w:t xml:space="preserve"> to teach us </w:t>
      </w:r>
      <w:r w:rsidRPr="00C0554D">
        <w:rPr>
          <w:rFonts w:hint="cs"/>
          <w:b w:val="0"/>
          <w:bCs w:val="0"/>
          <w:rtl/>
        </w:rPr>
        <w:t>אין גט לאחר מיתה</w:t>
      </w:r>
      <w:r w:rsidRPr="00C0554D">
        <w:rPr>
          <w:b w:val="0"/>
          <w:bCs w:val="0"/>
        </w:rPr>
        <w:t xml:space="preserve">, since we know it from the </w:t>
      </w:r>
      <w:r w:rsidRPr="00C0554D">
        <w:rPr>
          <w:rFonts w:hint="cs"/>
          <w:b w:val="0"/>
          <w:bCs w:val="0"/>
          <w:rtl/>
        </w:rPr>
        <w:t>רישא</w:t>
      </w:r>
      <w:r w:rsidRPr="00C0554D">
        <w:rPr>
          <w:b w:val="0"/>
          <w:bCs w:val="0"/>
        </w:rPr>
        <w:t xml:space="preserve">, and </w:t>
      </w:r>
      <w:r w:rsidRPr="00C0554D">
        <w:rPr>
          <w:rFonts w:hint="cs"/>
          <w:b w:val="0"/>
          <w:bCs w:val="0"/>
          <w:rtl/>
        </w:rPr>
        <w:t>תוספות</w:t>
      </w:r>
      <w:r w:rsidRPr="00C0554D">
        <w:rPr>
          <w:b w:val="0"/>
          <w:bCs w:val="0"/>
        </w:rPr>
        <w:t xml:space="preserve"> asks that even the </w:t>
      </w:r>
      <w:r w:rsidRPr="00C0554D">
        <w:rPr>
          <w:rFonts w:hint="cs"/>
          <w:b w:val="0"/>
          <w:bCs w:val="0"/>
          <w:rtl/>
        </w:rPr>
        <w:t>רישא</w:t>
      </w:r>
      <w:r w:rsidRPr="00C0554D">
        <w:rPr>
          <w:b w:val="0"/>
          <w:bCs w:val="0"/>
        </w:rPr>
        <w:t xml:space="preserve"> is seemingly superfluous.</w:t>
      </w:r>
    </w:p>
  </w:footnote>
  <w:footnote w:id="9">
    <w:p w:rsidR="007D784A" w:rsidRPr="00C0554D" w:rsidRDefault="007D784A" w:rsidP="00DB1314">
      <w:pPr>
        <w:pStyle w:val="FootnoteText"/>
        <w:spacing w:line="264" w:lineRule="auto"/>
        <w:rPr>
          <w:b w:val="0"/>
          <w:bCs w:val="0"/>
        </w:rPr>
      </w:pPr>
      <w:r w:rsidRPr="00C0554D">
        <w:rPr>
          <w:rStyle w:val="FootnoteReference"/>
          <w:b w:val="0"/>
          <w:bCs w:val="0"/>
        </w:rPr>
        <w:footnoteRef/>
      </w:r>
      <w:r w:rsidRPr="00C0554D">
        <w:rPr>
          <w:b w:val="0"/>
          <w:bCs w:val="0"/>
        </w:rPr>
        <w:t xml:space="preserve"> </w:t>
      </w:r>
      <w:r w:rsidR="00D77E5E" w:rsidRPr="00C0554D">
        <w:rPr>
          <w:b w:val="0"/>
          <w:bCs w:val="0"/>
        </w:rPr>
        <w:t xml:space="preserve">This is what </w:t>
      </w:r>
      <w:r w:rsidR="00D77E5E" w:rsidRPr="00C0554D">
        <w:rPr>
          <w:rFonts w:hint="cs"/>
          <w:b w:val="0"/>
          <w:bCs w:val="0"/>
          <w:rtl/>
        </w:rPr>
        <w:t>תוסופות</w:t>
      </w:r>
      <w:r w:rsidR="00D77E5E" w:rsidRPr="00C0554D">
        <w:rPr>
          <w:b w:val="0"/>
          <w:bCs w:val="0"/>
        </w:rPr>
        <w:t xml:space="preserve"> writes</w:t>
      </w:r>
      <w:r w:rsidR="0014221E">
        <w:rPr>
          <w:b w:val="0"/>
          <w:bCs w:val="0"/>
        </w:rPr>
        <w:t xml:space="preserve"> </w:t>
      </w:r>
      <w:r w:rsidR="00D77E5E" w:rsidRPr="00C0554D">
        <w:rPr>
          <w:b w:val="0"/>
          <w:bCs w:val="0"/>
        </w:rPr>
        <w:t>there</w:t>
      </w:r>
      <w:r w:rsidR="0014221E" w:rsidRPr="00C0554D">
        <w:rPr>
          <w:b w:val="0"/>
          <w:bCs w:val="0"/>
        </w:rPr>
        <w:t>:</w:t>
      </w:r>
      <w:r w:rsidR="0014221E" w:rsidRPr="00C0554D">
        <w:rPr>
          <w:rFonts w:hint="cs"/>
          <w:b w:val="0"/>
          <w:bCs w:val="0"/>
          <w:rtl/>
        </w:rPr>
        <w:t xml:space="preserve"> הכא</w:t>
      </w:r>
      <w:r w:rsidRPr="00C0554D">
        <w:rPr>
          <w:b w:val="0"/>
          <w:bCs w:val="0"/>
          <w:rtl/>
        </w:rPr>
        <w:t xml:space="preserve"> איצטריך לאשמועינן דאע"ג שמינה המגרש בחייו השליח לא חשיב להיות כמותו אחר מותו כאילו הוא עצמו קיים אלא חשיב גט לאחר מיתה והתם אשמועינן דאע"ג שבא הגט ליד האשה מחיים הוי גט אחר מיתה ואשמועינן נמי לישני דתני התם הי משמע מחיים והי משמע אחר מיתה</w:t>
      </w:r>
      <w:r w:rsidR="00D77E5E" w:rsidRPr="00C0554D">
        <w:rPr>
          <w:b w:val="0"/>
          <w:bCs w:val="0"/>
        </w:rPr>
        <w:t xml:space="preserve">. The </w:t>
      </w:r>
      <w:r w:rsidR="00D77E5E" w:rsidRPr="00C0554D">
        <w:rPr>
          <w:rFonts w:hint="cs"/>
          <w:b w:val="0"/>
          <w:bCs w:val="0"/>
          <w:rtl/>
        </w:rPr>
        <w:t>משנה</w:t>
      </w:r>
      <w:r w:rsidR="00D77E5E" w:rsidRPr="00C0554D">
        <w:rPr>
          <w:b w:val="0"/>
          <w:bCs w:val="0"/>
        </w:rPr>
        <w:t xml:space="preserve"> in </w:t>
      </w:r>
      <w:r w:rsidR="00D77E5E" w:rsidRPr="00C0554D">
        <w:rPr>
          <w:rFonts w:hint="cs"/>
          <w:b w:val="0"/>
          <w:bCs w:val="0"/>
          <w:rtl/>
        </w:rPr>
        <w:t>גיטין</w:t>
      </w:r>
      <w:r w:rsidR="00D77E5E" w:rsidRPr="00C0554D">
        <w:rPr>
          <w:b w:val="0"/>
          <w:bCs w:val="0"/>
        </w:rPr>
        <w:t xml:space="preserve"> teaches us that even though he appointed the </w:t>
      </w:r>
      <w:r w:rsidR="00D77E5E" w:rsidRPr="00C0554D">
        <w:rPr>
          <w:rFonts w:hint="cs"/>
          <w:b w:val="0"/>
          <w:bCs w:val="0"/>
          <w:rtl/>
        </w:rPr>
        <w:t>שליח</w:t>
      </w:r>
      <w:r w:rsidR="00D77E5E" w:rsidRPr="00C0554D">
        <w:rPr>
          <w:b w:val="0"/>
          <w:bCs w:val="0"/>
        </w:rPr>
        <w:t xml:space="preserve"> while he was alive, nevertheless </w:t>
      </w:r>
      <w:r w:rsidR="003D58D1">
        <w:rPr>
          <w:b w:val="0"/>
          <w:bCs w:val="0"/>
        </w:rPr>
        <w:t>t</w:t>
      </w:r>
      <w:r w:rsidR="00D77E5E" w:rsidRPr="00C0554D">
        <w:rPr>
          <w:b w:val="0"/>
          <w:bCs w:val="0"/>
        </w:rPr>
        <w:t>he</w:t>
      </w:r>
      <w:r w:rsidR="003D58D1">
        <w:rPr>
          <w:b w:val="0"/>
          <w:bCs w:val="0"/>
        </w:rPr>
        <w:t xml:space="preserve"> </w:t>
      </w:r>
      <w:r w:rsidR="003D58D1">
        <w:rPr>
          <w:rFonts w:hint="cs"/>
          <w:b w:val="0"/>
          <w:bCs w:val="0"/>
          <w:rtl/>
        </w:rPr>
        <w:t>שליח</w:t>
      </w:r>
      <w:r w:rsidR="00D77E5E" w:rsidRPr="00C0554D">
        <w:rPr>
          <w:b w:val="0"/>
          <w:bCs w:val="0"/>
        </w:rPr>
        <w:t xml:space="preserve"> is not considered</w:t>
      </w:r>
      <w:r w:rsidR="003D58D1">
        <w:rPr>
          <w:b w:val="0"/>
          <w:bCs w:val="0"/>
        </w:rPr>
        <w:t>,</w:t>
      </w:r>
      <w:r w:rsidR="00D77E5E" w:rsidRPr="00C0554D">
        <w:rPr>
          <w:b w:val="0"/>
          <w:bCs w:val="0"/>
        </w:rPr>
        <w:t xml:space="preserve"> after the death of the husband</w:t>
      </w:r>
      <w:r w:rsidR="003D58D1">
        <w:rPr>
          <w:b w:val="0"/>
          <w:bCs w:val="0"/>
        </w:rPr>
        <w:t>,</w:t>
      </w:r>
      <w:r w:rsidR="00D77E5E" w:rsidRPr="00C0554D">
        <w:rPr>
          <w:b w:val="0"/>
          <w:bCs w:val="0"/>
        </w:rPr>
        <w:t xml:space="preserve"> to be in place of the husband, but it is considered a </w:t>
      </w:r>
      <w:r w:rsidR="00D77E5E" w:rsidRPr="00C0554D">
        <w:rPr>
          <w:rFonts w:hint="cs"/>
          <w:b w:val="0"/>
          <w:bCs w:val="0"/>
          <w:rtl/>
        </w:rPr>
        <w:t>גט לאחר מיתה</w:t>
      </w:r>
      <w:r w:rsidR="00D77E5E" w:rsidRPr="00C0554D">
        <w:rPr>
          <w:b w:val="0"/>
          <w:bCs w:val="0"/>
        </w:rPr>
        <w:t xml:space="preserve">. The </w:t>
      </w:r>
      <w:r w:rsidR="00D77E5E" w:rsidRPr="00C0554D">
        <w:rPr>
          <w:rFonts w:hint="cs"/>
          <w:b w:val="0"/>
          <w:bCs w:val="0"/>
          <w:rtl/>
        </w:rPr>
        <w:t>משנה</w:t>
      </w:r>
      <w:r w:rsidR="00D77E5E" w:rsidRPr="00C0554D">
        <w:rPr>
          <w:b w:val="0"/>
          <w:bCs w:val="0"/>
        </w:rPr>
        <w:t xml:space="preserve"> (cited) here teaches us that even though the </w:t>
      </w:r>
      <w:r w:rsidR="00D77E5E" w:rsidRPr="00C0554D">
        <w:rPr>
          <w:rFonts w:hint="cs"/>
          <w:b w:val="0"/>
          <w:bCs w:val="0"/>
          <w:rtl/>
        </w:rPr>
        <w:t>גט</w:t>
      </w:r>
      <w:r w:rsidR="00D77E5E" w:rsidRPr="00C0554D">
        <w:rPr>
          <w:b w:val="0"/>
          <w:bCs w:val="0"/>
        </w:rPr>
        <w:t xml:space="preserve"> was in the possession of the woman while the husband was still alive, nevertheless it is considered a </w:t>
      </w:r>
      <w:r w:rsidR="00D77E5E" w:rsidRPr="00C0554D">
        <w:rPr>
          <w:rFonts w:hint="cs"/>
          <w:b w:val="0"/>
          <w:bCs w:val="0"/>
          <w:rtl/>
        </w:rPr>
        <w:t>גט לאחר מיתה</w:t>
      </w:r>
      <w:r w:rsidR="00D77E5E" w:rsidRPr="00C0554D">
        <w:rPr>
          <w:b w:val="0"/>
          <w:bCs w:val="0"/>
        </w:rPr>
        <w:t>, and it also teaches us which expression (</w:t>
      </w:r>
      <w:r w:rsidR="00D77E5E" w:rsidRPr="00C0554D">
        <w:rPr>
          <w:rFonts w:hint="cs"/>
          <w:b w:val="0"/>
          <w:bCs w:val="0"/>
          <w:rtl/>
        </w:rPr>
        <w:t>זה גיטיך מחולי וכו'</w:t>
      </w:r>
      <w:r w:rsidR="00D77E5E" w:rsidRPr="00C0554D">
        <w:rPr>
          <w:b w:val="0"/>
          <w:bCs w:val="0"/>
        </w:rPr>
        <w:t xml:space="preserve">) is considered </w:t>
      </w:r>
      <w:r w:rsidR="00D77E5E" w:rsidRPr="00C0554D">
        <w:rPr>
          <w:rFonts w:hint="cs"/>
          <w:b w:val="0"/>
          <w:bCs w:val="0"/>
          <w:rtl/>
        </w:rPr>
        <w:t>לאחר מיתה</w:t>
      </w:r>
      <w:r w:rsidR="00D77E5E" w:rsidRPr="00C0554D">
        <w:rPr>
          <w:b w:val="0"/>
          <w:bCs w:val="0"/>
        </w:rPr>
        <w:t>.</w:t>
      </w:r>
    </w:p>
  </w:footnote>
  <w:footnote w:id="10">
    <w:p w:rsidR="00AA1F15" w:rsidRPr="00AA1F15" w:rsidRDefault="00AA1F15" w:rsidP="00AA1F15">
      <w:pPr>
        <w:pStyle w:val="FootnoteText"/>
        <w:spacing w:line="264" w:lineRule="auto"/>
        <w:rPr>
          <w:b w:val="0"/>
          <w:bCs w:val="0"/>
        </w:rPr>
      </w:pPr>
      <w:r w:rsidRPr="00AA1F15">
        <w:rPr>
          <w:rStyle w:val="FootnoteReference"/>
          <w:b w:val="0"/>
          <w:bCs w:val="0"/>
        </w:rPr>
        <w:footnoteRef/>
      </w:r>
      <w:r w:rsidRPr="00AA1F15">
        <w:rPr>
          <w:b w:val="0"/>
          <w:bCs w:val="0"/>
        </w:rPr>
        <w:t xml:space="preserve"> See </w:t>
      </w:r>
      <w:r w:rsidRPr="00AA1F15">
        <w:rPr>
          <w:rFonts w:hint="cs"/>
          <w:b w:val="0"/>
          <w:bCs w:val="0"/>
          <w:rtl/>
        </w:rPr>
        <w:t>שיטה מקובצת</w:t>
      </w:r>
      <w:r w:rsidRPr="00AA1F15">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33" w:rsidRPr="00422233" w:rsidRDefault="00422233" w:rsidP="00422233">
    <w:pPr>
      <w:pStyle w:val="Header"/>
      <w:bidi/>
      <w:rPr>
        <w:b w:val="0"/>
        <w:bCs w:val="0"/>
        <w:sz w:val="24"/>
        <w:szCs w:val="24"/>
      </w:rPr>
    </w:pPr>
    <w:r>
      <w:rPr>
        <w:rFonts w:hint="cs"/>
        <w:b w:val="0"/>
        <w:bCs w:val="0"/>
        <w:sz w:val="24"/>
        <w:szCs w:val="24"/>
        <w:rtl/>
      </w:rPr>
      <w:t>בס"ד. כתובות ב,ב תוס' ד"ה הרי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2D4"/>
    <w:rsid w:val="0014221E"/>
    <w:rsid w:val="00151A77"/>
    <w:rsid w:val="003D4453"/>
    <w:rsid w:val="003D58D1"/>
    <w:rsid w:val="00422233"/>
    <w:rsid w:val="00476D57"/>
    <w:rsid w:val="005422D4"/>
    <w:rsid w:val="00645C01"/>
    <w:rsid w:val="007D784A"/>
    <w:rsid w:val="00953B65"/>
    <w:rsid w:val="009A3C26"/>
    <w:rsid w:val="009F6918"/>
    <w:rsid w:val="00AA1F15"/>
    <w:rsid w:val="00B77774"/>
    <w:rsid w:val="00C0554D"/>
    <w:rsid w:val="00D71057"/>
    <w:rsid w:val="00D77E5E"/>
    <w:rsid w:val="00DB1314"/>
    <w:rsid w:val="00F34193"/>
    <w:rsid w:val="00F401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33"/>
    <w:pPr>
      <w:tabs>
        <w:tab w:val="center" w:pos="4680"/>
        <w:tab w:val="right" w:pos="9360"/>
      </w:tabs>
      <w:spacing w:line="240" w:lineRule="auto"/>
    </w:pPr>
  </w:style>
  <w:style w:type="character" w:customStyle="1" w:styleId="HeaderChar">
    <w:name w:val="Header Char"/>
    <w:basedOn w:val="DefaultParagraphFont"/>
    <w:link w:val="Header"/>
    <w:uiPriority w:val="99"/>
    <w:rsid w:val="00422233"/>
  </w:style>
  <w:style w:type="paragraph" w:styleId="Footer">
    <w:name w:val="footer"/>
    <w:basedOn w:val="Normal"/>
    <w:link w:val="FooterChar"/>
    <w:uiPriority w:val="99"/>
    <w:unhideWhenUsed/>
    <w:rsid w:val="00422233"/>
    <w:pPr>
      <w:tabs>
        <w:tab w:val="center" w:pos="4680"/>
        <w:tab w:val="right" w:pos="9360"/>
      </w:tabs>
      <w:spacing w:line="240" w:lineRule="auto"/>
    </w:pPr>
  </w:style>
  <w:style w:type="character" w:customStyle="1" w:styleId="FooterChar">
    <w:name w:val="Footer Char"/>
    <w:basedOn w:val="DefaultParagraphFont"/>
    <w:link w:val="Footer"/>
    <w:uiPriority w:val="99"/>
    <w:rsid w:val="00422233"/>
  </w:style>
  <w:style w:type="paragraph" w:styleId="FootnoteText">
    <w:name w:val="footnote text"/>
    <w:basedOn w:val="Normal"/>
    <w:link w:val="FootnoteTextChar"/>
    <w:uiPriority w:val="99"/>
    <w:semiHidden/>
    <w:unhideWhenUsed/>
    <w:rsid w:val="007D784A"/>
    <w:pPr>
      <w:spacing w:line="240" w:lineRule="auto"/>
    </w:pPr>
    <w:rPr>
      <w:sz w:val="20"/>
      <w:szCs w:val="20"/>
    </w:rPr>
  </w:style>
  <w:style w:type="character" w:customStyle="1" w:styleId="FootnoteTextChar">
    <w:name w:val="Footnote Text Char"/>
    <w:basedOn w:val="DefaultParagraphFont"/>
    <w:link w:val="FootnoteText"/>
    <w:uiPriority w:val="99"/>
    <w:semiHidden/>
    <w:rsid w:val="007D784A"/>
    <w:rPr>
      <w:sz w:val="20"/>
      <w:szCs w:val="20"/>
    </w:rPr>
  </w:style>
  <w:style w:type="character" w:styleId="FootnoteReference">
    <w:name w:val="footnote reference"/>
    <w:basedOn w:val="DefaultParagraphFont"/>
    <w:uiPriority w:val="99"/>
    <w:semiHidden/>
    <w:unhideWhenUsed/>
    <w:rsid w:val="007D784A"/>
    <w:rPr>
      <w:vertAlign w:val="superscript"/>
    </w:rPr>
  </w:style>
  <w:style w:type="paragraph" w:styleId="ListParagraph">
    <w:name w:val="List Paragraph"/>
    <w:basedOn w:val="Normal"/>
    <w:uiPriority w:val="34"/>
    <w:qFormat/>
    <w:rsid w:val="00AA1F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33"/>
    <w:pPr>
      <w:tabs>
        <w:tab w:val="center" w:pos="4680"/>
        <w:tab w:val="right" w:pos="9360"/>
      </w:tabs>
      <w:spacing w:line="240" w:lineRule="auto"/>
    </w:pPr>
  </w:style>
  <w:style w:type="character" w:customStyle="1" w:styleId="HeaderChar">
    <w:name w:val="Header Char"/>
    <w:basedOn w:val="DefaultParagraphFont"/>
    <w:link w:val="Header"/>
    <w:uiPriority w:val="99"/>
    <w:rsid w:val="00422233"/>
  </w:style>
  <w:style w:type="paragraph" w:styleId="Footer">
    <w:name w:val="footer"/>
    <w:basedOn w:val="Normal"/>
    <w:link w:val="FooterChar"/>
    <w:uiPriority w:val="99"/>
    <w:unhideWhenUsed/>
    <w:rsid w:val="00422233"/>
    <w:pPr>
      <w:tabs>
        <w:tab w:val="center" w:pos="4680"/>
        <w:tab w:val="right" w:pos="9360"/>
      </w:tabs>
      <w:spacing w:line="240" w:lineRule="auto"/>
    </w:pPr>
  </w:style>
  <w:style w:type="character" w:customStyle="1" w:styleId="FooterChar">
    <w:name w:val="Footer Char"/>
    <w:basedOn w:val="DefaultParagraphFont"/>
    <w:link w:val="Footer"/>
    <w:uiPriority w:val="99"/>
    <w:rsid w:val="00422233"/>
  </w:style>
  <w:style w:type="paragraph" w:styleId="FootnoteText">
    <w:name w:val="footnote text"/>
    <w:basedOn w:val="Normal"/>
    <w:link w:val="FootnoteTextChar"/>
    <w:uiPriority w:val="99"/>
    <w:semiHidden/>
    <w:unhideWhenUsed/>
    <w:rsid w:val="007D784A"/>
    <w:pPr>
      <w:spacing w:line="240" w:lineRule="auto"/>
    </w:pPr>
    <w:rPr>
      <w:sz w:val="20"/>
      <w:szCs w:val="20"/>
    </w:rPr>
  </w:style>
  <w:style w:type="character" w:customStyle="1" w:styleId="FootnoteTextChar">
    <w:name w:val="Footnote Text Char"/>
    <w:basedOn w:val="DefaultParagraphFont"/>
    <w:link w:val="FootnoteText"/>
    <w:uiPriority w:val="99"/>
    <w:semiHidden/>
    <w:rsid w:val="007D784A"/>
    <w:rPr>
      <w:sz w:val="20"/>
      <w:szCs w:val="20"/>
    </w:rPr>
  </w:style>
  <w:style w:type="character" w:styleId="FootnoteReference">
    <w:name w:val="footnote reference"/>
    <w:basedOn w:val="DefaultParagraphFont"/>
    <w:uiPriority w:val="99"/>
    <w:semiHidden/>
    <w:unhideWhenUsed/>
    <w:rsid w:val="007D784A"/>
    <w:rPr>
      <w:vertAlign w:val="superscript"/>
    </w:rPr>
  </w:style>
  <w:style w:type="paragraph" w:styleId="ListParagraph">
    <w:name w:val="List Paragraph"/>
    <w:basedOn w:val="Normal"/>
    <w:uiPriority w:val="34"/>
    <w:qFormat/>
    <w:rsid w:val="00AA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10</cp:revision>
  <dcterms:created xsi:type="dcterms:W3CDTF">2016-03-21T21:41:00Z</dcterms:created>
  <dcterms:modified xsi:type="dcterms:W3CDTF">2016-05-09T23:05:00Z</dcterms:modified>
</cp:coreProperties>
</file>