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1E" w:rsidRDefault="005A49BB" w:rsidP="008E4F17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ואוקי</w:t>
      </w:r>
      <w:r>
        <w:rPr>
          <w:rFonts w:hint="cs"/>
          <w:b/>
          <w:bCs/>
          <w:sz w:val="32"/>
          <w:szCs w:val="32"/>
          <w:rtl/>
        </w:rPr>
        <w:t xml:space="preserve"> ארעא</w:t>
      </w:r>
      <w:r w:rsidR="00B16E57">
        <w:rPr>
          <w:rStyle w:val="FootnoteReference"/>
          <w:b/>
          <w:bCs/>
          <w:sz w:val="32"/>
          <w:szCs w:val="32"/>
          <w:rtl/>
        </w:rPr>
        <w:footnoteReference w:id="1"/>
      </w:r>
      <w:r>
        <w:rPr>
          <w:rFonts w:hint="cs"/>
          <w:b/>
          <w:bCs/>
          <w:sz w:val="32"/>
          <w:szCs w:val="32"/>
          <w:rtl/>
        </w:rPr>
        <w:t xml:space="preserve"> בחזקת בר שטיא</w:t>
      </w:r>
    </w:p>
    <w:p w:rsidR="005A49BB" w:rsidRDefault="005A49BB" w:rsidP="008E4F17">
      <w:pPr>
        <w:spacing w:line="276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 xml:space="preserve">And we place the field in the </w:t>
      </w:r>
      <w:r>
        <w:rPr>
          <w:sz w:val="32"/>
          <w:szCs w:val="32"/>
        </w:rPr>
        <w:t xml:space="preserve">presumptive </w:t>
      </w:r>
      <w:r>
        <w:rPr>
          <w:b/>
          <w:bCs/>
          <w:sz w:val="32"/>
          <w:szCs w:val="32"/>
        </w:rPr>
        <w:t xml:space="preserve">possession of </w:t>
      </w:r>
      <w:r>
        <w:rPr>
          <w:rFonts w:hint="cs"/>
          <w:b/>
          <w:bCs/>
          <w:sz w:val="32"/>
          <w:szCs w:val="32"/>
          <w:rtl/>
        </w:rPr>
        <w:t>בר שטיא</w:t>
      </w:r>
    </w:p>
    <w:p w:rsidR="005A49BB" w:rsidRDefault="005A49BB" w:rsidP="008E4F17">
      <w:pPr>
        <w:spacing w:line="276" w:lineRule="auto"/>
        <w:jc w:val="both"/>
        <w:rPr>
          <w:b/>
          <w:bCs/>
        </w:rPr>
      </w:pPr>
    </w:p>
    <w:p w:rsidR="005A49BB" w:rsidRPr="00F37DA5" w:rsidRDefault="00701C5A" w:rsidP="008E4F1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F37DA5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701C5A" w:rsidRPr="00701C5A" w:rsidRDefault="00701C5A" w:rsidP="008E4F17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רב אשי</w:t>
      </w:r>
      <w:r>
        <w:rPr>
          <w:sz w:val="28"/>
          <w:szCs w:val="28"/>
        </w:rPr>
        <w:t xml:space="preserve"> ruled that if a </w:t>
      </w:r>
      <w:r>
        <w:rPr>
          <w:rFonts w:hint="cs"/>
          <w:sz w:val="28"/>
          <w:szCs w:val="28"/>
          <w:rtl/>
        </w:rPr>
        <w:t>בר שטיא</w:t>
      </w:r>
      <w:r>
        <w:rPr>
          <w:sz w:val="28"/>
          <w:szCs w:val="28"/>
        </w:rPr>
        <w:t xml:space="preserve"> (who was alternately lucid and deranged) sold a field wh</w:t>
      </w:r>
      <w:r w:rsidR="002C1372">
        <w:rPr>
          <w:sz w:val="28"/>
          <w:szCs w:val="28"/>
        </w:rPr>
        <w:t>en</w:t>
      </w:r>
      <w:r>
        <w:rPr>
          <w:sz w:val="28"/>
          <w:szCs w:val="28"/>
        </w:rPr>
        <w:t xml:space="preserve"> his me</w:t>
      </w:r>
      <w:r w:rsidR="001E27A3">
        <w:rPr>
          <w:sz w:val="28"/>
          <w:szCs w:val="28"/>
        </w:rPr>
        <w:t>tal health</w:t>
      </w:r>
      <w:r>
        <w:rPr>
          <w:sz w:val="28"/>
          <w:szCs w:val="28"/>
        </w:rPr>
        <w:t xml:space="preserve"> status could not </w:t>
      </w:r>
      <w:r w:rsidR="002C1372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determined (it was </w:t>
      </w:r>
      <w:r>
        <w:rPr>
          <w:rFonts w:hint="cs"/>
          <w:sz w:val="28"/>
          <w:szCs w:val="28"/>
          <w:rtl/>
        </w:rPr>
        <w:t>תרי ותרי</w:t>
      </w:r>
      <w:r>
        <w:rPr>
          <w:sz w:val="28"/>
          <w:szCs w:val="28"/>
        </w:rPr>
        <w:t xml:space="preserve">), the sale is void. The land returns to the </w:t>
      </w:r>
      <w:r>
        <w:rPr>
          <w:rFonts w:hint="cs"/>
          <w:sz w:val="28"/>
          <w:szCs w:val="28"/>
          <w:rtl/>
        </w:rPr>
        <w:t>בר שטיא</w:t>
      </w:r>
      <w:r>
        <w:rPr>
          <w:sz w:val="28"/>
          <w:szCs w:val="28"/>
        </w:rPr>
        <w:t xml:space="preserve"> since he is (certainly) the original owner, even though the buyer is currently occupying the field. </w:t>
      </w:r>
    </w:p>
    <w:p w:rsidR="005A49BB" w:rsidRPr="00701C5A" w:rsidRDefault="00701C5A" w:rsidP="008E4F17">
      <w:pPr>
        <w:spacing w:line="276" w:lineRule="auto"/>
        <w:jc w:val="center"/>
      </w:pPr>
      <w:r w:rsidRPr="00701C5A">
        <w:t>-----------------</w:t>
      </w:r>
    </w:p>
    <w:p w:rsidR="00701C5A" w:rsidRPr="00701C5A" w:rsidRDefault="00701C5A" w:rsidP="008E4F17">
      <w:pPr>
        <w:spacing w:line="276" w:lineRule="auto"/>
        <w:jc w:val="both"/>
        <w:rPr>
          <w:rFonts w:hint="cs"/>
          <w:rtl/>
        </w:rPr>
      </w:pPr>
      <w:r w:rsidRPr="00701C5A">
        <w:rPr>
          <w:rFonts w:hint="cs"/>
          <w:rtl/>
        </w:rPr>
        <w:t>תוספות</w:t>
      </w:r>
      <w:r w:rsidRPr="00701C5A">
        <w:t xml:space="preserve"> qualifies this ruling of </w:t>
      </w:r>
      <w:r w:rsidRPr="00701C5A">
        <w:rPr>
          <w:rFonts w:hint="cs"/>
          <w:rtl/>
        </w:rPr>
        <w:t>רב אשי</w:t>
      </w:r>
    </w:p>
    <w:p w:rsidR="005A49BB" w:rsidRPr="008E4F17" w:rsidRDefault="005A49BB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>דוקא בקרקע הוא דאמרינן הכי</w:t>
      </w:r>
      <w:r w:rsidR="00F37DA5" w:rsidRPr="008E4F17">
        <w:rPr>
          <w:rFonts w:cs="David" w:hint="cs"/>
          <w:b/>
          <w:bCs/>
          <w:sz w:val="28"/>
          <w:szCs w:val="28"/>
          <w:rtl/>
        </w:rPr>
        <w:t xml:space="preserve"> אבל במטלטלין אמרינן דהוו בחזקת המוחזק</w:t>
      </w:r>
      <w:r w:rsidR="00876EEB" w:rsidRPr="008E4F17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Pr="008E4F17">
        <w:rPr>
          <w:rFonts w:cs="David" w:hint="cs"/>
          <w:b/>
          <w:bCs/>
          <w:sz w:val="28"/>
          <w:szCs w:val="28"/>
          <w:rtl/>
        </w:rPr>
        <w:t xml:space="preserve"> </w:t>
      </w:r>
      <w:r w:rsidR="008E4F17">
        <w:rPr>
          <w:rFonts w:cs="David" w:hint="cs"/>
          <w:b/>
          <w:bCs/>
          <w:sz w:val="28"/>
          <w:szCs w:val="28"/>
          <w:rtl/>
        </w:rPr>
        <w:t>-</w:t>
      </w:r>
    </w:p>
    <w:p w:rsidR="008C0C61" w:rsidRPr="00701C5A" w:rsidRDefault="005A49BB" w:rsidP="008E4F17">
      <w:pPr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It is only </w:t>
      </w:r>
      <w:r w:rsidRPr="005A49BB">
        <w:rPr>
          <w:b/>
          <w:bCs/>
          <w:sz w:val="28"/>
          <w:szCs w:val="28"/>
        </w:rPr>
        <w:t xml:space="preserve">specifically </w:t>
      </w:r>
      <w:r>
        <w:rPr>
          <w:b/>
          <w:bCs/>
          <w:sz w:val="28"/>
          <w:szCs w:val="28"/>
        </w:rPr>
        <w:t xml:space="preserve">concerning </w:t>
      </w:r>
      <w:r w:rsidR="001C4987">
        <w:rPr>
          <w:b/>
          <w:bCs/>
          <w:sz w:val="28"/>
          <w:szCs w:val="28"/>
        </w:rPr>
        <w:t>land</w:t>
      </w:r>
      <w:r w:rsidR="001C4987">
        <w:rPr>
          <w:sz w:val="28"/>
          <w:szCs w:val="28"/>
        </w:rPr>
        <w:t xml:space="preserve"> (real estate)</w:t>
      </w:r>
      <w:r>
        <w:rPr>
          <w:b/>
          <w:bCs/>
          <w:sz w:val="28"/>
          <w:szCs w:val="28"/>
        </w:rPr>
        <w:t xml:space="preserve"> that we rule thus;</w:t>
      </w:r>
      <w:r>
        <w:rPr>
          <w:sz w:val="28"/>
          <w:szCs w:val="28"/>
        </w:rPr>
        <w:t xml:space="preserve"> </w:t>
      </w:r>
      <w:r w:rsidRPr="00F37DA5">
        <w:rPr>
          <w:sz w:val="28"/>
          <w:szCs w:val="28"/>
        </w:rPr>
        <w:t>that the presumptive original owner</w:t>
      </w:r>
      <w:r w:rsidR="00FA1241" w:rsidRPr="00F37DA5">
        <w:rPr>
          <w:sz w:val="28"/>
          <w:szCs w:val="28"/>
        </w:rPr>
        <w:t xml:space="preserve"> (not the present owner)</w:t>
      </w:r>
      <w:r w:rsidRPr="00F37DA5">
        <w:rPr>
          <w:sz w:val="28"/>
          <w:szCs w:val="28"/>
        </w:rPr>
        <w:t xml:space="preserve"> retains possession</w:t>
      </w:r>
      <w:r w:rsidR="00F37DA5">
        <w:rPr>
          <w:sz w:val="28"/>
          <w:szCs w:val="28"/>
        </w:rPr>
        <w:t>,</w:t>
      </w:r>
      <w:r w:rsidRPr="00F37DA5">
        <w:rPr>
          <w:sz w:val="28"/>
          <w:szCs w:val="28"/>
        </w:rPr>
        <w:t xml:space="preserve"> </w:t>
      </w:r>
      <w:r w:rsidR="00F37DA5">
        <w:rPr>
          <w:b/>
          <w:bCs/>
          <w:sz w:val="28"/>
          <w:szCs w:val="28"/>
        </w:rPr>
        <w:t>however,</w:t>
      </w:r>
      <w:r w:rsidR="008C0C61">
        <w:rPr>
          <w:b/>
          <w:bCs/>
          <w:sz w:val="28"/>
          <w:szCs w:val="28"/>
        </w:rPr>
        <w:t xml:space="preserve"> concerning movable assets, we rule </w:t>
      </w:r>
      <w:r w:rsidR="00F37DA5">
        <w:rPr>
          <w:b/>
          <w:bCs/>
          <w:sz w:val="28"/>
          <w:szCs w:val="28"/>
        </w:rPr>
        <w:t>t</w:t>
      </w:r>
      <w:r w:rsidR="008C0C61" w:rsidRPr="008C0C61">
        <w:rPr>
          <w:b/>
          <w:bCs/>
          <w:sz w:val="28"/>
          <w:szCs w:val="28"/>
        </w:rPr>
        <w:t xml:space="preserve">hat they are </w:t>
      </w:r>
      <w:r w:rsidR="00FA1241">
        <w:rPr>
          <w:sz w:val="28"/>
          <w:szCs w:val="28"/>
        </w:rPr>
        <w:t xml:space="preserve">considered </w:t>
      </w:r>
      <w:r w:rsidR="008C0C61" w:rsidRPr="008C0C61">
        <w:rPr>
          <w:b/>
          <w:bCs/>
          <w:sz w:val="28"/>
          <w:szCs w:val="28"/>
        </w:rPr>
        <w:t>presumptively owned by the actual possessor</w:t>
      </w:r>
      <w:r w:rsidR="00FA1241">
        <w:rPr>
          <w:b/>
          <w:bCs/>
          <w:sz w:val="28"/>
          <w:szCs w:val="28"/>
        </w:rPr>
        <w:t>;</w:t>
      </w:r>
      <w:r w:rsidR="00FA1241">
        <w:rPr>
          <w:sz w:val="28"/>
          <w:szCs w:val="28"/>
        </w:rPr>
        <w:t xml:space="preserve"> </w:t>
      </w:r>
      <w:r w:rsidR="00FA1241" w:rsidRPr="00701C5A">
        <w:t xml:space="preserve">not by the original owner (as in the case of </w:t>
      </w:r>
      <w:r w:rsidR="00FA1241" w:rsidRPr="00701C5A">
        <w:rPr>
          <w:rFonts w:hint="cs"/>
          <w:rtl/>
        </w:rPr>
        <w:t>בר שטיא</w:t>
      </w:r>
      <w:r w:rsidR="00FA1241" w:rsidRPr="00701C5A">
        <w:t>), but rather by whoever is presently in possession of the items in question</w:t>
      </w:r>
      <w:r w:rsidR="00FA1241" w:rsidRPr="00701C5A">
        <w:rPr>
          <w:b/>
          <w:bCs/>
        </w:rPr>
        <w:t xml:space="preserve"> –</w:t>
      </w:r>
    </w:p>
    <w:p w:rsidR="00FA1241" w:rsidRPr="008E4F17" w:rsidRDefault="00FA1241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>כדאמר בפרק השואל</w:t>
      </w:r>
      <w:r w:rsidRPr="008E4F17">
        <w:rPr>
          <w:rFonts w:cs="David" w:hint="cs"/>
          <w:b/>
          <w:bCs/>
          <w:sz w:val="20"/>
          <w:szCs w:val="20"/>
          <w:rtl/>
        </w:rPr>
        <w:t xml:space="preserve"> (בבא מציעא דף ק,א) </w:t>
      </w:r>
      <w:r w:rsidRPr="008E4F17">
        <w:rPr>
          <w:rFonts w:cs="David" w:hint="cs"/>
          <w:b/>
          <w:bCs/>
          <w:sz w:val="28"/>
          <w:szCs w:val="28"/>
          <w:rtl/>
        </w:rPr>
        <w:t xml:space="preserve">גבי המחליף פרה בחמור </w:t>
      </w:r>
      <w:r w:rsidR="008E4F17">
        <w:rPr>
          <w:rFonts w:cs="David" w:hint="cs"/>
          <w:b/>
          <w:bCs/>
          <w:sz w:val="28"/>
          <w:szCs w:val="28"/>
          <w:rtl/>
        </w:rPr>
        <w:t>-</w:t>
      </w:r>
    </w:p>
    <w:p w:rsidR="00FA1241" w:rsidRPr="00701C5A" w:rsidRDefault="00FA1241" w:rsidP="008E4F1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states in </w:t>
      </w:r>
      <w:r>
        <w:rPr>
          <w:rFonts w:hint="cs"/>
          <w:b/>
          <w:bCs/>
          <w:sz w:val="28"/>
          <w:szCs w:val="28"/>
          <w:rtl/>
        </w:rPr>
        <w:t>פרק השואל</w:t>
      </w:r>
      <w:r>
        <w:rPr>
          <w:b/>
          <w:bCs/>
          <w:sz w:val="28"/>
          <w:szCs w:val="28"/>
        </w:rPr>
        <w:t xml:space="preserve"> concerning </w:t>
      </w:r>
      <w:r>
        <w:rPr>
          <w:sz w:val="28"/>
          <w:szCs w:val="28"/>
        </w:rPr>
        <w:t xml:space="preserve">the case of </w:t>
      </w:r>
      <w:r>
        <w:rPr>
          <w:b/>
          <w:bCs/>
          <w:sz w:val="28"/>
          <w:szCs w:val="28"/>
        </w:rPr>
        <w:t>‘one who exchanged a cow for a donkey’.</w:t>
      </w:r>
      <w:r>
        <w:rPr>
          <w:sz w:val="28"/>
          <w:szCs w:val="28"/>
        </w:rPr>
        <w:t xml:space="preserve"> </w:t>
      </w:r>
      <w:r w:rsidRPr="00701C5A">
        <w:t xml:space="preserve">The cow gave birth during the transaction and we are not certain whether it was before the transaction (whereby the calf belongs to the original </w:t>
      </w:r>
      <w:r w:rsidRPr="00701C5A">
        <w:rPr>
          <w:rFonts w:hint="cs"/>
          <w:rtl/>
        </w:rPr>
        <w:t>בעל הפרה</w:t>
      </w:r>
      <w:r w:rsidRPr="00701C5A">
        <w:t xml:space="preserve">) or it was after the transaction (whereby the calf belongs to the original </w:t>
      </w:r>
      <w:r w:rsidRPr="00701C5A">
        <w:rPr>
          <w:rFonts w:hint="cs"/>
          <w:rtl/>
        </w:rPr>
        <w:t>בעל החמור</w:t>
      </w:r>
      <w:r w:rsidRPr="00701C5A">
        <w:t>).</w:t>
      </w:r>
      <w:r w:rsidR="00FB4809" w:rsidRPr="00701C5A">
        <w:rPr>
          <w:rStyle w:val="FootnoteReference"/>
        </w:rPr>
        <w:footnoteReference w:id="3"/>
      </w:r>
      <w:r w:rsidRPr="00701C5A">
        <w:t xml:space="preserve"> </w:t>
      </w:r>
      <w:r w:rsidR="00FB4809" w:rsidRPr="00701C5A">
        <w:t xml:space="preserve">The </w:t>
      </w:r>
      <w:r w:rsidR="00FB4809" w:rsidRPr="00701C5A">
        <w:rPr>
          <w:rFonts w:hint="cs"/>
          <w:rtl/>
        </w:rPr>
        <w:t>גמרא</w:t>
      </w:r>
      <w:r w:rsidR="00FB4809" w:rsidRPr="00701C5A">
        <w:t xml:space="preserve"> there comments –</w:t>
      </w:r>
    </w:p>
    <w:p w:rsidR="00FB4809" w:rsidRPr="008E4F17" w:rsidRDefault="00FB4809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>וליחזי פרה ברשותא דמאן קיימא</w:t>
      </w:r>
      <w:r w:rsidR="00F37DA5" w:rsidRPr="008E4F17">
        <w:rPr>
          <w:rFonts w:cs="David" w:hint="cs"/>
          <w:b/>
          <w:bCs/>
          <w:sz w:val="28"/>
          <w:szCs w:val="28"/>
          <w:rtl/>
        </w:rPr>
        <w:t xml:space="preserve"> ולהוי אידך המוציא מחבירו עליו הראיה</w:t>
      </w:r>
      <w:r w:rsidRPr="008E4F17">
        <w:rPr>
          <w:rFonts w:cs="David" w:hint="cs"/>
          <w:b/>
          <w:bCs/>
          <w:sz w:val="28"/>
          <w:szCs w:val="28"/>
          <w:rtl/>
        </w:rPr>
        <w:t xml:space="preserve"> </w:t>
      </w:r>
      <w:r w:rsidR="008E4F17">
        <w:rPr>
          <w:rFonts w:cs="David" w:hint="cs"/>
          <w:b/>
          <w:bCs/>
          <w:sz w:val="28"/>
          <w:szCs w:val="28"/>
          <w:rtl/>
        </w:rPr>
        <w:t>-</w:t>
      </w:r>
    </w:p>
    <w:p w:rsidR="00FB4809" w:rsidRPr="00701C5A" w:rsidRDefault="00FB4809" w:rsidP="008E4F1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let us see in whose domain the </w:t>
      </w:r>
      <w:r>
        <w:rPr>
          <w:rFonts w:hint="cs"/>
          <w:b/>
          <w:bCs/>
          <w:sz w:val="28"/>
          <w:szCs w:val="28"/>
          <w:rtl/>
        </w:rPr>
        <w:t>פרה</w:t>
      </w:r>
      <w:r>
        <w:rPr>
          <w:b/>
          <w:bCs/>
          <w:sz w:val="28"/>
          <w:szCs w:val="28"/>
        </w:rPr>
        <w:t xml:space="preserve"> </w:t>
      </w:r>
      <w:r w:rsidRPr="00FB4809">
        <w:rPr>
          <w:sz w:val="28"/>
          <w:szCs w:val="28"/>
        </w:rPr>
        <w:t>and the calf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are to be found</w:t>
      </w:r>
      <w:r>
        <w:rPr>
          <w:sz w:val="28"/>
          <w:szCs w:val="28"/>
        </w:rPr>
        <w:t xml:space="preserve">; </w:t>
      </w:r>
      <w:r w:rsidRPr="00F37DA5">
        <w:rPr>
          <w:sz w:val="28"/>
          <w:szCs w:val="28"/>
        </w:rPr>
        <w:t xml:space="preserve">whether it is in the domain of the </w:t>
      </w:r>
      <w:r w:rsidRPr="00F37DA5">
        <w:rPr>
          <w:rFonts w:hint="cs"/>
          <w:sz w:val="28"/>
          <w:szCs w:val="28"/>
          <w:rtl/>
        </w:rPr>
        <w:t>בעל הפרה</w:t>
      </w:r>
      <w:r w:rsidRPr="00F37DA5">
        <w:rPr>
          <w:sz w:val="28"/>
          <w:szCs w:val="28"/>
        </w:rPr>
        <w:t xml:space="preserve"> or the </w:t>
      </w:r>
      <w:r w:rsidRPr="00F37DA5">
        <w:rPr>
          <w:rFonts w:hint="cs"/>
          <w:sz w:val="28"/>
          <w:szCs w:val="28"/>
          <w:rtl/>
        </w:rPr>
        <w:t>בעל החמור</w:t>
      </w:r>
      <w:r w:rsidR="00F37DA5">
        <w:rPr>
          <w:sz w:val="28"/>
          <w:szCs w:val="28"/>
        </w:rPr>
        <w:t>,</w:t>
      </w:r>
      <w:r w:rsidRPr="00F37DA5">
        <w:rPr>
          <w:sz w:val="28"/>
          <w:szCs w:val="28"/>
        </w:rPr>
        <w:t xml:space="preserve"> </w:t>
      </w:r>
      <w:r w:rsidR="00F37DA5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nd let the other party </w:t>
      </w:r>
      <w:r>
        <w:rPr>
          <w:sz w:val="28"/>
          <w:szCs w:val="28"/>
        </w:rPr>
        <w:t xml:space="preserve">in whose </w:t>
      </w:r>
      <w:r>
        <w:rPr>
          <w:rFonts w:hint="cs"/>
          <w:sz w:val="28"/>
          <w:szCs w:val="28"/>
          <w:rtl/>
        </w:rPr>
        <w:t>רשות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פרה</w:t>
      </w:r>
      <w:r>
        <w:rPr>
          <w:sz w:val="28"/>
          <w:szCs w:val="28"/>
        </w:rPr>
        <w:t xml:space="preserve"> (and the calf) was not found be considered as </w:t>
      </w:r>
      <w:r>
        <w:rPr>
          <w:b/>
          <w:bCs/>
          <w:sz w:val="28"/>
          <w:szCs w:val="28"/>
        </w:rPr>
        <w:t xml:space="preserve">one who </w:t>
      </w:r>
      <w:r>
        <w:rPr>
          <w:sz w:val="28"/>
          <w:szCs w:val="28"/>
        </w:rPr>
        <w:t xml:space="preserve">attempts </w:t>
      </w:r>
      <w:r>
        <w:rPr>
          <w:b/>
          <w:bCs/>
          <w:sz w:val="28"/>
          <w:szCs w:val="28"/>
        </w:rPr>
        <w:t xml:space="preserve">to extract </w:t>
      </w:r>
      <w:r w:rsidRPr="008E4F17">
        <w:rPr>
          <w:sz w:val="28"/>
          <w:szCs w:val="28"/>
        </w:rPr>
        <w:t>money</w:t>
      </w:r>
      <w:r>
        <w:rPr>
          <w:b/>
          <w:bCs/>
          <w:sz w:val="28"/>
          <w:szCs w:val="28"/>
        </w:rPr>
        <w:t xml:space="preserve"> from his friend, </w:t>
      </w:r>
      <w:r>
        <w:rPr>
          <w:sz w:val="28"/>
          <w:szCs w:val="28"/>
        </w:rPr>
        <w:t xml:space="preserve">and the ruling is </w:t>
      </w:r>
      <w:r>
        <w:rPr>
          <w:b/>
          <w:bCs/>
          <w:sz w:val="28"/>
          <w:szCs w:val="28"/>
        </w:rPr>
        <w:t xml:space="preserve">that it is incumbent </w:t>
      </w:r>
      <w:r>
        <w:rPr>
          <w:sz w:val="28"/>
          <w:szCs w:val="28"/>
        </w:rPr>
        <w:t xml:space="preserve">on the </w:t>
      </w:r>
      <w:r>
        <w:rPr>
          <w:rFonts w:hint="cs"/>
          <w:sz w:val="28"/>
          <w:szCs w:val="28"/>
          <w:rtl/>
        </w:rPr>
        <w:t>מוציא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to prove </w:t>
      </w:r>
      <w:r w:rsidRPr="00701C5A">
        <w:t xml:space="preserve">his claim. The one in whose </w:t>
      </w:r>
      <w:r w:rsidRPr="00701C5A">
        <w:rPr>
          <w:rFonts w:hint="cs"/>
          <w:rtl/>
        </w:rPr>
        <w:t>רשות</w:t>
      </w:r>
      <w:r w:rsidRPr="00701C5A">
        <w:t xml:space="preserve"> the </w:t>
      </w:r>
      <w:r w:rsidR="003270A6">
        <w:rPr>
          <w:rFonts w:hint="cs"/>
          <w:rtl/>
        </w:rPr>
        <w:t>ולד</w:t>
      </w:r>
      <w:r w:rsidRPr="00701C5A">
        <w:t xml:space="preserve"> was found should retain the </w:t>
      </w:r>
      <w:r w:rsidR="003270A6">
        <w:rPr>
          <w:rFonts w:hint="cs"/>
          <w:rtl/>
        </w:rPr>
        <w:t>ולד</w:t>
      </w:r>
      <w:r w:rsidRPr="00701C5A">
        <w:t>, unless his adversary can prove that it belongs to him; i.e. he brings witnesses as to when the calf was born.</w:t>
      </w:r>
    </w:p>
    <w:p w:rsidR="0069017E" w:rsidRPr="008E4F17" w:rsidRDefault="0069017E" w:rsidP="008E4F17">
      <w:pPr>
        <w:widowControl w:val="0"/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>ומשני דקיימא באגם</w:t>
      </w:r>
      <w:r w:rsidR="008E4F17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="00F37DA5" w:rsidRPr="008E4F17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69017E" w:rsidRPr="006365AA" w:rsidRDefault="0069017E" w:rsidP="008E4F17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lastRenderedPageBreak/>
        <w:t xml:space="preserve">And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there </w:t>
      </w:r>
      <w:r>
        <w:rPr>
          <w:b/>
          <w:bCs/>
          <w:sz w:val="28"/>
          <w:szCs w:val="28"/>
        </w:rPr>
        <w:t xml:space="preserve">answers that </w:t>
      </w:r>
      <w:r>
        <w:rPr>
          <w:sz w:val="28"/>
          <w:szCs w:val="28"/>
        </w:rPr>
        <w:t xml:space="preserve">the cow </w:t>
      </w:r>
      <w:r>
        <w:rPr>
          <w:b/>
          <w:bCs/>
          <w:sz w:val="28"/>
          <w:szCs w:val="28"/>
        </w:rPr>
        <w:t>was standing in a swamp;</w:t>
      </w:r>
      <w:r>
        <w:rPr>
          <w:sz w:val="28"/>
          <w:szCs w:val="28"/>
        </w:rPr>
        <w:t xml:space="preserve"> </w:t>
      </w:r>
      <w:r w:rsidRPr="006365AA">
        <w:t xml:space="preserve">in a place that belongs neither to the </w:t>
      </w:r>
      <w:r w:rsidRPr="006365AA">
        <w:rPr>
          <w:rFonts w:hint="cs"/>
          <w:rtl/>
        </w:rPr>
        <w:t>בעל הפרה</w:t>
      </w:r>
      <w:r w:rsidRPr="006365AA">
        <w:t xml:space="preserve"> nor to the </w:t>
      </w:r>
      <w:r w:rsidRPr="006365AA">
        <w:rPr>
          <w:rFonts w:hint="cs"/>
          <w:rtl/>
        </w:rPr>
        <w:t>בעל החמור</w:t>
      </w:r>
      <w:r w:rsidRPr="006365AA">
        <w:t>.</w:t>
      </w:r>
      <w:r w:rsidR="00701C5A" w:rsidRPr="006365AA">
        <w:t xml:space="preserve"> There is no </w:t>
      </w:r>
      <w:r w:rsidR="00701C5A" w:rsidRPr="006365AA">
        <w:rPr>
          <w:rFonts w:hint="cs"/>
          <w:rtl/>
        </w:rPr>
        <w:t>מוחזק</w:t>
      </w:r>
      <w:r w:rsidR="00701C5A" w:rsidRPr="006365AA">
        <w:t>.</w:t>
      </w:r>
      <w:r w:rsidRPr="006365AA">
        <w:t xml:space="preserve"> It is evident from that </w:t>
      </w:r>
      <w:r w:rsidRPr="006365AA">
        <w:rPr>
          <w:rFonts w:hint="cs"/>
          <w:rtl/>
        </w:rPr>
        <w:t>גמרא</w:t>
      </w:r>
      <w:r w:rsidRPr="006365AA">
        <w:t xml:space="preserve"> that if the </w:t>
      </w:r>
      <w:r w:rsidRPr="006365AA">
        <w:rPr>
          <w:rFonts w:hint="cs"/>
          <w:rtl/>
        </w:rPr>
        <w:t>פרה</w:t>
      </w:r>
      <w:r w:rsidRPr="006365AA">
        <w:t xml:space="preserve"> was found on the property of the </w:t>
      </w:r>
      <w:r w:rsidR="00DD0C4B" w:rsidRPr="006365AA">
        <w:t>original</w:t>
      </w:r>
      <w:r w:rsidR="001E27A3">
        <w:t xml:space="preserve"> </w:t>
      </w:r>
      <w:r w:rsidR="00DD0C4B" w:rsidRPr="006365AA">
        <w:rPr>
          <w:rFonts w:hint="cs"/>
          <w:rtl/>
        </w:rPr>
        <w:t>בעל החמור</w:t>
      </w:r>
      <w:r w:rsidRPr="006365AA">
        <w:t xml:space="preserve">, then the calf (and the </w:t>
      </w:r>
      <w:r w:rsidRPr="006365AA">
        <w:rPr>
          <w:rFonts w:hint="cs"/>
          <w:rtl/>
        </w:rPr>
        <w:t>פרה</w:t>
      </w:r>
      <w:r w:rsidRPr="006365AA">
        <w:t xml:space="preserve">) would belong to the original </w:t>
      </w:r>
      <w:r w:rsidRPr="006365AA">
        <w:rPr>
          <w:rFonts w:hint="cs"/>
          <w:rtl/>
        </w:rPr>
        <w:t>בעל החמור</w:t>
      </w:r>
      <w:r w:rsidRPr="006365AA">
        <w:t xml:space="preserve">, even though the </w:t>
      </w:r>
      <w:r w:rsidRPr="006365AA">
        <w:rPr>
          <w:rFonts w:hint="cs"/>
          <w:rtl/>
        </w:rPr>
        <w:t>מרא קמא</w:t>
      </w:r>
      <w:r w:rsidRPr="006365AA">
        <w:t xml:space="preserve"> was the </w:t>
      </w:r>
      <w:r w:rsidRPr="006365AA">
        <w:rPr>
          <w:rFonts w:hint="cs"/>
          <w:rtl/>
        </w:rPr>
        <w:t>בעל הפרה</w:t>
      </w:r>
      <w:r w:rsidRPr="006365AA">
        <w:t xml:space="preserve">. This proves that </w:t>
      </w:r>
      <w:r w:rsidR="00DD0C4B" w:rsidRPr="006365AA">
        <w:t xml:space="preserve">concerning </w:t>
      </w:r>
      <w:r w:rsidR="00DD0C4B" w:rsidRPr="006365AA">
        <w:rPr>
          <w:rFonts w:hint="cs"/>
          <w:rtl/>
        </w:rPr>
        <w:t>מטלטלין</w:t>
      </w:r>
      <w:r w:rsidR="00DD0C4B" w:rsidRPr="006365AA">
        <w:t xml:space="preserve"> we do not award ownership (in the case of a </w:t>
      </w:r>
      <w:r w:rsidR="00DD0C4B" w:rsidRPr="006365AA">
        <w:rPr>
          <w:rFonts w:hint="cs"/>
          <w:rtl/>
        </w:rPr>
        <w:t>ספק</w:t>
      </w:r>
      <w:r w:rsidR="00DD0C4B" w:rsidRPr="006365AA">
        <w:t xml:space="preserve">) to the </w:t>
      </w:r>
      <w:r w:rsidR="00DD0C4B" w:rsidRPr="006365AA">
        <w:rPr>
          <w:rFonts w:hint="cs"/>
          <w:rtl/>
        </w:rPr>
        <w:t>מרא קמא</w:t>
      </w:r>
      <w:r w:rsidR="00DD0C4B" w:rsidRPr="006365AA">
        <w:t xml:space="preserve">, but rather to the current </w:t>
      </w:r>
      <w:r w:rsidR="00DD0C4B" w:rsidRPr="006365AA">
        <w:rPr>
          <w:rFonts w:hint="cs"/>
          <w:rtl/>
        </w:rPr>
        <w:t>מוחזק</w:t>
      </w:r>
      <w:r w:rsidR="00DD0C4B" w:rsidRPr="006365AA">
        <w:t>.</w:t>
      </w:r>
      <w:r w:rsidRPr="006365AA">
        <w:t xml:space="preserve"> </w:t>
      </w:r>
    </w:p>
    <w:p w:rsidR="00DD0C4B" w:rsidRPr="006365AA" w:rsidRDefault="00DD0C4B" w:rsidP="008E4F17">
      <w:pPr>
        <w:spacing w:line="276" w:lineRule="auto"/>
        <w:jc w:val="both"/>
      </w:pPr>
    </w:p>
    <w:p w:rsidR="00DD0C4B" w:rsidRPr="006365AA" w:rsidRDefault="00DD0C4B" w:rsidP="008E4F17">
      <w:pPr>
        <w:spacing w:line="276" w:lineRule="auto"/>
        <w:jc w:val="both"/>
      </w:pPr>
      <w:r w:rsidRPr="006365AA">
        <w:rPr>
          <w:rFonts w:hint="cs"/>
          <w:rtl/>
        </w:rPr>
        <w:t>תוספות</w:t>
      </w:r>
      <w:r w:rsidRPr="006365AA">
        <w:t xml:space="preserve"> anticipates a </w:t>
      </w:r>
      <w:r w:rsidR="003270A6">
        <w:t xml:space="preserve">(different) </w:t>
      </w:r>
      <w:r w:rsidRPr="006365AA">
        <w:t>difficulty and resolves it.</w:t>
      </w:r>
    </w:p>
    <w:p w:rsidR="00F37DA5" w:rsidRPr="008E4F17" w:rsidRDefault="000A13BE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 xml:space="preserve">אומר רבינו יצחק דהכא לא שייך למימר </w:t>
      </w:r>
      <w:r w:rsidR="008E4F17">
        <w:rPr>
          <w:rFonts w:cs="David" w:hint="cs"/>
          <w:b/>
          <w:bCs/>
          <w:sz w:val="28"/>
          <w:szCs w:val="28"/>
          <w:rtl/>
        </w:rPr>
        <w:t>-</w:t>
      </w:r>
    </w:p>
    <w:p w:rsidR="00F37DA5" w:rsidRDefault="00F37DA5" w:rsidP="008E4F17">
      <w:pPr>
        <w:spacing w:line="276" w:lineRule="auto"/>
        <w:jc w:val="both"/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ר"י</w:t>
      </w:r>
      <w:r>
        <w:rPr>
          <w:b/>
          <w:bCs/>
          <w:sz w:val="28"/>
          <w:szCs w:val="28"/>
        </w:rPr>
        <w:t xml:space="preserve"> says that it is not applicable </w:t>
      </w:r>
      <w:r w:rsidRPr="000A13BE">
        <w:rPr>
          <w:b/>
          <w:bCs/>
          <w:sz w:val="28"/>
          <w:szCs w:val="28"/>
        </w:rPr>
        <w:t>to say here</w:t>
      </w:r>
      <w:r>
        <w:rPr>
          <w:sz w:val="28"/>
          <w:szCs w:val="28"/>
        </w:rPr>
        <w:t xml:space="preserve"> in our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-</w:t>
      </w:r>
    </w:p>
    <w:p w:rsidR="00DD0C4B" w:rsidRPr="008E4F17" w:rsidRDefault="000A13BE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>כדאמרינן בסוף קדושין</w:t>
      </w:r>
      <w:r w:rsidRPr="008E4F17">
        <w:rPr>
          <w:rFonts w:cs="David" w:hint="cs"/>
          <w:b/>
          <w:bCs/>
          <w:sz w:val="20"/>
          <w:szCs w:val="20"/>
          <w:rtl/>
        </w:rPr>
        <w:t xml:space="preserve"> (דף עט,ב) </w:t>
      </w:r>
      <w:r w:rsidRPr="008E4F17">
        <w:rPr>
          <w:rFonts w:cs="David" w:hint="cs"/>
          <w:b/>
          <w:bCs/>
          <w:sz w:val="28"/>
          <w:szCs w:val="28"/>
          <w:rtl/>
        </w:rPr>
        <w:t>ובמי שמת</w:t>
      </w:r>
      <w:r w:rsidRPr="008E4F17">
        <w:rPr>
          <w:rFonts w:cs="David" w:hint="cs"/>
          <w:b/>
          <w:bCs/>
          <w:sz w:val="20"/>
          <w:szCs w:val="20"/>
          <w:rtl/>
        </w:rPr>
        <w:t xml:space="preserve"> (בבא בתרא קנג,ב)</w:t>
      </w:r>
      <w:r w:rsidR="008E4F17" w:rsidRPr="008E4F17">
        <w:rPr>
          <w:rStyle w:val="FootnoteReference"/>
          <w:rFonts w:cs="David"/>
          <w:b/>
          <w:bCs/>
          <w:sz w:val="28"/>
          <w:szCs w:val="28"/>
          <w:rtl/>
        </w:rPr>
        <w:footnoteReference w:id="5"/>
      </w:r>
      <w:r w:rsidR="008E4F17" w:rsidRPr="008E4F17">
        <w:rPr>
          <w:rFonts w:cs="David" w:hint="cs"/>
          <w:b/>
          <w:bCs/>
          <w:sz w:val="28"/>
          <w:szCs w:val="28"/>
          <w:rtl/>
        </w:rPr>
        <w:t xml:space="preserve"> </w:t>
      </w:r>
      <w:r w:rsidR="00876EEB" w:rsidRPr="008E4F17">
        <w:rPr>
          <w:rFonts w:cs="David" w:hint="cs"/>
          <w:b/>
          <w:bCs/>
          <w:sz w:val="28"/>
          <w:szCs w:val="28"/>
          <w:rtl/>
        </w:rPr>
        <w:t>-</w:t>
      </w:r>
    </w:p>
    <w:p w:rsidR="000A13BE" w:rsidRPr="006365AA" w:rsidRDefault="000A13BE" w:rsidP="008E4F1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that which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 w:rsidRPr="000A13BE">
        <w:rPr>
          <w:b/>
          <w:bCs/>
          <w:sz w:val="28"/>
          <w:szCs w:val="28"/>
        </w:rPr>
        <w:t>states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in the end of </w:t>
      </w:r>
      <w:r>
        <w:rPr>
          <w:rFonts w:hint="cs"/>
          <w:sz w:val="28"/>
          <w:szCs w:val="28"/>
          <w:rtl/>
        </w:rPr>
        <w:t xml:space="preserve">מסכת </w:t>
      </w:r>
      <w:r>
        <w:rPr>
          <w:rFonts w:hint="cs"/>
          <w:b/>
          <w:bCs/>
          <w:sz w:val="28"/>
          <w:szCs w:val="28"/>
          <w:rtl/>
        </w:rPr>
        <w:t>קדושין</w:t>
      </w:r>
      <w:r>
        <w:rPr>
          <w:b/>
          <w:bCs/>
          <w:sz w:val="28"/>
          <w:szCs w:val="28"/>
        </w:rPr>
        <w:t xml:space="preserve"> and in </w:t>
      </w:r>
      <w:r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b/>
          <w:bCs/>
          <w:sz w:val="28"/>
          <w:szCs w:val="28"/>
          <w:rtl/>
        </w:rPr>
        <w:t>מי שמת</w:t>
      </w:r>
      <w:r>
        <w:rPr>
          <w:b/>
          <w:bCs/>
          <w:sz w:val="28"/>
          <w:szCs w:val="28"/>
        </w:rPr>
        <w:t xml:space="preserve">; </w:t>
      </w:r>
      <w:r w:rsidRPr="006365AA">
        <w:t>namely –</w:t>
      </w:r>
    </w:p>
    <w:p w:rsidR="000A13BE" w:rsidRPr="008E4F17" w:rsidRDefault="000A13BE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 xml:space="preserve">אם שכיב מרע הוא עליהם להביא ראיה שבריא היה </w:t>
      </w:r>
      <w:r w:rsidR="008E4F17">
        <w:rPr>
          <w:rFonts w:cs="David" w:hint="cs"/>
          <w:b/>
          <w:bCs/>
          <w:sz w:val="28"/>
          <w:szCs w:val="28"/>
          <w:rtl/>
        </w:rPr>
        <w:t>-</w:t>
      </w:r>
    </w:p>
    <w:p w:rsidR="000A13BE" w:rsidRPr="006365AA" w:rsidRDefault="000A13BE" w:rsidP="008E4F1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If </w:t>
      </w:r>
      <w:r w:rsidR="00030A8F">
        <w:rPr>
          <w:sz w:val="28"/>
          <w:szCs w:val="28"/>
        </w:rPr>
        <w:t>t</w:t>
      </w:r>
      <w:r w:rsidRPr="00030A8F">
        <w:rPr>
          <w:sz w:val="28"/>
          <w:szCs w:val="28"/>
        </w:rPr>
        <w:t>he</w:t>
      </w:r>
      <w:r w:rsidR="00030A8F">
        <w:rPr>
          <w:sz w:val="28"/>
          <w:szCs w:val="28"/>
        </w:rPr>
        <w:t xml:space="preserve"> benefactor </w:t>
      </w:r>
      <w:r w:rsidR="00030A8F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currently a </w:t>
      </w:r>
      <w:r>
        <w:rPr>
          <w:rFonts w:hint="cs"/>
          <w:b/>
          <w:bCs/>
          <w:sz w:val="28"/>
          <w:szCs w:val="28"/>
          <w:rtl/>
        </w:rPr>
        <w:t>שכיב מרע</w:t>
      </w:r>
      <w:r>
        <w:rPr>
          <w:b/>
          <w:bCs/>
          <w:sz w:val="28"/>
          <w:szCs w:val="28"/>
        </w:rPr>
        <w:t xml:space="preserve"> it is incumbent upon them</w:t>
      </w:r>
      <w:r w:rsidR="00030A8F">
        <w:rPr>
          <w:sz w:val="28"/>
          <w:szCs w:val="28"/>
        </w:rPr>
        <w:t xml:space="preserve"> (the recipients)</w:t>
      </w:r>
      <w:r>
        <w:rPr>
          <w:b/>
          <w:bCs/>
          <w:sz w:val="28"/>
          <w:szCs w:val="28"/>
        </w:rPr>
        <w:t xml:space="preserve"> to prove that he was healthy then </w:t>
      </w:r>
      <w:r w:rsidR="00030A8F" w:rsidRPr="006365AA">
        <w:t xml:space="preserve">when he wrote the </w:t>
      </w:r>
      <w:r w:rsidR="00030A8F" w:rsidRPr="006365AA">
        <w:rPr>
          <w:rFonts w:hint="cs"/>
          <w:rtl/>
        </w:rPr>
        <w:t>שטר מתנה</w:t>
      </w:r>
      <w:r w:rsidR="005F62BE" w:rsidRPr="006365AA">
        <w:t xml:space="preserve">, and only then can they receive the gift. Otherwise we assume that since he is currently a </w:t>
      </w:r>
      <w:r w:rsidR="005F62BE" w:rsidRPr="006365AA">
        <w:rPr>
          <w:rFonts w:hint="cs"/>
          <w:rtl/>
        </w:rPr>
        <w:t>שכיב מרע</w:t>
      </w:r>
      <w:r w:rsidR="005F62BE" w:rsidRPr="006365AA">
        <w:t xml:space="preserve">, he was also a </w:t>
      </w:r>
      <w:r w:rsidR="002059EB" w:rsidRPr="006365AA">
        <w:rPr>
          <w:rFonts w:hint="cs"/>
          <w:rtl/>
        </w:rPr>
        <w:t>שכיב מרע</w:t>
      </w:r>
      <w:r w:rsidR="005F62BE" w:rsidRPr="006365AA">
        <w:t xml:space="preserve"> at the time of gifting, and therefore he may retract his gift </w:t>
      </w:r>
      <w:r w:rsidR="002059EB" w:rsidRPr="006365AA">
        <w:t>–</w:t>
      </w:r>
    </w:p>
    <w:p w:rsidR="002059EB" w:rsidRPr="008E4F17" w:rsidRDefault="002059EB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 xml:space="preserve">ואם בריא הוא כולי </w:t>
      </w:r>
      <w:r w:rsidR="008E4F17">
        <w:rPr>
          <w:rFonts w:cs="David" w:hint="cs"/>
          <w:b/>
          <w:bCs/>
          <w:sz w:val="28"/>
          <w:szCs w:val="28"/>
          <w:rtl/>
        </w:rPr>
        <w:t>-</w:t>
      </w:r>
    </w:p>
    <w:p w:rsidR="002059EB" w:rsidRPr="006365AA" w:rsidRDefault="002059EB" w:rsidP="008E4F1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And if </w:t>
      </w:r>
      <w:r w:rsidRPr="002059EB">
        <w:rPr>
          <w:sz w:val="28"/>
          <w:szCs w:val="28"/>
        </w:rPr>
        <w:t>the benefactor</w:t>
      </w:r>
      <w:r>
        <w:rPr>
          <w:b/>
          <w:bCs/>
          <w:sz w:val="28"/>
          <w:szCs w:val="28"/>
        </w:rPr>
        <w:t xml:space="preserve"> is currently healthy, etc. </w:t>
      </w:r>
      <w:r w:rsidRPr="006365AA">
        <w:t xml:space="preserve">then the benefactor must prove that he was a </w:t>
      </w:r>
      <w:r w:rsidRPr="006365AA">
        <w:rPr>
          <w:rFonts w:hint="cs"/>
          <w:rtl/>
        </w:rPr>
        <w:t>שכיב מרע</w:t>
      </w:r>
      <w:r w:rsidRPr="006365AA">
        <w:t xml:space="preserve"> at the time of gifting (and may retract the gift); otherwise it remains in the possession of the recipients. It is evident from that </w:t>
      </w:r>
      <w:r w:rsidRPr="006365AA">
        <w:rPr>
          <w:rFonts w:hint="cs"/>
          <w:rtl/>
        </w:rPr>
        <w:t>גמרא</w:t>
      </w:r>
      <w:r w:rsidRPr="006365AA">
        <w:t xml:space="preserve"> that the status of the benefactor at the time of (the writing of) the </w:t>
      </w:r>
      <w:r w:rsidRPr="006365AA">
        <w:rPr>
          <w:rFonts w:hint="cs"/>
          <w:rtl/>
        </w:rPr>
        <w:t>שטר</w:t>
      </w:r>
      <w:r w:rsidRPr="006365AA">
        <w:t xml:space="preserve"> is determined by h</w:t>
      </w:r>
      <w:r w:rsidR="00DC12D4" w:rsidRPr="006365AA">
        <w:t>is</w:t>
      </w:r>
      <w:r w:rsidRPr="006365AA">
        <w:t xml:space="preserve"> current status. Seemingly here too by the </w:t>
      </w:r>
      <w:r w:rsidRPr="006365AA">
        <w:rPr>
          <w:rFonts w:hint="cs"/>
          <w:rtl/>
        </w:rPr>
        <w:t>בר שטיא</w:t>
      </w:r>
      <w:r w:rsidRPr="006365AA">
        <w:t xml:space="preserve"> his status at the time of writing the </w:t>
      </w:r>
      <w:r w:rsidRPr="006365AA">
        <w:rPr>
          <w:rFonts w:hint="cs"/>
          <w:rtl/>
        </w:rPr>
        <w:t>שטר מכירה</w:t>
      </w:r>
      <w:r w:rsidRPr="006365AA">
        <w:t xml:space="preserve"> should be determined by his current status; whether he is currently </w:t>
      </w:r>
      <w:r w:rsidRPr="006365AA">
        <w:rPr>
          <w:rFonts w:hint="cs"/>
          <w:rtl/>
        </w:rPr>
        <w:t>חלים</w:t>
      </w:r>
      <w:r w:rsidRPr="006365AA">
        <w:t xml:space="preserve"> (the sale should be valid) or whether he is currently a </w:t>
      </w:r>
      <w:r w:rsidRPr="006365AA">
        <w:rPr>
          <w:rFonts w:hint="cs"/>
          <w:rtl/>
        </w:rPr>
        <w:t>שוטה</w:t>
      </w:r>
      <w:r w:rsidRPr="006365AA">
        <w:t xml:space="preserve"> (and the sale is void). Why is it that by the </w:t>
      </w:r>
      <w:r w:rsidRPr="006365AA">
        <w:rPr>
          <w:rFonts w:hint="cs"/>
          <w:rtl/>
        </w:rPr>
        <w:t>בר שטיא</w:t>
      </w:r>
      <w:r w:rsidRPr="006365AA">
        <w:t xml:space="preserve"> we follow the </w:t>
      </w:r>
      <w:r w:rsidRPr="006365AA">
        <w:rPr>
          <w:rFonts w:hint="cs"/>
          <w:rtl/>
        </w:rPr>
        <w:t>חזקת מרא קמא</w:t>
      </w:r>
      <w:r w:rsidRPr="006365AA">
        <w:t xml:space="preserve"> </w:t>
      </w:r>
      <w:r w:rsidR="006365AA">
        <w:t xml:space="preserve">of ownership </w:t>
      </w:r>
      <w:r w:rsidRPr="006365AA">
        <w:t xml:space="preserve">and by the </w:t>
      </w:r>
      <w:r w:rsidRPr="006365AA">
        <w:rPr>
          <w:rFonts w:hint="cs"/>
          <w:rtl/>
        </w:rPr>
        <w:t>שכיב מרע</w:t>
      </w:r>
      <w:r w:rsidRPr="006365AA">
        <w:t xml:space="preserve"> we follow </w:t>
      </w:r>
      <w:r w:rsidR="006365AA">
        <w:t>the</w:t>
      </w:r>
      <w:r w:rsidRPr="006365AA">
        <w:t xml:space="preserve"> current</w:t>
      </w:r>
      <w:r w:rsidR="006365AA">
        <w:t xml:space="preserve"> health</w:t>
      </w:r>
      <w:r w:rsidRPr="006365AA">
        <w:t xml:space="preserve"> status?! </w:t>
      </w:r>
    </w:p>
    <w:p w:rsidR="00DC12D4" w:rsidRPr="006365AA" w:rsidRDefault="00DC12D4" w:rsidP="008E4F17">
      <w:pPr>
        <w:spacing w:line="276" w:lineRule="auto"/>
        <w:jc w:val="both"/>
      </w:pPr>
    </w:p>
    <w:p w:rsidR="00DC12D4" w:rsidRPr="006365AA" w:rsidRDefault="00DC12D4" w:rsidP="008E4F17">
      <w:pPr>
        <w:spacing w:line="276" w:lineRule="auto"/>
        <w:jc w:val="both"/>
      </w:pPr>
      <w:r w:rsidRPr="006365AA">
        <w:rPr>
          <w:rFonts w:hint="cs"/>
          <w:rtl/>
        </w:rPr>
        <w:t>תוספות</w:t>
      </w:r>
      <w:r w:rsidRPr="006365AA">
        <w:t xml:space="preserve"> answers that our case is different than the case of the </w:t>
      </w:r>
      <w:r w:rsidRPr="006365AA">
        <w:rPr>
          <w:rFonts w:hint="cs"/>
          <w:rtl/>
        </w:rPr>
        <w:t>שכיב מרע</w:t>
      </w:r>
      <w:r w:rsidRPr="006365AA">
        <w:t>:</w:t>
      </w:r>
    </w:p>
    <w:p w:rsidR="00DC12D4" w:rsidRPr="008E4F17" w:rsidRDefault="00DC12D4" w:rsidP="008E4F1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E4F17">
        <w:rPr>
          <w:rFonts w:cs="David" w:hint="cs"/>
          <w:b/>
          <w:bCs/>
          <w:sz w:val="28"/>
          <w:szCs w:val="28"/>
          <w:rtl/>
        </w:rPr>
        <w:t>דבר שטיא דהכא</w:t>
      </w:r>
      <w:r w:rsidR="00876EEB" w:rsidRPr="008E4F17">
        <w:rPr>
          <w:rFonts w:cs="David" w:hint="cs"/>
          <w:b/>
          <w:bCs/>
          <w:sz w:val="28"/>
          <w:szCs w:val="28"/>
          <w:rtl/>
        </w:rPr>
        <w:t xml:space="preserve"> כיון דעתים חלים ועתים שוטה אין ראיה ממה שהוא עכשיו:</w:t>
      </w:r>
    </w:p>
    <w:p w:rsidR="00DC12D4" w:rsidRPr="006365AA" w:rsidRDefault="00DC12D4" w:rsidP="008E4F1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 the </w:t>
      </w:r>
      <w:r>
        <w:rPr>
          <w:rFonts w:hint="cs"/>
          <w:b/>
          <w:bCs/>
          <w:sz w:val="28"/>
          <w:szCs w:val="28"/>
          <w:rtl/>
        </w:rPr>
        <w:t>בר שטיא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whom we are discussing </w:t>
      </w:r>
      <w:r>
        <w:rPr>
          <w:b/>
          <w:bCs/>
          <w:sz w:val="28"/>
          <w:szCs w:val="28"/>
        </w:rPr>
        <w:t>here</w:t>
      </w:r>
      <w:r w:rsidR="00876EE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876EE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ince at times he is lucid and at </w:t>
      </w:r>
      <w:r>
        <w:rPr>
          <w:sz w:val="28"/>
          <w:szCs w:val="28"/>
        </w:rPr>
        <w:t xml:space="preserve">other </w:t>
      </w:r>
      <w:r>
        <w:rPr>
          <w:b/>
          <w:bCs/>
          <w:sz w:val="28"/>
          <w:szCs w:val="28"/>
        </w:rPr>
        <w:t>times he is deranged</w:t>
      </w:r>
      <w:r>
        <w:rPr>
          <w:sz w:val="28"/>
          <w:szCs w:val="28"/>
        </w:rPr>
        <w:t xml:space="preserve">; </w:t>
      </w:r>
      <w:r w:rsidRPr="00876EEB">
        <w:rPr>
          <w:sz w:val="28"/>
          <w:szCs w:val="28"/>
        </w:rPr>
        <w:t xml:space="preserve">there is no consistency in his status; it </w:t>
      </w:r>
      <w:r w:rsidRPr="00876EEB">
        <w:rPr>
          <w:sz w:val="28"/>
          <w:szCs w:val="28"/>
        </w:rPr>
        <w:lastRenderedPageBreak/>
        <w:t xml:space="preserve">varies continuously, therefore </w:t>
      </w:r>
      <w:r w:rsidR="00876EEB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here is no proof from whatever he is presently </w:t>
      </w:r>
      <w:r w:rsidRPr="006365AA">
        <w:t xml:space="preserve">as to how he was previously, at the time of the sale. Normally, we can depend on the status quo; we assume whatever he is now this is how he was previously. However the </w:t>
      </w:r>
      <w:r w:rsidRPr="006365AA">
        <w:rPr>
          <w:rFonts w:hint="cs"/>
          <w:rtl/>
        </w:rPr>
        <w:t>בר שטיא</w:t>
      </w:r>
      <w:r w:rsidRPr="006365AA">
        <w:t xml:space="preserve"> is always in a state of flux; we cannot derive anything from his current status.</w:t>
      </w:r>
    </w:p>
    <w:p w:rsidR="00DD0C4B" w:rsidRDefault="00DD0C4B" w:rsidP="008E4F17">
      <w:pPr>
        <w:spacing w:line="276" w:lineRule="auto"/>
        <w:jc w:val="both"/>
      </w:pPr>
    </w:p>
    <w:p w:rsidR="006365AA" w:rsidRPr="00876EEB" w:rsidRDefault="006365AA" w:rsidP="008E4F1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876EEB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6365AA" w:rsidRDefault="006365AA" w:rsidP="008E4F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 </w:t>
      </w:r>
      <w:r>
        <w:rPr>
          <w:rFonts w:hint="cs"/>
          <w:sz w:val="28"/>
          <w:szCs w:val="28"/>
          <w:rtl/>
        </w:rPr>
        <w:t>ספק</w:t>
      </w:r>
      <w:r>
        <w:rPr>
          <w:sz w:val="28"/>
          <w:szCs w:val="28"/>
        </w:rPr>
        <w:t xml:space="preserve"> concerning </w:t>
      </w:r>
      <w:r>
        <w:rPr>
          <w:rFonts w:hint="cs"/>
          <w:sz w:val="28"/>
          <w:szCs w:val="28"/>
          <w:rtl/>
        </w:rPr>
        <w:t>קרקע</w:t>
      </w:r>
      <w:r>
        <w:rPr>
          <w:sz w:val="28"/>
          <w:szCs w:val="28"/>
        </w:rPr>
        <w:t xml:space="preserve"> we award it to the </w:t>
      </w:r>
      <w:r>
        <w:rPr>
          <w:rFonts w:hint="cs"/>
          <w:sz w:val="28"/>
          <w:szCs w:val="28"/>
          <w:rtl/>
        </w:rPr>
        <w:t>מרא קמא</w:t>
      </w:r>
      <w:r>
        <w:rPr>
          <w:sz w:val="28"/>
          <w:szCs w:val="28"/>
        </w:rPr>
        <w:t xml:space="preserve">; in a </w:t>
      </w:r>
      <w:r>
        <w:rPr>
          <w:rFonts w:hint="cs"/>
          <w:sz w:val="28"/>
          <w:szCs w:val="28"/>
          <w:rtl/>
        </w:rPr>
        <w:t>ספק</w:t>
      </w:r>
      <w:r>
        <w:rPr>
          <w:sz w:val="28"/>
          <w:szCs w:val="28"/>
        </w:rPr>
        <w:t xml:space="preserve"> concerning </w:t>
      </w:r>
      <w:r>
        <w:rPr>
          <w:rFonts w:hint="cs"/>
          <w:sz w:val="28"/>
          <w:szCs w:val="28"/>
          <w:rtl/>
        </w:rPr>
        <w:t>מטלטלין</w:t>
      </w:r>
      <w:r>
        <w:rPr>
          <w:sz w:val="28"/>
          <w:szCs w:val="28"/>
        </w:rPr>
        <w:t xml:space="preserve"> we award it to the current </w:t>
      </w:r>
      <w:r>
        <w:rPr>
          <w:rFonts w:hint="cs"/>
          <w:sz w:val="28"/>
          <w:szCs w:val="28"/>
          <w:rtl/>
        </w:rPr>
        <w:t>מוחזק</w:t>
      </w:r>
      <w:r>
        <w:rPr>
          <w:sz w:val="28"/>
          <w:szCs w:val="28"/>
        </w:rPr>
        <w:t>.</w:t>
      </w:r>
    </w:p>
    <w:p w:rsidR="006365AA" w:rsidRDefault="001C4987" w:rsidP="008E4F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cs"/>
          <w:sz w:val="28"/>
          <w:szCs w:val="28"/>
          <w:rtl/>
        </w:rPr>
        <w:t>חזקה דהשתא</w:t>
      </w:r>
      <w:r>
        <w:rPr>
          <w:sz w:val="28"/>
          <w:szCs w:val="28"/>
        </w:rPr>
        <w:t xml:space="preserve"> is not valid when the status of the item in question fluctuates. </w:t>
      </w:r>
    </w:p>
    <w:p w:rsidR="006365AA" w:rsidRPr="006365AA" w:rsidRDefault="006365AA" w:rsidP="008E4F17">
      <w:pPr>
        <w:spacing w:line="276" w:lineRule="auto"/>
        <w:jc w:val="both"/>
      </w:pPr>
    </w:p>
    <w:p w:rsidR="00DD0C4B" w:rsidRPr="00876EEB" w:rsidRDefault="00DD0C4B" w:rsidP="008E4F1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876EEB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DD0C4B" w:rsidRDefault="00990C60" w:rsidP="008E4F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D0C4B">
        <w:rPr>
          <w:sz w:val="28"/>
          <w:szCs w:val="28"/>
        </w:rPr>
        <w:t xml:space="preserve">Why is the ruling by </w:t>
      </w:r>
      <w:r w:rsidR="00DD0C4B">
        <w:rPr>
          <w:rFonts w:hint="cs"/>
          <w:sz w:val="28"/>
          <w:szCs w:val="28"/>
          <w:rtl/>
        </w:rPr>
        <w:t>מטלטלין</w:t>
      </w:r>
      <w:r w:rsidR="00DD0C4B">
        <w:rPr>
          <w:sz w:val="28"/>
          <w:szCs w:val="28"/>
        </w:rPr>
        <w:t xml:space="preserve"> different than by </w:t>
      </w:r>
      <w:r w:rsidR="00DD0C4B">
        <w:rPr>
          <w:rFonts w:hint="cs"/>
          <w:sz w:val="28"/>
          <w:szCs w:val="28"/>
          <w:rtl/>
        </w:rPr>
        <w:t>קרקע</w:t>
      </w:r>
      <w:r w:rsidR="00DD0C4B">
        <w:rPr>
          <w:sz w:val="28"/>
          <w:szCs w:val="28"/>
        </w:rPr>
        <w:t xml:space="preserve">? Why is a </w:t>
      </w:r>
      <w:r w:rsidR="00DD0C4B">
        <w:rPr>
          <w:rFonts w:hint="cs"/>
          <w:sz w:val="28"/>
          <w:szCs w:val="28"/>
          <w:rtl/>
        </w:rPr>
        <w:t>ספק בקרקע</w:t>
      </w:r>
      <w:r w:rsidR="00DD0C4B">
        <w:rPr>
          <w:sz w:val="28"/>
          <w:szCs w:val="28"/>
        </w:rPr>
        <w:t xml:space="preserve"> awarded to the </w:t>
      </w:r>
      <w:r w:rsidR="00DD0C4B">
        <w:rPr>
          <w:rFonts w:hint="cs"/>
          <w:sz w:val="28"/>
          <w:szCs w:val="28"/>
          <w:rtl/>
        </w:rPr>
        <w:t>מרא קמא</w:t>
      </w:r>
      <w:r w:rsidR="00DD0C4B">
        <w:rPr>
          <w:sz w:val="28"/>
          <w:szCs w:val="28"/>
        </w:rPr>
        <w:t xml:space="preserve"> and not the current </w:t>
      </w:r>
      <w:r w:rsidR="00DD0C4B">
        <w:rPr>
          <w:rFonts w:hint="cs"/>
          <w:sz w:val="28"/>
          <w:szCs w:val="28"/>
          <w:rtl/>
        </w:rPr>
        <w:t>מוחזק</w:t>
      </w:r>
      <w:r w:rsidR="00DD0C4B">
        <w:rPr>
          <w:sz w:val="28"/>
          <w:szCs w:val="28"/>
        </w:rPr>
        <w:t xml:space="preserve">; and by </w:t>
      </w:r>
      <w:r w:rsidR="00DD0C4B">
        <w:rPr>
          <w:rFonts w:hint="cs"/>
          <w:sz w:val="28"/>
          <w:szCs w:val="28"/>
          <w:rtl/>
        </w:rPr>
        <w:t>מטלטלין</w:t>
      </w:r>
      <w:r w:rsidR="00DD0C4B">
        <w:rPr>
          <w:sz w:val="28"/>
          <w:szCs w:val="28"/>
        </w:rPr>
        <w:t xml:space="preserve"> it is awarded to the current </w:t>
      </w:r>
      <w:r w:rsidR="00DD0C4B">
        <w:rPr>
          <w:rFonts w:hint="cs"/>
          <w:sz w:val="28"/>
          <w:szCs w:val="28"/>
          <w:rtl/>
        </w:rPr>
        <w:t>מוחזק</w:t>
      </w:r>
      <w:r w:rsidR="00DD0C4B">
        <w:rPr>
          <w:sz w:val="28"/>
          <w:szCs w:val="28"/>
        </w:rPr>
        <w:t xml:space="preserve"> and not to the </w:t>
      </w:r>
      <w:r w:rsidR="00DD0C4B">
        <w:rPr>
          <w:rFonts w:hint="cs"/>
          <w:sz w:val="28"/>
          <w:szCs w:val="28"/>
          <w:rtl/>
        </w:rPr>
        <w:t>מרא קמא</w:t>
      </w:r>
      <w:r w:rsidR="00DD0C4B">
        <w:rPr>
          <w:sz w:val="28"/>
          <w:szCs w:val="28"/>
        </w:rPr>
        <w:t>?!</w:t>
      </w:r>
    </w:p>
    <w:p w:rsidR="00355392" w:rsidRDefault="00355392" w:rsidP="008E4F17">
      <w:pPr>
        <w:spacing w:line="276" w:lineRule="auto"/>
        <w:jc w:val="both"/>
        <w:rPr>
          <w:sz w:val="28"/>
          <w:szCs w:val="28"/>
        </w:rPr>
      </w:pPr>
    </w:p>
    <w:p w:rsidR="002C1372" w:rsidRDefault="00990C60" w:rsidP="008E4F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C1372">
        <w:rPr>
          <w:sz w:val="28"/>
          <w:szCs w:val="28"/>
        </w:rPr>
        <w:t>Why do</w:t>
      </w:r>
      <w:r>
        <w:rPr>
          <w:sz w:val="28"/>
          <w:szCs w:val="28"/>
        </w:rPr>
        <w:t>e</w:t>
      </w:r>
      <w:r w:rsidR="002C1372">
        <w:rPr>
          <w:sz w:val="28"/>
          <w:szCs w:val="28"/>
        </w:rPr>
        <w:t xml:space="preserve">s not </w:t>
      </w:r>
      <w:r w:rsidR="002C1372">
        <w:rPr>
          <w:rFonts w:hint="cs"/>
          <w:sz w:val="28"/>
          <w:szCs w:val="28"/>
          <w:rtl/>
        </w:rPr>
        <w:t>תוספות</w:t>
      </w:r>
      <w:r w:rsidR="002C1372">
        <w:rPr>
          <w:sz w:val="28"/>
          <w:szCs w:val="28"/>
        </w:rPr>
        <w:t xml:space="preserve"> prove his contention (that there is a difference between </w:t>
      </w:r>
      <w:r w:rsidR="002C1372">
        <w:rPr>
          <w:rFonts w:hint="cs"/>
          <w:sz w:val="28"/>
          <w:szCs w:val="28"/>
          <w:rtl/>
        </w:rPr>
        <w:t>קרקע</w:t>
      </w:r>
      <w:r w:rsidR="002C1372">
        <w:rPr>
          <w:sz w:val="28"/>
          <w:szCs w:val="28"/>
        </w:rPr>
        <w:t xml:space="preserve"> and </w:t>
      </w:r>
      <w:r w:rsidR="002C1372">
        <w:rPr>
          <w:rFonts w:hint="cs"/>
          <w:sz w:val="28"/>
          <w:szCs w:val="28"/>
          <w:rtl/>
        </w:rPr>
        <w:t>מטלטלין</w:t>
      </w:r>
      <w:r w:rsidR="002C1372">
        <w:rPr>
          <w:sz w:val="28"/>
          <w:szCs w:val="28"/>
        </w:rPr>
        <w:t xml:space="preserve">) from our </w:t>
      </w:r>
      <w:r w:rsidR="002C1372"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אנוסים היו וכו'</w:t>
      </w:r>
      <w:r w:rsidR="002C1372">
        <w:rPr>
          <w:sz w:val="28"/>
          <w:szCs w:val="28"/>
        </w:rPr>
        <w:t xml:space="preserve">. Here it is </w:t>
      </w:r>
      <w:r w:rsidR="002C1372">
        <w:rPr>
          <w:rFonts w:hint="cs"/>
          <w:sz w:val="28"/>
          <w:szCs w:val="28"/>
          <w:rtl/>
        </w:rPr>
        <w:t>תרי ותרי</w:t>
      </w:r>
      <w:r w:rsidR="002C1372">
        <w:rPr>
          <w:sz w:val="28"/>
          <w:szCs w:val="28"/>
        </w:rPr>
        <w:t xml:space="preserve"> and the monies remain by the current </w:t>
      </w:r>
      <w:r w:rsidR="002C1372">
        <w:rPr>
          <w:rFonts w:hint="cs"/>
          <w:sz w:val="28"/>
          <w:szCs w:val="28"/>
          <w:rtl/>
        </w:rPr>
        <w:t>מוחזק</w:t>
      </w:r>
      <w:r w:rsidR="002C1372">
        <w:rPr>
          <w:sz w:val="28"/>
          <w:szCs w:val="28"/>
        </w:rPr>
        <w:t xml:space="preserve"> (and not by the </w:t>
      </w:r>
      <w:r w:rsidR="002C1372">
        <w:rPr>
          <w:rFonts w:hint="cs"/>
          <w:sz w:val="28"/>
          <w:szCs w:val="28"/>
          <w:rtl/>
        </w:rPr>
        <w:t>מרא קמא</w:t>
      </w:r>
      <w:r w:rsidR="002C1372">
        <w:rPr>
          <w:sz w:val="28"/>
          <w:szCs w:val="28"/>
        </w:rPr>
        <w:t>)?</w:t>
      </w:r>
    </w:p>
    <w:p w:rsidR="002C1372" w:rsidRDefault="002C1372" w:rsidP="008E4F17">
      <w:pPr>
        <w:spacing w:line="276" w:lineRule="auto"/>
        <w:jc w:val="both"/>
        <w:rPr>
          <w:sz w:val="28"/>
          <w:szCs w:val="28"/>
        </w:rPr>
      </w:pPr>
    </w:p>
    <w:p w:rsidR="001E27A3" w:rsidRDefault="001E27A3" w:rsidP="008E4F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Why was it necessary for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to cite the answer </w:t>
      </w:r>
      <w:r>
        <w:rPr>
          <w:rFonts w:hint="cs"/>
          <w:sz w:val="28"/>
          <w:szCs w:val="28"/>
          <w:rtl/>
        </w:rPr>
        <w:t>דקיימא באגם</w:t>
      </w:r>
      <w:r>
        <w:rPr>
          <w:sz w:val="28"/>
          <w:szCs w:val="28"/>
        </w:rPr>
        <w:t>?</w:t>
      </w:r>
      <w:r w:rsidR="00A4110B">
        <w:rPr>
          <w:rStyle w:val="FootnoteReference"/>
          <w:sz w:val="28"/>
          <w:szCs w:val="28"/>
        </w:rPr>
        <w:footnoteReference w:id="6"/>
      </w:r>
      <w:r>
        <w:rPr>
          <w:sz w:val="28"/>
          <w:szCs w:val="28"/>
        </w:rPr>
        <w:t xml:space="preserve"> Seemingly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can prove that by </w:t>
      </w:r>
      <w:r>
        <w:rPr>
          <w:rFonts w:hint="cs"/>
          <w:sz w:val="28"/>
          <w:szCs w:val="28"/>
          <w:rtl/>
        </w:rPr>
        <w:t>מטלטלין</w:t>
      </w:r>
      <w:r>
        <w:rPr>
          <w:sz w:val="28"/>
          <w:szCs w:val="28"/>
        </w:rPr>
        <w:t xml:space="preserve"> we award it to the current </w:t>
      </w:r>
      <w:r>
        <w:rPr>
          <w:rFonts w:hint="cs"/>
          <w:sz w:val="28"/>
          <w:szCs w:val="28"/>
          <w:rtl/>
        </w:rPr>
        <w:t>מוחזק</w:t>
      </w:r>
      <w:r>
        <w:rPr>
          <w:sz w:val="28"/>
          <w:szCs w:val="28"/>
        </w:rPr>
        <w:t>,</w:t>
      </w:r>
      <w:r w:rsidRPr="001E27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that which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says </w:t>
      </w:r>
      <w:r>
        <w:rPr>
          <w:rFonts w:hint="cs"/>
          <w:sz w:val="28"/>
          <w:szCs w:val="28"/>
          <w:rtl/>
        </w:rPr>
        <w:t>וליחזי ברשותא דמאן קיימא ולהוי אידך המע"ה</w:t>
      </w:r>
      <w:r>
        <w:rPr>
          <w:sz w:val="28"/>
          <w:szCs w:val="28"/>
        </w:rPr>
        <w:t>?!</w:t>
      </w:r>
    </w:p>
    <w:p w:rsidR="001E27A3" w:rsidRDefault="001E27A3" w:rsidP="008E4F17">
      <w:pPr>
        <w:spacing w:line="276" w:lineRule="auto"/>
        <w:jc w:val="both"/>
        <w:rPr>
          <w:sz w:val="28"/>
          <w:szCs w:val="28"/>
        </w:rPr>
      </w:pPr>
    </w:p>
    <w:p w:rsidR="00355392" w:rsidRPr="00DD0C4B" w:rsidRDefault="00A4110B" w:rsidP="008E4F1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990C60">
        <w:rPr>
          <w:sz w:val="28"/>
          <w:szCs w:val="28"/>
        </w:rPr>
        <w:t xml:space="preserve">. </w:t>
      </w:r>
      <w:r w:rsidR="00355392">
        <w:rPr>
          <w:sz w:val="28"/>
          <w:szCs w:val="28"/>
        </w:rPr>
        <w:t xml:space="preserve">What connection is there (if any) between </w:t>
      </w:r>
      <w:r w:rsidR="00355392">
        <w:rPr>
          <w:rFonts w:hint="cs"/>
          <w:sz w:val="28"/>
          <w:szCs w:val="28"/>
          <w:rtl/>
        </w:rPr>
        <w:t>תוספות</w:t>
      </w:r>
      <w:r w:rsidR="00355392">
        <w:rPr>
          <w:sz w:val="28"/>
          <w:szCs w:val="28"/>
        </w:rPr>
        <w:t xml:space="preserve"> original differentiation between </w:t>
      </w:r>
      <w:r w:rsidR="00355392">
        <w:rPr>
          <w:rFonts w:hint="cs"/>
          <w:sz w:val="28"/>
          <w:szCs w:val="28"/>
          <w:rtl/>
        </w:rPr>
        <w:t>קרקע</w:t>
      </w:r>
      <w:r w:rsidR="00355392">
        <w:rPr>
          <w:sz w:val="28"/>
          <w:szCs w:val="28"/>
        </w:rPr>
        <w:t xml:space="preserve"> and </w:t>
      </w:r>
      <w:r w:rsidR="00355392">
        <w:rPr>
          <w:rFonts w:hint="cs"/>
          <w:sz w:val="28"/>
          <w:szCs w:val="28"/>
          <w:rtl/>
        </w:rPr>
        <w:t>מטלטלין</w:t>
      </w:r>
      <w:r w:rsidR="000315C6">
        <w:rPr>
          <w:sz w:val="28"/>
          <w:szCs w:val="28"/>
        </w:rPr>
        <w:t>,</w:t>
      </w:r>
      <w:r w:rsidR="00355392">
        <w:rPr>
          <w:sz w:val="28"/>
          <w:szCs w:val="28"/>
        </w:rPr>
        <w:t xml:space="preserve"> and the latter distinction between the </w:t>
      </w:r>
      <w:r w:rsidR="00355392">
        <w:rPr>
          <w:rFonts w:hint="cs"/>
          <w:sz w:val="28"/>
          <w:szCs w:val="28"/>
          <w:rtl/>
        </w:rPr>
        <w:t>שכיב מרע</w:t>
      </w:r>
      <w:r w:rsidR="00355392">
        <w:rPr>
          <w:sz w:val="28"/>
          <w:szCs w:val="28"/>
        </w:rPr>
        <w:t xml:space="preserve"> and the </w:t>
      </w:r>
      <w:r w:rsidR="00355392">
        <w:rPr>
          <w:rFonts w:hint="cs"/>
          <w:sz w:val="28"/>
          <w:szCs w:val="28"/>
          <w:rtl/>
        </w:rPr>
        <w:t>בר שטיא</w:t>
      </w:r>
      <w:r w:rsidR="00355392">
        <w:rPr>
          <w:sz w:val="28"/>
          <w:szCs w:val="28"/>
        </w:rPr>
        <w:t>?</w:t>
      </w:r>
    </w:p>
    <w:p w:rsidR="00FB4809" w:rsidRPr="00FB4809" w:rsidRDefault="00FB4809" w:rsidP="008E4F17">
      <w:pPr>
        <w:bidi/>
        <w:spacing w:line="276" w:lineRule="auto"/>
        <w:jc w:val="both"/>
        <w:rPr>
          <w:rFonts w:hint="cs"/>
          <w:sz w:val="28"/>
          <w:szCs w:val="28"/>
          <w:rtl/>
        </w:rPr>
      </w:pPr>
    </w:p>
    <w:sectPr w:rsidR="00FB4809" w:rsidRPr="00FB480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559" w:rsidRDefault="00942559">
      <w:r>
        <w:separator/>
      </w:r>
    </w:p>
  </w:endnote>
  <w:endnote w:type="continuationSeparator" w:id="0">
    <w:p w:rsidR="00942559" w:rsidRDefault="0094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60" w:rsidRDefault="00990C60" w:rsidP="00030A8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0C60" w:rsidRDefault="00990C60" w:rsidP="00030A8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DA5" w:rsidRDefault="00F37DA5">
    <w:pPr>
      <w:pStyle w:val="Footer"/>
      <w:jc w:val="center"/>
      <w:rPr>
        <w:noProof/>
        <w:sz w:val="16"/>
        <w:szCs w:val="16"/>
      </w:rPr>
    </w:pPr>
    <w:r w:rsidRPr="00F37DA5">
      <w:rPr>
        <w:sz w:val="20"/>
        <w:szCs w:val="20"/>
      </w:rPr>
      <w:fldChar w:fldCharType="begin"/>
    </w:r>
    <w:r w:rsidRPr="00F37DA5">
      <w:rPr>
        <w:sz w:val="20"/>
        <w:szCs w:val="20"/>
      </w:rPr>
      <w:instrText xml:space="preserve"> PAGE   \* MERGEFORMAT </w:instrText>
    </w:r>
    <w:r w:rsidRPr="00F37DA5">
      <w:rPr>
        <w:sz w:val="20"/>
        <w:szCs w:val="20"/>
      </w:rPr>
      <w:fldChar w:fldCharType="separate"/>
    </w:r>
    <w:r w:rsidR="0038098B">
      <w:rPr>
        <w:noProof/>
        <w:sz w:val="20"/>
        <w:szCs w:val="20"/>
      </w:rPr>
      <w:t>3</w:t>
    </w:r>
    <w:r w:rsidRPr="00F37DA5">
      <w:rPr>
        <w:noProof/>
        <w:sz w:val="20"/>
        <w:szCs w:val="20"/>
      </w:rPr>
      <w:fldChar w:fldCharType="end"/>
    </w:r>
  </w:p>
  <w:p w:rsidR="00F37DA5" w:rsidRPr="00F37DA5" w:rsidRDefault="00F37DA5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</w:t>
    </w:r>
  </w:p>
  <w:p w:rsidR="00990C60" w:rsidRPr="005A49BB" w:rsidRDefault="00990C60" w:rsidP="005A49BB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559" w:rsidRDefault="00942559">
      <w:r>
        <w:separator/>
      </w:r>
    </w:p>
  </w:footnote>
  <w:footnote w:type="continuationSeparator" w:id="0">
    <w:p w:rsidR="00942559" w:rsidRDefault="00942559">
      <w:r>
        <w:continuationSeparator/>
      </w:r>
    </w:p>
  </w:footnote>
  <w:footnote w:id="1">
    <w:p w:rsidR="00B16E57" w:rsidRPr="00B16E57" w:rsidRDefault="00B16E57" w:rsidP="008E4F1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In our </w:t>
      </w:r>
      <w:r>
        <w:rPr>
          <w:rFonts w:hint="cs"/>
          <w:rtl/>
        </w:rPr>
        <w:t>גמרות</w:t>
      </w:r>
      <w:r>
        <w:t xml:space="preserve"> the </w:t>
      </w:r>
      <w:r>
        <w:rPr>
          <w:rFonts w:hint="cs"/>
          <w:rtl/>
        </w:rPr>
        <w:t>גירסא</w:t>
      </w:r>
      <w:r>
        <w:t xml:space="preserve"> is </w:t>
      </w:r>
      <w:r>
        <w:rPr>
          <w:rFonts w:hint="cs"/>
          <w:rtl/>
        </w:rPr>
        <w:t xml:space="preserve">ואוקי </w:t>
      </w:r>
      <w:r>
        <w:rPr>
          <w:rFonts w:hint="cs"/>
          <w:b/>
          <w:bCs/>
          <w:u w:val="single"/>
          <w:rtl/>
        </w:rPr>
        <w:t>ממונא</w:t>
      </w:r>
      <w:r>
        <w:rPr>
          <w:rFonts w:hint="cs"/>
          <w:rtl/>
        </w:rPr>
        <w:t xml:space="preserve"> בחזקת</w:t>
      </w:r>
      <w:r>
        <w:t xml:space="preserve">.  See the marginal notes on the </w:t>
      </w:r>
      <w:r>
        <w:rPr>
          <w:rFonts w:hint="cs"/>
          <w:rtl/>
        </w:rPr>
        <w:t>גמרא</w:t>
      </w:r>
      <w:r>
        <w:t>.</w:t>
      </w:r>
    </w:p>
  </w:footnote>
  <w:footnote w:id="2">
    <w:p w:rsidR="00876EEB" w:rsidRDefault="00876EEB" w:rsidP="008E4F17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is (perhaps) distinguishing between the expression </w:t>
      </w:r>
      <w:r w:rsidR="00B16E57">
        <w:rPr>
          <w:rFonts w:hint="cs"/>
          <w:rtl/>
        </w:rPr>
        <w:t>אוקי ממונא בחזקת מריה</w:t>
      </w:r>
      <w:r w:rsidR="00B16E57">
        <w:t xml:space="preserve"> (which refers to the current </w:t>
      </w:r>
      <w:r w:rsidR="00B16E57">
        <w:rPr>
          <w:rFonts w:hint="cs"/>
          <w:rtl/>
        </w:rPr>
        <w:t>מוחזק</w:t>
      </w:r>
      <w:r w:rsidR="00B16E57">
        <w:t xml:space="preserve">) regarding the </w:t>
      </w:r>
      <w:r w:rsidR="00B16E57">
        <w:rPr>
          <w:rFonts w:hint="cs"/>
          <w:rtl/>
        </w:rPr>
        <w:t>שט"ח</w:t>
      </w:r>
      <w:r w:rsidR="00B16E57">
        <w:t xml:space="preserve"> and </w:t>
      </w:r>
      <w:r w:rsidR="00B16E57">
        <w:rPr>
          <w:rFonts w:hint="cs"/>
          <w:rtl/>
        </w:rPr>
        <w:t>אוקי ממונא בחזקת  בר שטיא</w:t>
      </w:r>
      <w:r w:rsidR="00B16E57">
        <w:t xml:space="preserve"> (which refers to the </w:t>
      </w:r>
      <w:r w:rsidR="00B16E57">
        <w:rPr>
          <w:rFonts w:hint="cs"/>
          <w:rtl/>
        </w:rPr>
        <w:t>מ"ק</w:t>
      </w:r>
      <w:r w:rsidR="00B16E57">
        <w:t>).</w:t>
      </w:r>
    </w:p>
  </w:footnote>
  <w:footnote w:id="3">
    <w:p w:rsidR="00990C60" w:rsidRDefault="00990C60" w:rsidP="008E4F17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</w:rPr>
        <w:t>תוספות ד"ה ואוקי ממונא</w:t>
      </w:r>
      <w:r>
        <w:t xml:space="preserve"> (footnotes # </w:t>
      </w:r>
      <w:r w:rsidR="00F37DA5">
        <w:t>12-14</w:t>
      </w:r>
      <w:r>
        <w:t>).</w:t>
      </w:r>
    </w:p>
  </w:footnote>
  <w:footnote w:id="4">
    <w:p w:rsidR="008E4F17" w:rsidRPr="008E4F17" w:rsidRDefault="008E4F17" w:rsidP="008E4F17">
      <w:pPr>
        <w:pStyle w:val="FootnoteText"/>
        <w:widowControl w:val="0"/>
        <w:spacing w:line="264" w:lineRule="auto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See ‘Thinking it over’ # 3.</w:t>
      </w:r>
    </w:p>
  </w:footnote>
  <w:footnote w:id="5">
    <w:p w:rsidR="008E4F17" w:rsidRDefault="008E4F17" w:rsidP="008E4F17">
      <w:pPr>
        <w:pStyle w:val="FootnoteText"/>
        <w:widowControl w:val="0"/>
        <w:spacing w:line="264" w:lineRule="auto"/>
        <w:jc w:val="both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משנה</w:t>
      </w:r>
      <w:r>
        <w:t xml:space="preserve"> there </w:t>
      </w:r>
      <w:r>
        <w:rPr>
          <w:rFonts w:hint="cs"/>
          <w:rtl/>
        </w:rPr>
        <w:t>(קנג,א)</w:t>
      </w:r>
      <w:r>
        <w:t xml:space="preserve"> discusses a gift document </w:t>
      </w:r>
      <w:r>
        <w:rPr>
          <w:rFonts w:hint="cs"/>
          <w:rtl/>
        </w:rPr>
        <w:t>(שטר מתנה)</w:t>
      </w:r>
      <w:r>
        <w:t xml:space="preserve"> that did not indicate whether the benefactor was healthy </w:t>
      </w:r>
      <w:r>
        <w:rPr>
          <w:rFonts w:hint="cs"/>
          <w:rtl/>
        </w:rPr>
        <w:t>(בריא)</w:t>
      </w:r>
      <w:r>
        <w:t xml:space="preserve"> or seriously ill </w:t>
      </w:r>
      <w:r>
        <w:rPr>
          <w:rFonts w:hint="cs"/>
          <w:rtl/>
        </w:rPr>
        <w:t>(שכיב מרע)</w:t>
      </w:r>
      <w:r>
        <w:t xml:space="preserve"> at the time the </w:t>
      </w:r>
      <w:r>
        <w:rPr>
          <w:rFonts w:hint="cs"/>
          <w:rtl/>
        </w:rPr>
        <w:t>שטר מתנה</w:t>
      </w:r>
      <w:r>
        <w:t xml:space="preserve"> was written [it was customary to indicate the health status of the benefactor] . A </w:t>
      </w:r>
      <w:r>
        <w:rPr>
          <w:rFonts w:hint="cs"/>
          <w:rtl/>
        </w:rPr>
        <w:t>שכיב מרע</w:t>
      </w:r>
      <w:r>
        <w:t xml:space="preserve"> may retract all gifts that he wrote while he was a </w:t>
      </w:r>
      <w:r>
        <w:rPr>
          <w:rFonts w:hint="cs"/>
          <w:rtl/>
        </w:rPr>
        <w:t>שכיב מרע</w:t>
      </w:r>
      <w:r>
        <w:t xml:space="preserve"> (while he is still alive). A </w:t>
      </w:r>
      <w:r>
        <w:rPr>
          <w:rFonts w:hint="cs"/>
          <w:rtl/>
        </w:rPr>
        <w:t>בריא</w:t>
      </w:r>
      <w:r>
        <w:t xml:space="preserve"> however can (obviously) not retract any gifts given while he was a </w:t>
      </w:r>
      <w:r>
        <w:rPr>
          <w:rFonts w:hint="cs"/>
          <w:rtl/>
        </w:rPr>
        <w:t>בריא</w:t>
      </w:r>
      <w:r>
        <w:t xml:space="preserve">. The benefactor and the recipients were arguing whether the benefactor was a </w:t>
      </w:r>
      <w:r>
        <w:rPr>
          <w:rFonts w:hint="cs"/>
          <w:rtl/>
        </w:rPr>
        <w:t>בריא</w:t>
      </w:r>
      <w:r>
        <w:t xml:space="preserve"> or a </w:t>
      </w:r>
      <w:r>
        <w:rPr>
          <w:rFonts w:hint="cs"/>
          <w:rtl/>
        </w:rPr>
        <w:t>שכיב מרע</w:t>
      </w:r>
      <w:r>
        <w:t xml:space="preserve"> when he made this gift.</w:t>
      </w:r>
    </w:p>
  </w:footnote>
  <w:footnote w:id="6">
    <w:p w:rsidR="00A4110B" w:rsidRDefault="00A4110B" w:rsidP="009719C4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 w:rsidR="009719C4">
        <w:t>4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C60" w:rsidRDefault="00990C60" w:rsidP="004E0849">
    <w:pPr>
      <w:pStyle w:val="Header"/>
      <w:bidi/>
      <w:rPr>
        <w:rFonts w:hint="cs"/>
        <w:rtl/>
      </w:rPr>
    </w:pPr>
    <w:r>
      <w:rPr>
        <w:rFonts w:hint="cs"/>
        <w:rtl/>
      </w:rPr>
      <w:t>בס"ד. כתובות כ,א תוס' ד"ה ואוקי ארעא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49BB"/>
    <w:rsid w:val="00030A8F"/>
    <w:rsid w:val="0003107B"/>
    <w:rsid w:val="000315C6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13BE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C4987"/>
    <w:rsid w:val="001E2618"/>
    <w:rsid w:val="001E27A3"/>
    <w:rsid w:val="002059EB"/>
    <w:rsid w:val="00221697"/>
    <w:rsid w:val="00233159"/>
    <w:rsid w:val="0024128D"/>
    <w:rsid w:val="002456D8"/>
    <w:rsid w:val="002645F1"/>
    <w:rsid w:val="0027005E"/>
    <w:rsid w:val="00274695"/>
    <w:rsid w:val="002870E1"/>
    <w:rsid w:val="00293A47"/>
    <w:rsid w:val="002A6061"/>
    <w:rsid w:val="002A792F"/>
    <w:rsid w:val="002B4135"/>
    <w:rsid w:val="002C1372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270A6"/>
    <w:rsid w:val="00337C06"/>
    <w:rsid w:val="00355392"/>
    <w:rsid w:val="0038098B"/>
    <w:rsid w:val="00385C65"/>
    <w:rsid w:val="00387CF0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E0849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A49BB"/>
    <w:rsid w:val="005C6F55"/>
    <w:rsid w:val="005D1BC8"/>
    <w:rsid w:val="005F62BE"/>
    <w:rsid w:val="00612505"/>
    <w:rsid w:val="00622F81"/>
    <w:rsid w:val="00623F59"/>
    <w:rsid w:val="00625363"/>
    <w:rsid w:val="00630E96"/>
    <w:rsid w:val="006313AE"/>
    <w:rsid w:val="006365AA"/>
    <w:rsid w:val="00637A3C"/>
    <w:rsid w:val="00650215"/>
    <w:rsid w:val="00662F36"/>
    <w:rsid w:val="0069017E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1C5A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76EEB"/>
    <w:rsid w:val="00896A68"/>
    <w:rsid w:val="008A13DB"/>
    <w:rsid w:val="008A51A6"/>
    <w:rsid w:val="008B02E6"/>
    <w:rsid w:val="008C0C61"/>
    <w:rsid w:val="008C3899"/>
    <w:rsid w:val="008D06BE"/>
    <w:rsid w:val="008D416B"/>
    <w:rsid w:val="008D551A"/>
    <w:rsid w:val="008D7B53"/>
    <w:rsid w:val="008E4F17"/>
    <w:rsid w:val="008F7F09"/>
    <w:rsid w:val="00901B45"/>
    <w:rsid w:val="009126E7"/>
    <w:rsid w:val="00942559"/>
    <w:rsid w:val="009517F7"/>
    <w:rsid w:val="009719C4"/>
    <w:rsid w:val="00977898"/>
    <w:rsid w:val="00990C60"/>
    <w:rsid w:val="009931CD"/>
    <w:rsid w:val="009A5F36"/>
    <w:rsid w:val="009C6227"/>
    <w:rsid w:val="009E0383"/>
    <w:rsid w:val="009E2DE5"/>
    <w:rsid w:val="00A4110B"/>
    <w:rsid w:val="00A5142C"/>
    <w:rsid w:val="00A55D6A"/>
    <w:rsid w:val="00A5722D"/>
    <w:rsid w:val="00A603D1"/>
    <w:rsid w:val="00A619AB"/>
    <w:rsid w:val="00A74DFE"/>
    <w:rsid w:val="00A80985"/>
    <w:rsid w:val="00AA0A7C"/>
    <w:rsid w:val="00AE7621"/>
    <w:rsid w:val="00AF6948"/>
    <w:rsid w:val="00B16E57"/>
    <w:rsid w:val="00B320A8"/>
    <w:rsid w:val="00B5520D"/>
    <w:rsid w:val="00B736BA"/>
    <w:rsid w:val="00B9107D"/>
    <w:rsid w:val="00BA0498"/>
    <w:rsid w:val="00BA0EA7"/>
    <w:rsid w:val="00BE5AB0"/>
    <w:rsid w:val="00C2661A"/>
    <w:rsid w:val="00C32768"/>
    <w:rsid w:val="00C47587"/>
    <w:rsid w:val="00C50B9E"/>
    <w:rsid w:val="00C94D8F"/>
    <w:rsid w:val="00CB2EF7"/>
    <w:rsid w:val="00CE5DC6"/>
    <w:rsid w:val="00CF45CE"/>
    <w:rsid w:val="00D010DD"/>
    <w:rsid w:val="00D12A67"/>
    <w:rsid w:val="00D52FB7"/>
    <w:rsid w:val="00D5427B"/>
    <w:rsid w:val="00D76902"/>
    <w:rsid w:val="00D80322"/>
    <w:rsid w:val="00DA6E08"/>
    <w:rsid w:val="00DB758C"/>
    <w:rsid w:val="00DC12D4"/>
    <w:rsid w:val="00DD0C4B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37DA5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A1241"/>
    <w:rsid w:val="00FB2B15"/>
    <w:rsid w:val="00FB4809"/>
    <w:rsid w:val="00FD5C73"/>
    <w:rsid w:val="00FF0839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8F953A-9E45-4D79-BEA7-97F3F33F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A4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A49B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B4809"/>
    <w:rPr>
      <w:sz w:val="20"/>
      <w:szCs w:val="20"/>
    </w:rPr>
  </w:style>
  <w:style w:type="character" w:styleId="FootnoteReference">
    <w:name w:val="footnote reference"/>
    <w:semiHidden/>
    <w:rsid w:val="00FB4809"/>
    <w:rPr>
      <w:vertAlign w:val="superscript"/>
    </w:rPr>
  </w:style>
  <w:style w:type="character" w:styleId="PageNumber">
    <w:name w:val="page number"/>
    <w:basedOn w:val="DefaultParagraphFont"/>
    <w:rsid w:val="00030A8F"/>
  </w:style>
  <w:style w:type="character" w:customStyle="1" w:styleId="FooterChar">
    <w:name w:val="Footer Char"/>
    <w:link w:val="Footer"/>
    <w:uiPriority w:val="99"/>
    <w:rsid w:val="00F37D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ואוקי ארעא בחזקת בר שטיא</vt:lpstr>
    </vt:vector>
  </TitlesOfParts>
  <Company>Oholei Torah</Company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ואוקי ארעא בחזקת בר שטיא</dc:title>
  <dc:subject/>
  <dc:creator>Ephraim piekarski</dc:creator>
  <cp:keywords/>
  <dc:description/>
  <cp:lastModifiedBy>Microsoft account</cp:lastModifiedBy>
  <cp:revision>2</cp:revision>
  <cp:lastPrinted>2015-07-08T15:27:00Z</cp:lastPrinted>
  <dcterms:created xsi:type="dcterms:W3CDTF">2022-04-05T10:49:00Z</dcterms:created>
  <dcterms:modified xsi:type="dcterms:W3CDTF">2022-04-05T10:49:00Z</dcterms:modified>
</cp:coreProperties>
</file>