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AE" w:rsidRDefault="00FA51AE" w:rsidP="002F28C2">
      <w:pPr>
        <w:widowControl w:val="0"/>
        <w:bidi/>
        <w:spacing w:line="276" w:lineRule="auto"/>
        <w:jc w:val="both"/>
        <w:rPr>
          <w:b/>
          <w:bCs/>
          <w:sz w:val="24"/>
          <w:szCs w:val="24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 xml:space="preserve">עילה </w:t>
      </w:r>
      <w:r w:rsidRPr="00FA51AE">
        <w:rPr>
          <w:rFonts w:hint="cs"/>
          <w:b/>
          <w:bCs/>
          <w:sz w:val="32"/>
          <w:szCs w:val="32"/>
          <w:rtl/>
          <w:lang w:bidi="he-IL"/>
        </w:rPr>
        <w:t xml:space="preserve">מצאו </w:t>
      </w:r>
      <w:r w:rsidRPr="00FA51AE">
        <w:rPr>
          <w:b/>
          <w:bCs/>
          <w:sz w:val="32"/>
          <w:szCs w:val="32"/>
          <w:rtl/>
          <w:lang w:bidi="he-IL"/>
        </w:rPr>
        <w:t>–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>
        <w:rPr>
          <w:b/>
          <w:bCs/>
          <w:sz w:val="32"/>
          <w:szCs w:val="32"/>
          <w:lang w:bidi="he-IL"/>
        </w:rPr>
        <w:t>They found a</w:t>
      </w:r>
      <w:r w:rsidR="00C02E96" w:rsidRPr="00C02E96">
        <w:rPr>
          <w:b/>
          <w:bCs/>
          <w:sz w:val="32"/>
          <w:szCs w:val="32"/>
          <w:lang w:bidi="he-IL"/>
        </w:rPr>
        <w:t xml:space="preserve"> </w:t>
      </w:r>
      <w:r w:rsidR="00C02E96">
        <w:rPr>
          <w:b/>
          <w:bCs/>
          <w:sz w:val="32"/>
          <w:szCs w:val="32"/>
          <w:lang w:bidi="he-IL"/>
        </w:rPr>
        <w:t>pretext</w:t>
      </w:r>
      <w:r w:rsidR="00185204">
        <w:rPr>
          <w:b/>
          <w:bCs/>
          <w:sz w:val="32"/>
          <w:szCs w:val="32"/>
          <w:lang w:bidi="he-IL"/>
        </w:rPr>
        <w:t xml:space="preserve"> </w:t>
      </w:r>
      <w:r>
        <w:rPr>
          <w:b/>
          <w:bCs/>
          <w:sz w:val="32"/>
          <w:szCs w:val="32"/>
          <w:lang w:bidi="he-IL"/>
        </w:rPr>
        <w:t xml:space="preserve">                                                     </w:t>
      </w:r>
    </w:p>
    <w:p w:rsidR="00FA51AE" w:rsidRPr="002F28C2" w:rsidRDefault="00C02E96" w:rsidP="002F28C2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2F28C2">
        <w:rPr>
          <w:rFonts w:ascii="Copperplate Gothic Bold" w:hAnsi="Copperplate Gothic Bold"/>
          <w:u w:val="double"/>
          <w:lang w:bidi="he-IL"/>
        </w:rPr>
        <w:t>Overview</w:t>
      </w:r>
    </w:p>
    <w:p w:rsidR="00FA51AE" w:rsidRDefault="00C02E96" w:rsidP="002F28C2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that in doubtful situations there is no presumption of </w:t>
      </w:r>
      <w:r>
        <w:rPr>
          <w:rFonts w:hint="cs"/>
          <w:rtl/>
          <w:lang w:bidi="he-IL"/>
        </w:rPr>
        <w:t>טומאה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א"י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supports this assertion by citing </w:t>
      </w:r>
      <w:r>
        <w:rPr>
          <w:rFonts w:hint="cs"/>
          <w:rtl/>
          <w:lang w:bidi="he-IL"/>
        </w:rPr>
        <w:t>ר"ל</w:t>
      </w:r>
      <w:r>
        <w:rPr>
          <w:lang w:bidi="he-IL"/>
        </w:rPr>
        <w:t xml:space="preserve"> who said (concerning </w:t>
      </w:r>
      <w:r>
        <w:rPr>
          <w:rFonts w:hint="cs"/>
          <w:rtl/>
          <w:lang w:bidi="he-IL"/>
        </w:rPr>
        <w:t>טומאה</w:t>
      </w:r>
      <w:r>
        <w:rPr>
          <w:lang w:bidi="he-IL"/>
        </w:rPr>
        <w:t>)</w:t>
      </w:r>
      <w:r w:rsidR="00A55FC7">
        <w:rPr>
          <w:lang w:bidi="he-IL"/>
        </w:rPr>
        <w:t xml:space="preserve"> that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עילה מצאו</w:t>
      </w:r>
      <w:r w:rsidR="00FC1C29">
        <w:rPr>
          <w:rFonts w:hint="cs"/>
          <w:rtl/>
          <w:lang w:bidi="he-IL"/>
        </w:rPr>
        <w:t xml:space="preserve"> וטהרו את ארץ ישראל</w:t>
      </w:r>
      <w:r w:rsidR="00FC1C29">
        <w:rPr>
          <w:lang w:bidi="he-IL"/>
        </w:rPr>
        <w:t xml:space="preserve">. Our </w:t>
      </w:r>
      <w:r w:rsidR="00FC1C29">
        <w:rPr>
          <w:rFonts w:hint="cs"/>
          <w:rtl/>
          <w:lang w:bidi="he-IL"/>
        </w:rPr>
        <w:t>רש"י</w:t>
      </w:r>
      <w:r w:rsidR="00FC1C29">
        <w:rPr>
          <w:lang w:bidi="he-IL"/>
        </w:rPr>
        <w:t xml:space="preserve"> here</w:t>
      </w:r>
      <w:r w:rsidR="00FC1C29">
        <w:rPr>
          <w:rStyle w:val="FootnoteReference"/>
          <w:lang w:bidi="he-IL"/>
        </w:rPr>
        <w:footnoteReference w:id="1"/>
      </w:r>
      <w:r w:rsidR="00FC1C29">
        <w:rPr>
          <w:lang w:bidi="he-IL"/>
        </w:rPr>
        <w:t xml:space="preserve"> interprets the word </w:t>
      </w:r>
      <w:r w:rsidR="00FC1C29">
        <w:rPr>
          <w:rFonts w:hint="cs"/>
          <w:rtl/>
          <w:lang w:bidi="he-IL"/>
        </w:rPr>
        <w:t>עילה</w:t>
      </w:r>
      <w:r w:rsidR="00FC1C29">
        <w:rPr>
          <w:lang w:bidi="he-IL"/>
        </w:rPr>
        <w:t xml:space="preserve"> to mean an excuse; a pretext. A minimal excuse was sufficient cause to neutralize the </w:t>
      </w:r>
      <w:r w:rsidR="00FC1C29">
        <w:rPr>
          <w:rFonts w:hint="cs"/>
          <w:rtl/>
          <w:lang w:bidi="he-IL"/>
        </w:rPr>
        <w:t>ספק טומאה</w:t>
      </w:r>
      <w:r w:rsidR="00FC1C29">
        <w:rPr>
          <w:lang w:bidi="he-IL"/>
        </w:rPr>
        <w:t xml:space="preserve"> and declare the area to be a </w:t>
      </w:r>
      <w:r w:rsidR="00FC1C29">
        <w:rPr>
          <w:rFonts w:hint="cs"/>
          <w:rtl/>
          <w:lang w:bidi="he-IL"/>
        </w:rPr>
        <w:t>מקום טהור</w:t>
      </w:r>
      <w:r w:rsidR="00FC1C29">
        <w:rPr>
          <w:lang w:bidi="he-IL"/>
        </w:rPr>
        <w:t>.</w:t>
      </w:r>
      <w:r w:rsidR="008C6DE0">
        <w:rPr>
          <w:lang w:bidi="he-IL"/>
        </w:rPr>
        <w:t xml:space="preserve"> </w:t>
      </w:r>
      <w:r w:rsidR="002F28C2">
        <w:rPr>
          <w:lang w:bidi="he-IL"/>
        </w:rPr>
        <w:t xml:space="preserve">Our </w:t>
      </w:r>
      <w:r w:rsidR="008C6DE0">
        <w:rPr>
          <w:rFonts w:hint="cs"/>
          <w:rtl/>
          <w:lang w:bidi="he-IL"/>
        </w:rPr>
        <w:t>תוספות</w:t>
      </w:r>
      <w:r w:rsidR="008C6DE0">
        <w:rPr>
          <w:lang w:bidi="he-IL"/>
        </w:rPr>
        <w:t xml:space="preserve"> offers an alternate explanation.</w:t>
      </w:r>
    </w:p>
    <w:p w:rsidR="00FA51AE" w:rsidRPr="002F28C2" w:rsidRDefault="002F28C2" w:rsidP="002F28C2">
      <w:pPr>
        <w:widowControl w:val="0"/>
        <w:bidi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-----------------------------</w:t>
      </w:r>
    </w:p>
    <w:p w:rsidR="00FA51AE" w:rsidRPr="002F28C2" w:rsidRDefault="00FA51AE" w:rsidP="002F28C2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2F28C2">
        <w:rPr>
          <w:rFonts w:cs="David" w:hint="cs"/>
          <w:b/>
          <w:bCs/>
          <w:rtl/>
          <w:lang w:bidi="he-IL"/>
        </w:rPr>
        <w:t>פירש רבינו חננאל צלע ותלו הטומאה באותה צלע והשאר טהרו</w:t>
      </w:r>
      <w:r w:rsidR="002F28C2">
        <w:rPr>
          <w:rFonts w:cs="David" w:hint="cs"/>
          <w:b/>
          <w:bCs/>
          <w:rtl/>
          <w:lang w:bidi="he-IL"/>
        </w:rPr>
        <w:t>:</w:t>
      </w:r>
      <w:r w:rsidRPr="002F28C2">
        <w:rPr>
          <w:rFonts w:cs="David" w:hint="cs"/>
          <w:b/>
          <w:bCs/>
          <w:rtl/>
          <w:lang w:bidi="he-IL"/>
        </w:rPr>
        <w:t xml:space="preserve"> </w:t>
      </w:r>
    </w:p>
    <w:p w:rsidR="008C6DE0" w:rsidRDefault="00FA51AE" w:rsidP="002F28C2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The </w:t>
      </w:r>
      <w:r>
        <w:rPr>
          <w:rFonts w:hint="cs"/>
          <w:b/>
          <w:bCs/>
          <w:rtl/>
          <w:lang w:bidi="he-IL"/>
        </w:rPr>
        <w:t>ר"ח</w:t>
      </w:r>
      <w:r>
        <w:rPr>
          <w:b/>
          <w:bCs/>
          <w:lang w:bidi="he-IL"/>
        </w:rPr>
        <w:t xml:space="preserve"> explained </w:t>
      </w:r>
      <w:r>
        <w:rPr>
          <w:lang w:bidi="he-IL"/>
        </w:rPr>
        <w:t xml:space="preserve">that the word </w:t>
      </w:r>
      <w:r>
        <w:rPr>
          <w:rFonts w:hint="cs"/>
          <w:rtl/>
          <w:lang w:bidi="he-IL"/>
        </w:rPr>
        <w:t>עילה</w:t>
      </w:r>
      <w:r>
        <w:rPr>
          <w:lang w:bidi="he-IL"/>
        </w:rPr>
        <w:t xml:space="preserve"> here means: </w:t>
      </w:r>
      <w:r w:rsidR="00541B70">
        <w:rPr>
          <w:b/>
          <w:bCs/>
          <w:lang w:bidi="he-IL"/>
        </w:rPr>
        <w:t xml:space="preserve">ribs </w:t>
      </w:r>
      <w:r w:rsidR="00541B70">
        <w:rPr>
          <w:lang w:bidi="he-IL"/>
        </w:rPr>
        <w:t>(of a skeleton)</w:t>
      </w:r>
      <w:r w:rsidR="002F28C2">
        <w:rPr>
          <w:lang w:bidi="he-IL"/>
        </w:rPr>
        <w:t>.</w:t>
      </w:r>
      <w:r w:rsidR="00541B70">
        <w:rPr>
          <w:rStyle w:val="FootnoteReference"/>
          <w:lang w:bidi="he-IL"/>
        </w:rPr>
        <w:footnoteReference w:id="2"/>
      </w:r>
      <w:r>
        <w:rPr>
          <w:b/>
          <w:bCs/>
          <w:lang w:bidi="he-IL"/>
        </w:rPr>
        <w:t xml:space="preserve"> </w:t>
      </w:r>
      <w:r w:rsidR="00541B70">
        <w:rPr>
          <w:lang w:bidi="he-IL"/>
        </w:rPr>
        <w:t>They found ribs of a skeleton a</w:t>
      </w:r>
      <w:r>
        <w:rPr>
          <w:b/>
          <w:bCs/>
          <w:lang w:bidi="he-IL"/>
        </w:rPr>
        <w:t>nd they</w:t>
      </w:r>
      <w:r w:rsidRPr="00FA51AE">
        <w:rPr>
          <w:sz w:val="32"/>
          <w:szCs w:val="32"/>
          <w:lang w:bidi="he-IL"/>
        </w:rPr>
        <w:t xml:space="preserve"> </w:t>
      </w:r>
      <w:r w:rsidR="00C02E96" w:rsidRPr="00FA51AE">
        <w:rPr>
          <w:b/>
          <w:bCs/>
          <w:lang w:bidi="he-IL"/>
        </w:rPr>
        <w:t>attributed</w:t>
      </w:r>
      <w:r w:rsidRPr="00FA51AE">
        <w:rPr>
          <w:b/>
          <w:bCs/>
          <w:lang w:bidi="he-IL"/>
        </w:rPr>
        <w:t xml:space="preserve"> the </w:t>
      </w:r>
      <w:r w:rsidRPr="00FA51AE">
        <w:rPr>
          <w:rFonts w:hint="cs"/>
          <w:b/>
          <w:bCs/>
          <w:rtl/>
          <w:lang w:bidi="he-IL"/>
        </w:rPr>
        <w:t>טומאה</w:t>
      </w:r>
      <w:r>
        <w:rPr>
          <w:b/>
          <w:bCs/>
          <w:lang w:bidi="he-IL"/>
        </w:rPr>
        <w:t xml:space="preserve"> to that </w:t>
      </w:r>
      <w:r w:rsidR="00541B70">
        <w:rPr>
          <w:b/>
          <w:bCs/>
          <w:lang w:bidi="he-IL"/>
        </w:rPr>
        <w:t>skeleton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only; </w:t>
      </w:r>
      <w:r w:rsidRPr="00185204">
        <w:rPr>
          <w:b/>
          <w:bCs/>
          <w:lang w:bidi="he-IL"/>
        </w:rPr>
        <w:t>and the rest</w:t>
      </w:r>
      <w:r>
        <w:rPr>
          <w:lang w:bidi="he-IL"/>
        </w:rPr>
        <w:t xml:space="preserve"> of </w:t>
      </w:r>
      <w:r w:rsidR="00541B70">
        <w:rPr>
          <w:lang w:bidi="he-IL"/>
        </w:rPr>
        <w:t>the area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was </w:t>
      </w:r>
      <w:r>
        <w:rPr>
          <w:lang w:bidi="he-IL"/>
        </w:rPr>
        <w:t xml:space="preserve">proclaimed </w:t>
      </w:r>
      <w:r>
        <w:rPr>
          <w:b/>
          <w:bCs/>
          <w:lang w:bidi="he-IL"/>
        </w:rPr>
        <w:t xml:space="preserve">to be </w:t>
      </w:r>
      <w:r>
        <w:rPr>
          <w:rFonts w:hint="cs"/>
          <w:b/>
          <w:bCs/>
          <w:rtl/>
          <w:lang w:bidi="he-IL"/>
        </w:rPr>
        <w:t>טהור</w:t>
      </w:r>
      <w:r>
        <w:rPr>
          <w:b/>
          <w:bCs/>
          <w:lang w:bidi="he-IL"/>
        </w:rPr>
        <w:t>.</w:t>
      </w:r>
      <w:r w:rsidR="002F28C2" w:rsidRPr="002F28C2">
        <w:rPr>
          <w:rStyle w:val="FootnoteReference"/>
          <w:b/>
          <w:bCs/>
          <w:rtl/>
          <w:lang w:bidi="he-IL"/>
        </w:rPr>
        <w:t xml:space="preserve"> </w:t>
      </w:r>
      <w:r w:rsidR="002F28C2">
        <w:rPr>
          <w:rStyle w:val="FootnoteReference"/>
          <w:b/>
          <w:bCs/>
          <w:rtl/>
          <w:lang w:bidi="he-IL"/>
        </w:rPr>
        <w:footnoteReference w:id="3"/>
      </w:r>
    </w:p>
    <w:p w:rsidR="008C6DE0" w:rsidRPr="008C6DE0" w:rsidRDefault="008C6DE0" w:rsidP="002F28C2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D80DE2" w:rsidRPr="002F28C2" w:rsidRDefault="008C6DE0" w:rsidP="002F28C2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2F28C2">
        <w:rPr>
          <w:rFonts w:ascii="Copperplate Gothic Bold" w:hAnsi="Copperplate Gothic Bold"/>
          <w:u w:val="double"/>
          <w:lang w:bidi="he-IL"/>
        </w:rPr>
        <w:t>Summary</w:t>
      </w:r>
      <w:r w:rsidR="00FA51AE" w:rsidRPr="002F28C2">
        <w:rPr>
          <w:rFonts w:ascii="Copperplate Gothic Bold" w:hAnsi="Copperplate Gothic Bold"/>
          <w:u w:val="double"/>
          <w:lang w:bidi="he-IL"/>
        </w:rPr>
        <w:t xml:space="preserve">  </w:t>
      </w:r>
    </w:p>
    <w:p w:rsidR="008C6DE0" w:rsidRDefault="008C6DE0" w:rsidP="002F28C2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interprets </w:t>
      </w:r>
      <w:r>
        <w:rPr>
          <w:rFonts w:hint="cs"/>
          <w:rtl/>
          <w:lang w:bidi="he-IL"/>
        </w:rPr>
        <w:t>עילה מצאו</w:t>
      </w:r>
      <w:r>
        <w:rPr>
          <w:lang w:bidi="he-IL"/>
        </w:rPr>
        <w:t xml:space="preserve"> that they found an excuse. The </w:t>
      </w:r>
      <w:r>
        <w:rPr>
          <w:rFonts w:hint="cs"/>
          <w:rtl/>
          <w:lang w:bidi="he-IL"/>
        </w:rPr>
        <w:t>ר"ח</w:t>
      </w:r>
      <w:r>
        <w:rPr>
          <w:lang w:bidi="he-IL"/>
        </w:rPr>
        <w:t xml:space="preserve"> interprets it that they found a rib (of a skeleton).</w:t>
      </w:r>
    </w:p>
    <w:p w:rsidR="008C6DE0" w:rsidRDefault="008C6DE0" w:rsidP="002F28C2">
      <w:pPr>
        <w:widowControl w:val="0"/>
        <w:spacing w:line="276" w:lineRule="auto"/>
        <w:jc w:val="both"/>
        <w:rPr>
          <w:lang w:bidi="he-IL"/>
        </w:rPr>
      </w:pPr>
    </w:p>
    <w:p w:rsidR="008C6DE0" w:rsidRPr="002F28C2" w:rsidRDefault="008C6DE0" w:rsidP="002F28C2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2F28C2">
        <w:rPr>
          <w:rFonts w:ascii="Copperplate Gothic Bold" w:hAnsi="Copperplate Gothic Bold"/>
          <w:u w:val="double"/>
          <w:lang w:bidi="he-IL"/>
        </w:rPr>
        <w:t>Thinking it over</w:t>
      </w:r>
    </w:p>
    <w:p w:rsidR="008C6DE0" w:rsidRPr="008C6DE0" w:rsidRDefault="008C6DE0" w:rsidP="002F28C2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What are the respective merits of the two interpretation of </w:t>
      </w:r>
      <w:r>
        <w:rPr>
          <w:rFonts w:hint="cs"/>
          <w:rtl/>
          <w:lang w:bidi="he-IL"/>
        </w:rPr>
        <w:t>עילה מצאו</w:t>
      </w:r>
      <w:r>
        <w:rPr>
          <w:lang w:bidi="he-IL"/>
        </w:rPr>
        <w:t>?</w:t>
      </w:r>
    </w:p>
    <w:sectPr w:rsidR="008C6DE0" w:rsidRPr="008C6DE0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840" w:rsidRDefault="00184840">
      <w:r>
        <w:separator/>
      </w:r>
    </w:p>
  </w:endnote>
  <w:endnote w:type="continuationSeparator" w:id="0">
    <w:p w:rsidR="00184840" w:rsidRDefault="00184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731" w:rsidRDefault="000B4731">
    <w:pPr>
      <w:pStyle w:val="Footer"/>
      <w:rPr>
        <w:rFonts w:hint="cs"/>
        <w:rtl/>
        <w:lang w:bidi="he-IL"/>
      </w:rPr>
    </w:pPr>
  </w:p>
  <w:p w:rsidR="000B4731" w:rsidRPr="00FA51AE" w:rsidRDefault="000B4731" w:rsidP="00FA51AE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840" w:rsidRDefault="00184840">
      <w:r>
        <w:separator/>
      </w:r>
    </w:p>
  </w:footnote>
  <w:footnote w:type="continuationSeparator" w:id="0">
    <w:p w:rsidR="00184840" w:rsidRDefault="00184840">
      <w:r>
        <w:continuationSeparator/>
      </w:r>
    </w:p>
  </w:footnote>
  <w:footnote w:id="1">
    <w:p w:rsidR="000B4731" w:rsidRDefault="000B4731" w:rsidP="002F28C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ד"ה עילה</w:t>
      </w:r>
      <w:r>
        <w:rPr>
          <w:lang w:bidi="he-IL"/>
        </w:rPr>
        <w:t>.</w:t>
      </w:r>
    </w:p>
  </w:footnote>
  <w:footnote w:id="2">
    <w:p w:rsidR="000B4731" w:rsidRPr="00541B70" w:rsidRDefault="000B4731" w:rsidP="002F28C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In </w:t>
      </w:r>
      <w:r>
        <w:rPr>
          <w:rFonts w:hint="cs"/>
          <w:rtl/>
          <w:lang w:bidi="he-IL"/>
        </w:rPr>
        <w:t>מסכת נזיר סה,ב</w:t>
      </w:r>
      <w:r>
        <w:rPr>
          <w:lang w:bidi="he-IL"/>
        </w:rPr>
        <w:t xml:space="preserve"> the text reads </w:t>
      </w:r>
      <w:r>
        <w:rPr>
          <w:rFonts w:hint="cs"/>
          <w:rtl/>
          <w:lang w:bidi="he-IL"/>
        </w:rPr>
        <w:t>'עילא מצאו'</w:t>
      </w:r>
      <w:r>
        <w:rPr>
          <w:lang w:bidi="he-IL"/>
        </w:rPr>
        <w:t xml:space="preserve"> with an </w:t>
      </w:r>
      <w:r>
        <w:rPr>
          <w:rFonts w:hint="cs"/>
          <w:rtl/>
          <w:lang w:bidi="he-IL"/>
        </w:rPr>
        <w:t>אל"ף</w:t>
      </w:r>
      <w:r>
        <w:rPr>
          <w:lang w:bidi="he-IL"/>
        </w:rPr>
        <w:t xml:space="preserve"> instead of a </w:t>
      </w:r>
      <w:r>
        <w:rPr>
          <w:rFonts w:hint="cs"/>
          <w:rtl/>
          <w:lang w:bidi="he-IL"/>
        </w:rPr>
        <w:t>ה"א</w:t>
      </w:r>
      <w:r>
        <w:rPr>
          <w:lang w:bidi="he-IL"/>
        </w:rPr>
        <w:t xml:space="preserve">. In </w:t>
      </w:r>
      <w:r>
        <w:rPr>
          <w:rFonts w:hint="cs"/>
          <w:rtl/>
          <w:lang w:bidi="he-IL"/>
        </w:rPr>
        <w:t>בראשית ב,כב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תרגום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(ויבן את) הצלע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עלעא</w:t>
      </w:r>
      <w:r>
        <w:rPr>
          <w:lang w:bidi="he-IL"/>
        </w:rPr>
        <w:t xml:space="preserve"> (</w:t>
      </w:r>
      <w:r>
        <w:rPr>
          <w:rFonts w:hint="cs"/>
          <w:rtl/>
          <w:lang w:bidi="he-IL"/>
        </w:rPr>
        <w:t>עלעה</w:t>
      </w:r>
      <w:r>
        <w:rPr>
          <w:lang w:bidi="he-IL"/>
        </w:rPr>
        <w:t xml:space="preserve"> in other </w:t>
      </w:r>
      <w:r>
        <w:rPr>
          <w:rFonts w:hint="cs"/>
          <w:rtl/>
          <w:lang w:bidi="he-IL"/>
        </w:rPr>
        <w:t>תרגומים</w:t>
      </w:r>
      <w:r>
        <w:rPr>
          <w:lang w:bidi="he-IL"/>
        </w:rPr>
        <w:t xml:space="preserve">). The word </w:t>
      </w:r>
      <w:r>
        <w:rPr>
          <w:rFonts w:hint="cs"/>
          <w:rtl/>
          <w:lang w:bidi="he-IL"/>
        </w:rPr>
        <w:t>עילא</w:t>
      </w:r>
      <w:r>
        <w:rPr>
          <w:lang w:bidi="he-IL"/>
        </w:rPr>
        <w:t xml:space="preserve"> refers to the ribs or side of a person (or animal).</w:t>
      </w:r>
    </w:p>
  </w:footnote>
  <w:footnote w:id="3">
    <w:p w:rsidR="002F28C2" w:rsidRDefault="002F28C2" w:rsidP="002F28C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is referring to the laws of </w:t>
      </w:r>
      <w:r>
        <w:rPr>
          <w:rFonts w:hint="cs"/>
          <w:rtl/>
          <w:lang w:bidi="he-IL"/>
        </w:rPr>
        <w:t>שכונת קברים</w:t>
      </w:r>
      <w:r>
        <w:rPr>
          <w:lang w:bidi="he-IL"/>
        </w:rPr>
        <w:t xml:space="preserve"> (in </w:t>
      </w:r>
      <w:r>
        <w:rPr>
          <w:rFonts w:hint="cs"/>
          <w:rtl/>
          <w:lang w:bidi="he-IL"/>
        </w:rPr>
        <w:t>נזיר סה,ב</w:t>
      </w:r>
      <w:r>
        <w:rPr>
          <w:lang w:bidi="he-IL"/>
        </w:rPr>
        <w:t xml:space="preserve">) where one has to check that there are no other graves in the vicinity. </w:t>
      </w:r>
      <w:r>
        <w:rPr>
          <w:rFonts w:hint="cs"/>
          <w:rtl/>
          <w:lang w:bidi="he-IL"/>
        </w:rPr>
        <w:t>ריש לקיש</w:t>
      </w:r>
      <w:r>
        <w:rPr>
          <w:lang w:bidi="he-IL"/>
        </w:rPr>
        <w:t xml:space="preserve"> stated (there) that we can presume that this </w:t>
      </w:r>
      <w:r>
        <w:rPr>
          <w:rFonts w:hint="cs"/>
          <w:rtl/>
          <w:lang w:bidi="he-IL"/>
        </w:rPr>
        <w:t>עילא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צלע</w:t>
      </w:r>
      <w:r>
        <w:rPr>
          <w:lang w:bidi="he-IL"/>
        </w:rPr>
        <w:t xml:space="preserve"> is the only </w:t>
      </w:r>
      <w:r>
        <w:rPr>
          <w:rFonts w:hint="cs"/>
          <w:rtl/>
          <w:lang w:bidi="he-IL"/>
        </w:rPr>
        <w:t>טומאה</w:t>
      </w:r>
      <w:r>
        <w:rPr>
          <w:lang w:bidi="he-IL"/>
        </w:rPr>
        <w:t xml:space="preserve"> in this vicinity.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did not want to cause difficulties for the </w:t>
      </w:r>
      <w:r>
        <w:rPr>
          <w:rFonts w:hint="cs"/>
          <w:rtl/>
          <w:lang w:bidi="he-IL"/>
        </w:rPr>
        <w:t>כהנים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א"י</w:t>
      </w:r>
      <w:r>
        <w:rPr>
          <w:lang w:bidi="he-IL"/>
        </w:rPr>
        <w:t xml:space="preserve">; so they minimized the </w:t>
      </w:r>
      <w:r>
        <w:rPr>
          <w:rFonts w:hint="cs"/>
          <w:rtl/>
          <w:lang w:bidi="he-IL"/>
        </w:rPr>
        <w:t>חששות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טומאה</w:t>
      </w:r>
      <w:r>
        <w:rPr>
          <w:lang w:bidi="he-IL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731" w:rsidRPr="00FA51AE" w:rsidRDefault="000B4731" w:rsidP="00FA51AE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כ,ב תוס' ד"ה עילה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51AE"/>
    <w:rsid w:val="000B4731"/>
    <w:rsid w:val="00184840"/>
    <w:rsid w:val="00184D2E"/>
    <w:rsid w:val="00185204"/>
    <w:rsid w:val="0020216B"/>
    <w:rsid w:val="00210A1E"/>
    <w:rsid w:val="002763CF"/>
    <w:rsid w:val="002F28C2"/>
    <w:rsid w:val="003F6705"/>
    <w:rsid w:val="004E3B9A"/>
    <w:rsid w:val="00541B70"/>
    <w:rsid w:val="00581026"/>
    <w:rsid w:val="007552E7"/>
    <w:rsid w:val="0089054C"/>
    <w:rsid w:val="008C6DE0"/>
    <w:rsid w:val="009B1A23"/>
    <w:rsid w:val="00A55FC7"/>
    <w:rsid w:val="00BA673C"/>
    <w:rsid w:val="00C02E96"/>
    <w:rsid w:val="00D54370"/>
    <w:rsid w:val="00D80DE2"/>
    <w:rsid w:val="00FA51AE"/>
    <w:rsid w:val="00FC1C29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6D45797-B777-41AE-9D69-31869063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A51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51A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41B70"/>
    <w:rPr>
      <w:sz w:val="20"/>
      <w:szCs w:val="20"/>
    </w:rPr>
  </w:style>
  <w:style w:type="character" w:styleId="FootnoteReference">
    <w:name w:val="footnote reference"/>
    <w:semiHidden/>
    <w:rsid w:val="00541B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עילה מצאו – They found a cause                                                     </vt:lpstr>
    </vt:vector>
  </TitlesOfParts>
  <Company> 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עילה מצאו – They found a cause                                                     </dc:title>
  <dc:subject/>
  <dc:creator> </dc:creator>
  <cp:keywords/>
  <dc:description/>
  <cp:lastModifiedBy>Microsoft account</cp:lastModifiedBy>
  <cp:revision>2</cp:revision>
  <cp:lastPrinted>2008-10-29T18:13:00Z</cp:lastPrinted>
  <dcterms:created xsi:type="dcterms:W3CDTF">2022-04-05T10:49:00Z</dcterms:created>
  <dcterms:modified xsi:type="dcterms:W3CDTF">2022-04-05T10:49:00Z</dcterms:modified>
</cp:coreProperties>
</file>