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E2" w:rsidRDefault="00180532" w:rsidP="00951A79">
      <w:pPr>
        <w:bidi/>
        <w:spacing w:line="276" w:lineRule="auto"/>
        <w:rPr>
          <w:b/>
          <w:bCs/>
          <w:sz w:val="24"/>
          <w:szCs w:val="24"/>
          <w:lang w:bidi="he-IL"/>
        </w:rPr>
      </w:pPr>
      <w:bookmarkStart w:id="0" w:name="_GoBack"/>
      <w:bookmarkEnd w:id="0"/>
      <w:r>
        <w:rPr>
          <w:rFonts w:hint="cs"/>
          <w:b/>
          <w:bCs/>
          <w:sz w:val="36"/>
          <w:szCs w:val="36"/>
          <w:rtl/>
          <w:lang w:bidi="he-IL"/>
        </w:rPr>
        <w:t>על</w:t>
      </w:r>
      <w:r>
        <w:rPr>
          <w:rFonts w:hint="cs"/>
          <w:b/>
          <w:bCs/>
          <w:sz w:val="32"/>
          <w:szCs w:val="32"/>
          <w:rtl/>
          <w:lang w:bidi="he-IL"/>
        </w:rPr>
        <w:t xml:space="preserve"> כתב ידן הן מעידין </w:t>
      </w:r>
      <w:r>
        <w:rPr>
          <w:b/>
          <w:bCs/>
          <w:sz w:val="32"/>
          <w:szCs w:val="32"/>
          <w:rtl/>
          <w:lang w:bidi="he-IL"/>
        </w:rPr>
        <w:t>–</w:t>
      </w:r>
      <w:r>
        <w:rPr>
          <w:rFonts w:hint="cs"/>
          <w:b/>
          <w:bCs/>
          <w:sz w:val="32"/>
          <w:szCs w:val="32"/>
          <w:rtl/>
          <w:lang w:bidi="he-IL"/>
        </w:rPr>
        <w:t xml:space="preserve"> </w:t>
      </w:r>
      <w:r>
        <w:rPr>
          <w:b/>
          <w:bCs/>
          <w:sz w:val="32"/>
          <w:szCs w:val="32"/>
          <w:lang w:bidi="he-IL"/>
        </w:rPr>
        <w:t xml:space="preserve">They testify concerning their signature      </w:t>
      </w:r>
    </w:p>
    <w:p w:rsidR="00180532" w:rsidRDefault="00180532" w:rsidP="00EA3078">
      <w:pPr>
        <w:bidi/>
        <w:spacing w:line="276" w:lineRule="auto"/>
        <w:jc w:val="both"/>
        <w:rPr>
          <w:b/>
          <w:bCs/>
          <w:sz w:val="24"/>
          <w:szCs w:val="24"/>
          <w:lang w:bidi="he-IL"/>
        </w:rPr>
      </w:pPr>
    </w:p>
    <w:p w:rsidR="00180532" w:rsidRPr="00EA3078" w:rsidRDefault="00B03302" w:rsidP="00EA3078">
      <w:pPr>
        <w:spacing w:line="276" w:lineRule="auto"/>
        <w:jc w:val="both"/>
        <w:rPr>
          <w:rFonts w:ascii="Copperplate Gothic Bold" w:hAnsi="Copperplate Gothic Bold"/>
          <w:u w:val="double"/>
          <w:lang w:bidi="he-IL"/>
        </w:rPr>
      </w:pPr>
      <w:r w:rsidRPr="00EA3078">
        <w:rPr>
          <w:rFonts w:ascii="Copperplate Gothic Bold" w:hAnsi="Copperplate Gothic Bold"/>
          <w:u w:val="double"/>
          <w:lang w:bidi="he-IL"/>
        </w:rPr>
        <w:t>Overview</w:t>
      </w:r>
    </w:p>
    <w:p w:rsidR="00B03302" w:rsidRPr="00B03302" w:rsidRDefault="00B03302" w:rsidP="00EA3078">
      <w:pPr>
        <w:spacing w:line="276" w:lineRule="auto"/>
        <w:jc w:val="both"/>
        <w:rPr>
          <w:lang w:bidi="he-IL"/>
        </w:rPr>
      </w:pPr>
      <w:r>
        <w:rPr>
          <w:lang w:bidi="he-IL"/>
        </w:rPr>
        <w:t xml:space="preserve">The </w:t>
      </w:r>
      <w:r>
        <w:rPr>
          <w:rFonts w:hint="cs"/>
          <w:rtl/>
          <w:lang w:bidi="he-IL"/>
        </w:rPr>
        <w:t>משנה</w:t>
      </w:r>
      <w:r>
        <w:rPr>
          <w:lang w:bidi="he-IL"/>
        </w:rPr>
        <w:t xml:space="preserve"> cites a dispute between </w:t>
      </w:r>
      <w:r>
        <w:rPr>
          <w:rFonts w:hint="cs"/>
          <w:rtl/>
          <w:lang w:bidi="he-IL"/>
        </w:rPr>
        <w:t>רבי ורבנן</w:t>
      </w:r>
      <w:r>
        <w:rPr>
          <w:lang w:bidi="he-IL"/>
        </w:rPr>
        <w:t xml:space="preserve"> concerning </w:t>
      </w:r>
      <w:r>
        <w:rPr>
          <w:rFonts w:hint="cs"/>
          <w:rtl/>
          <w:lang w:bidi="he-IL"/>
        </w:rPr>
        <w:t>קיום השטר</w:t>
      </w:r>
      <w:r>
        <w:rPr>
          <w:lang w:bidi="he-IL"/>
        </w:rPr>
        <w:t xml:space="preserve"> through the </w:t>
      </w:r>
      <w:r>
        <w:rPr>
          <w:rFonts w:hint="cs"/>
          <w:rtl/>
          <w:lang w:bidi="he-IL"/>
        </w:rPr>
        <w:t>עדי חתימה</w:t>
      </w:r>
      <w:r>
        <w:rPr>
          <w:lang w:bidi="he-IL"/>
        </w:rPr>
        <w:t xml:space="preserve"> themselves. </w:t>
      </w:r>
      <w:r>
        <w:rPr>
          <w:rFonts w:hint="cs"/>
          <w:rtl/>
          <w:lang w:bidi="he-IL"/>
        </w:rPr>
        <w:t>רבי</w:t>
      </w:r>
      <w:r>
        <w:rPr>
          <w:lang w:bidi="he-IL"/>
        </w:rPr>
        <w:t xml:space="preserve"> maintains that each </w:t>
      </w:r>
      <w:r>
        <w:rPr>
          <w:rFonts w:hint="cs"/>
          <w:rtl/>
          <w:lang w:bidi="he-IL"/>
        </w:rPr>
        <w:t>חתימה</w:t>
      </w:r>
      <w:r>
        <w:rPr>
          <w:lang w:bidi="he-IL"/>
        </w:rPr>
        <w:t xml:space="preserve"> requires two </w:t>
      </w:r>
      <w:r>
        <w:rPr>
          <w:rFonts w:hint="cs"/>
          <w:rtl/>
          <w:lang w:bidi="he-IL"/>
        </w:rPr>
        <w:t>עדים</w:t>
      </w:r>
      <w:r>
        <w:rPr>
          <w:lang w:bidi="he-IL"/>
        </w:rPr>
        <w:t xml:space="preserve"> for </w:t>
      </w:r>
      <w:r>
        <w:rPr>
          <w:rFonts w:hint="cs"/>
          <w:rtl/>
          <w:lang w:bidi="he-IL"/>
        </w:rPr>
        <w:t>קיום</w:t>
      </w:r>
      <w:r>
        <w:rPr>
          <w:lang w:bidi="he-IL"/>
        </w:rPr>
        <w:t xml:space="preserve">; while the </w:t>
      </w:r>
      <w:r>
        <w:rPr>
          <w:rFonts w:hint="cs"/>
          <w:rtl/>
          <w:lang w:bidi="he-IL"/>
        </w:rPr>
        <w:t>חכמים</w:t>
      </w:r>
      <w:r>
        <w:rPr>
          <w:lang w:bidi="he-IL"/>
        </w:rPr>
        <w:t xml:space="preserve"> maintain that each </w:t>
      </w:r>
      <w:r>
        <w:rPr>
          <w:rFonts w:hint="cs"/>
          <w:rtl/>
          <w:lang w:bidi="he-IL"/>
        </w:rPr>
        <w:t>עד החתום</w:t>
      </w:r>
      <w:r>
        <w:rPr>
          <w:lang w:bidi="he-IL"/>
        </w:rPr>
        <w:t xml:space="preserve"> can be </w:t>
      </w:r>
      <w:r>
        <w:rPr>
          <w:rFonts w:hint="cs"/>
          <w:rtl/>
          <w:lang w:bidi="he-IL"/>
        </w:rPr>
        <w:t>מקיים</w:t>
      </w:r>
      <w:r>
        <w:rPr>
          <w:lang w:bidi="he-IL"/>
        </w:rPr>
        <w:t xml:space="preserve"> his own </w:t>
      </w:r>
      <w:r>
        <w:rPr>
          <w:rFonts w:hint="cs"/>
          <w:rtl/>
          <w:lang w:bidi="he-IL"/>
        </w:rPr>
        <w:t>חתימה</w:t>
      </w:r>
      <w:r>
        <w:rPr>
          <w:lang w:bidi="he-IL"/>
        </w:rPr>
        <w:t xml:space="preserve"> himself. The </w:t>
      </w:r>
      <w:r>
        <w:rPr>
          <w:rFonts w:hint="cs"/>
          <w:rtl/>
          <w:lang w:bidi="he-IL"/>
        </w:rPr>
        <w:t>גמרא</w:t>
      </w:r>
      <w:r>
        <w:rPr>
          <w:lang w:bidi="he-IL"/>
        </w:rPr>
        <w:t xml:space="preserve"> explains their </w:t>
      </w:r>
      <w:r>
        <w:rPr>
          <w:rFonts w:hint="cs"/>
          <w:rtl/>
          <w:lang w:bidi="he-IL"/>
        </w:rPr>
        <w:t>מחלוקת</w:t>
      </w:r>
      <w:r>
        <w:rPr>
          <w:lang w:bidi="he-IL"/>
        </w:rPr>
        <w:t xml:space="preserve"> as follows. </w:t>
      </w:r>
      <w:r>
        <w:rPr>
          <w:rFonts w:hint="cs"/>
          <w:rtl/>
          <w:lang w:bidi="he-IL"/>
        </w:rPr>
        <w:t>רבי</w:t>
      </w:r>
      <w:r>
        <w:rPr>
          <w:lang w:bidi="he-IL"/>
        </w:rPr>
        <w:t xml:space="preserve"> maintains that the </w:t>
      </w:r>
      <w:r>
        <w:rPr>
          <w:rFonts w:hint="cs"/>
          <w:rtl/>
          <w:lang w:bidi="he-IL"/>
        </w:rPr>
        <w:t>עדי קיום</w:t>
      </w:r>
      <w:r>
        <w:rPr>
          <w:lang w:bidi="he-IL"/>
        </w:rPr>
        <w:t xml:space="preserve"> merely say that this is their signature (they are not testifying concerning the content of the </w:t>
      </w:r>
      <w:r>
        <w:rPr>
          <w:rFonts w:hint="cs"/>
          <w:rtl/>
          <w:lang w:bidi="he-IL"/>
        </w:rPr>
        <w:t>שטר</w:t>
      </w:r>
      <w:r>
        <w:rPr>
          <w:lang w:bidi="he-IL"/>
        </w:rPr>
        <w:t xml:space="preserve">). Therefore two </w:t>
      </w:r>
      <w:r>
        <w:rPr>
          <w:rFonts w:hint="cs"/>
          <w:rtl/>
          <w:lang w:bidi="he-IL"/>
        </w:rPr>
        <w:t>עדים</w:t>
      </w:r>
      <w:r>
        <w:rPr>
          <w:lang w:bidi="he-IL"/>
        </w:rPr>
        <w:t xml:space="preserve"> are required for each </w:t>
      </w:r>
      <w:r>
        <w:rPr>
          <w:rFonts w:hint="cs"/>
          <w:rtl/>
          <w:lang w:bidi="he-IL"/>
        </w:rPr>
        <w:t>חתימה</w:t>
      </w:r>
      <w:r>
        <w:rPr>
          <w:lang w:bidi="he-IL"/>
        </w:rPr>
        <w:t xml:space="preserve"> (it can be the two </w:t>
      </w:r>
      <w:r>
        <w:rPr>
          <w:rFonts w:hint="cs"/>
          <w:rtl/>
          <w:lang w:bidi="he-IL"/>
        </w:rPr>
        <w:t>עדי חתימה</w:t>
      </w:r>
      <w:r>
        <w:rPr>
          <w:lang w:bidi="he-IL"/>
        </w:rPr>
        <w:t xml:space="preserve"> themselves). This is similar to a case where other </w:t>
      </w:r>
      <w:r>
        <w:rPr>
          <w:rFonts w:hint="cs"/>
          <w:rtl/>
          <w:lang w:bidi="he-IL"/>
        </w:rPr>
        <w:t>עדים</w:t>
      </w:r>
      <w:r>
        <w:rPr>
          <w:lang w:bidi="he-IL"/>
        </w:rPr>
        <w:t xml:space="preserve"> are </w:t>
      </w:r>
      <w:r>
        <w:rPr>
          <w:rFonts w:hint="cs"/>
          <w:rtl/>
          <w:lang w:bidi="he-IL"/>
        </w:rPr>
        <w:t>מקיים</w:t>
      </w:r>
      <w:r>
        <w:rPr>
          <w:lang w:bidi="he-IL"/>
        </w:rPr>
        <w:t xml:space="preserve"> the </w:t>
      </w:r>
      <w:r>
        <w:rPr>
          <w:rFonts w:hint="cs"/>
          <w:rtl/>
          <w:lang w:bidi="he-IL"/>
        </w:rPr>
        <w:t>חתימות</w:t>
      </w:r>
      <w:r>
        <w:rPr>
          <w:lang w:bidi="he-IL"/>
        </w:rPr>
        <w:t xml:space="preserve">; two </w:t>
      </w:r>
      <w:r>
        <w:rPr>
          <w:rFonts w:hint="cs"/>
          <w:rtl/>
          <w:lang w:bidi="he-IL"/>
        </w:rPr>
        <w:t>עדים</w:t>
      </w:r>
      <w:r>
        <w:rPr>
          <w:lang w:bidi="he-IL"/>
        </w:rPr>
        <w:t xml:space="preserve"> (they may be the same two </w:t>
      </w:r>
      <w:r>
        <w:rPr>
          <w:rFonts w:hint="cs"/>
          <w:rtl/>
          <w:lang w:bidi="he-IL"/>
        </w:rPr>
        <w:t>עדים</w:t>
      </w:r>
      <w:r>
        <w:rPr>
          <w:lang w:bidi="he-IL"/>
        </w:rPr>
        <w:t xml:space="preserve">) are required to be </w:t>
      </w:r>
      <w:r>
        <w:rPr>
          <w:rFonts w:hint="cs"/>
          <w:rtl/>
          <w:lang w:bidi="he-IL"/>
        </w:rPr>
        <w:t>מקיים</w:t>
      </w:r>
      <w:r>
        <w:rPr>
          <w:lang w:bidi="he-IL"/>
        </w:rPr>
        <w:t xml:space="preserve"> each </w:t>
      </w:r>
      <w:r>
        <w:rPr>
          <w:rFonts w:hint="cs"/>
          <w:rtl/>
          <w:lang w:bidi="he-IL"/>
        </w:rPr>
        <w:t>חתימה</w:t>
      </w:r>
      <w:r>
        <w:rPr>
          <w:lang w:bidi="he-IL"/>
        </w:rPr>
        <w:t xml:space="preserve">. The </w:t>
      </w:r>
      <w:r>
        <w:rPr>
          <w:rFonts w:hint="cs"/>
          <w:rtl/>
          <w:lang w:bidi="he-IL"/>
        </w:rPr>
        <w:t>חכמים</w:t>
      </w:r>
      <w:r w:rsidR="006502A8">
        <w:rPr>
          <w:lang w:bidi="he-IL"/>
        </w:rPr>
        <w:t>, however,</w:t>
      </w:r>
      <w:r>
        <w:rPr>
          <w:lang w:bidi="he-IL"/>
        </w:rPr>
        <w:t xml:space="preserve"> maintain that the </w:t>
      </w:r>
      <w:r>
        <w:rPr>
          <w:rFonts w:hint="cs"/>
          <w:rtl/>
          <w:lang w:bidi="he-IL"/>
        </w:rPr>
        <w:t>עדי חתימה</w:t>
      </w:r>
      <w:r>
        <w:rPr>
          <w:lang w:bidi="he-IL"/>
        </w:rPr>
        <w:t xml:space="preserve">, who are being </w:t>
      </w:r>
      <w:r>
        <w:rPr>
          <w:rFonts w:hint="cs"/>
          <w:rtl/>
          <w:lang w:bidi="he-IL"/>
        </w:rPr>
        <w:t>מקיים</w:t>
      </w:r>
      <w:r>
        <w:rPr>
          <w:lang w:bidi="he-IL"/>
        </w:rPr>
        <w:t xml:space="preserve"> the </w:t>
      </w:r>
      <w:r>
        <w:rPr>
          <w:rFonts w:hint="cs"/>
          <w:rtl/>
          <w:lang w:bidi="he-IL"/>
        </w:rPr>
        <w:t>שטר</w:t>
      </w:r>
      <w:r>
        <w:rPr>
          <w:lang w:bidi="he-IL"/>
        </w:rPr>
        <w:t xml:space="preserve"> are (really) confirming what is written in the </w:t>
      </w:r>
      <w:r>
        <w:rPr>
          <w:rFonts w:hint="cs"/>
          <w:rtl/>
          <w:lang w:bidi="he-IL"/>
        </w:rPr>
        <w:t>שטר</w:t>
      </w:r>
      <w:r>
        <w:rPr>
          <w:lang w:bidi="he-IL"/>
        </w:rPr>
        <w:t>.</w:t>
      </w:r>
      <w:r w:rsidR="00243CA4">
        <w:rPr>
          <w:rStyle w:val="FootnoteReference"/>
          <w:lang w:bidi="he-IL"/>
        </w:rPr>
        <w:footnoteReference w:id="1"/>
      </w:r>
      <w:r>
        <w:rPr>
          <w:lang w:bidi="he-IL"/>
        </w:rPr>
        <w:t xml:space="preserve"> </w:t>
      </w:r>
      <w:r w:rsidR="006502A8">
        <w:rPr>
          <w:lang w:bidi="he-IL"/>
        </w:rPr>
        <w:t xml:space="preserve">When two </w:t>
      </w:r>
      <w:r w:rsidR="006502A8">
        <w:rPr>
          <w:rFonts w:hint="cs"/>
          <w:rtl/>
          <w:lang w:bidi="he-IL"/>
        </w:rPr>
        <w:t>עדים</w:t>
      </w:r>
      <w:r w:rsidR="006502A8">
        <w:rPr>
          <w:lang w:bidi="he-IL"/>
        </w:rPr>
        <w:t xml:space="preserve"> testify that the content of the </w:t>
      </w:r>
      <w:r w:rsidR="006502A8">
        <w:rPr>
          <w:rFonts w:hint="cs"/>
          <w:rtl/>
          <w:lang w:bidi="he-IL"/>
        </w:rPr>
        <w:t>שטר</w:t>
      </w:r>
      <w:r w:rsidR="006502A8">
        <w:rPr>
          <w:lang w:bidi="he-IL"/>
        </w:rPr>
        <w:t xml:space="preserve"> is true, that is a valid </w:t>
      </w:r>
      <w:r w:rsidR="006502A8">
        <w:rPr>
          <w:rFonts w:hint="cs"/>
          <w:rtl/>
          <w:lang w:bidi="he-IL"/>
        </w:rPr>
        <w:t>קיום</w:t>
      </w:r>
      <w:r w:rsidR="006502A8">
        <w:rPr>
          <w:lang w:bidi="he-IL"/>
        </w:rPr>
        <w:t>. It is not</w:t>
      </w:r>
      <w:r w:rsidR="009B4C83" w:rsidRPr="009B4C83">
        <w:rPr>
          <w:lang w:bidi="he-IL"/>
        </w:rPr>
        <w:t xml:space="preserve"> </w:t>
      </w:r>
      <w:r w:rsidR="009B4C83">
        <w:rPr>
          <w:lang w:bidi="he-IL"/>
        </w:rPr>
        <w:t>clear, however,</w:t>
      </w:r>
      <w:r w:rsidR="006502A8">
        <w:rPr>
          <w:lang w:bidi="he-IL"/>
        </w:rPr>
        <w:t xml:space="preserve"> why </w:t>
      </w:r>
      <w:r w:rsidR="006502A8">
        <w:rPr>
          <w:rFonts w:hint="cs"/>
          <w:rtl/>
          <w:lang w:bidi="he-IL"/>
        </w:rPr>
        <w:t>רבי ורבנן</w:t>
      </w:r>
      <w:r w:rsidR="006502A8">
        <w:rPr>
          <w:lang w:bidi="he-IL"/>
        </w:rPr>
        <w:t xml:space="preserve"> assume their respective positions. Is it because they judge</w:t>
      </w:r>
      <w:r w:rsidR="009B4C83">
        <w:rPr>
          <w:lang w:bidi="he-IL"/>
        </w:rPr>
        <w:t>d and foun</w:t>
      </w:r>
      <w:r w:rsidR="006502A8">
        <w:rPr>
          <w:lang w:bidi="he-IL"/>
        </w:rPr>
        <w:t xml:space="preserve">d the intent of the </w:t>
      </w:r>
      <w:r w:rsidR="006502A8">
        <w:rPr>
          <w:rFonts w:hint="cs"/>
          <w:rtl/>
          <w:lang w:bidi="he-IL"/>
        </w:rPr>
        <w:t>עדים</w:t>
      </w:r>
      <w:r w:rsidR="006502A8">
        <w:rPr>
          <w:lang w:bidi="he-IL"/>
        </w:rPr>
        <w:t xml:space="preserve"> to be so; or is it something more basic in the application of the </w:t>
      </w:r>
      <w:r w:rsidR="006502A8">
        <w:rPr>
          <w:rFonts w:hint="cs"/>
          <w:rtl/>
          <w:lang w:bidi="he-IL"/>
        </w:rPr>
        <w:t>קיום</w:t>
      </w:r>
      <w:r w:rsidR="006502A8">
        <w:rPr>
          <w:lang w:bidi="he-IL"/>
        </w:rPr>
        <w:t xml:space="preserve"> through </w:t>
      </w:r>
      <w:r w:rsidR="006502A8">
        <w:rPr>
          <w:rFonts w:hint="cs"/>
          <w:rtl/>
          <w:lang w:bidi="he-IL"/>
        </w:rPr>
        <w:t>עדי חתימה</w:t>
      </w:r>
      <w:r w:rsidR="006502A8">
        <w:rPr>
          <w:lang w:bidi="he-IL"/>
        </w:rPr>
        <w:t xml:space="preserve">? Our </w:t>
      </w:r>
      <w:r w:rsidR="006502A8">
        <w:rPr>
          <w:rFonts w:hint="cs"/>
          <w:rtl/>
          <w:lang w:bidi="he-IL"/>
        </w:rPr>
        <w:t>תוספות</w:t>
      </w:r>
      <w:r w:rsidR="006502A8">
        <w:rPr>
          <w:lang w:bidi="he-IL"/>
        </w:rPr>
        <w:t xml:space="preserve"> prefers the latter</w:t>
      </w:r>
      <w:r w:rsidR="000E615A">
        <w:rPr>
          <w:lang w:bidi="he-IL"/>
        </w:rPr>
        <w:t xml:space="preserve"> view</w:t>
      </w:r>
      <w:r w:rsidR="006502A8">
        <w:rPr>
          <w:lang w:bidi="he-IL"/>
        </w:rPr>
        <w:t>.</w:t>
      </w:r>
    </w:p>
    <w:p w:rsidR="00180532" w:rsidRPr="000E615A" w:rsidRDefault="000E615A" w:rsidP="00EA3078">
      <w:pPr>
        <w:bidi/>
        <w:spacing w:line="276" w:lineRule="auto"/>
        <w:jc w:val="center"/>
        <w:rPr>
          <w:sz w:val="24"/>
          <w:szCs w:val="24"/>
          <w:lang w:bidi="he-IL"/>
        </w:rPr>
      </w:pPr>
      <w:r>
        <w:rPr>
          <w:sz w:val="24"/>
          <w:szCs w:val="24"/>
          <w:lang w:bidi="he-IL"/>
        </w:rPr>
        <w:t>-----------------</w:t>
      </w:r>
    </w:p>
    <w:p w:rsidR="00180532" w:rsidRPr="00782957" w:rsidRDefault="00180532" w:rsidP="00EA3078">
      <w:pPr>
        <w:bidi/>
        <w:spacing w:line="276" w:lineRule="auto"/>
        <w:jc w:val="both"/>
        <w:rPr>
          <w:rFonts w:cs="David" w:hint="cs"/>
          <w:b/>
          <w:bCs/>
          <w:rtl/>
          <w:lang w:bidi="he-IL"/>
        </w:rPr>
      </w:pPr>
      <w:r w:rsidRPr="00782957">
        <w:rPr>
          <w:rFonts w:cs="David" w:hint="cs"/>
          <w:b/>
          <w:bCs/>
          <w:rtl/>
          <w:lang w:bidi="he-IL"/>
        </w:rPr>
        <w:t xml:space="preserve">נראה דלרבי אפילו אומרים בפירוש דמעידין על מנה שבשטר </w:t>
      </w:r>
      <w:r w:rsidRPr="00782957">
        <w:rPr>
          <w:rFonts w:cs="David"/>
          <w:b/>
          <w:bCs/>
          <w:rtl/>
          <w:lang w:bidi="he-IL"/>
        </w:rPr>
        <w:t>–</w:t>
      </w:r>
    </w:p>
    <w:p w:rsidR="00180532" w:rsidRPr="00022BC5" w:rsidRDefault="00180532" w:rsidP="00EA3078">
      <w:pPr>
        <w:spacing w:line="276" w:lineRule="auto"/>
        <w:jc w:val="both"/>
        <w:rPr>
          <w:b/>
          <w:bCs/>
          <w:sz w:val="24"/>
          <w:szCs w:val="24"/>
          <w:lang w:bidi="he-IL"/>
        </w:rPr>
      </w:pPr>
      <w:r>
        <w:rPr>
          <w:b/>
          <w:bCs/>
          <w:lang w:bidi="he-IL"/>
        </w:rPr>
        <w:t xml:space="preserve">It seems </w:t>
      </w:r>
      <w:r>
        <w:rPr>
          <w:lang w:bidi="he-IL"/>
        </w:rPr>
        <w:t xml:space="preserve">to </w:t>
      </w:r>
      <w:r>
        <w:rPr>
          <w:rFonts w:hint="cs"/>
          <w:rtl/>
          <w:lang w:bidi="he-IL"/>
        </w:rPr>
        <w:t>תוספות</w:t>
      </w:r>
      <w:r>
        <w:rPr>
          <w:lang w:bidi="he-IL"/>
        </w:rPr>
        <w:t xml:space="preserve"> </w:t>
      </w:r>
      <w:r>
        <w:rPr>
          <w:b/>
          <w:bCs/>
          <w:lang w:bidi="he-IL"/>
        </w:rPr>
        <w:t xml:space="preserve">that according to </w:t>
      </w:r>
      <w:r>
        <w:rPr>
          <w:rFonts w:hint="cs"/>
          <w:b/>
          <w:bCs/>
          <w:rtl/>
          <w:lang w:bidi="he-IL"/>
        </w:rPr>
        <w:t>רבי</w:t>
      </w:r>
      <w:r>
        <w:rPr>
          <w:b/>
          <w:bCs/>
          <w:lang w:bidi="he-IL"/>
        </w:rPr>
        <w:t xml:space="preserve"> </w:t>
      </w:r>
      <w:r w:rsidRPr="00180532">
        <w:rPr>
          <w:lang w:bidi="he-IL"/>
        </w:rPr>
        <w:t>who</w:t>
      </w:r>
      <w:r>
        <w:rPr>
          <w:lang w:bidi="he-IL"/>
        </w:rPr>
        <w:t xml:space="preserve"> maintains that </w:t>
      </w:r>
      <w:r>
        <w:rPr>
          <w:rFonts w:hint="cs"/>
          <w:rtl/>
          <w:lang w:bidi="he-IL"/>
        </w:rPr>
        <w:t>על כתב ידן הן מעידין</w:t>
      </w:r>
      <w:r>
        <w:rPr>
          <w:lang w:bidi="he-IL"/>
        </w:rPr>
        <w:t xml:space="preserve">, then </w:t>
      </w:r>
      <w:r>
        <w:rPr>
          <w:b/>
          <w:bCs/>
          <w:lang w:bidi="he-IL"/>
        </w:rPr>
        <w:t xml:space="preserve">even if </w:t>
      </w:r>
      <w:r>
        <w:rPr>
          <w:lang w:bidi="he-IL"/>
        </w:rPr>
        <w:t xml:space="preserve">the </w:t>
      </w:r>
      <w:r>
        <w:rPr>
          <w:rFonts w:hint="cs"/>
          <w:rtl/>
          <w:lang w:bidi="he-IL"/>
        </w:rPr>
        <w:t>עדים</w:t>
      </w:r>
      <w:r>
        <w:rPr>
          <w:lang w:bidi="he-IL"/>
        </w:rPr>
        <w:t xml:space="preserve"> </w:t>
      </w:r>
      <w:r>
        <w:rPr>
          <w:b/>
          <w:bCs/>
          <w:lang w:bidi="he-IL"/>
        </w:rPr>
        <w:t xml:space="preserve">explicitly state that they are testifying </w:t>
      </w:r>
      <w:r>
        <w:rPr>
          <w:lang w:bidi="he-IL"/>
        </w:rPr>
        <w:t>(not [merely</w:t>
      </w:r>
      <w:r w:rsidR="009B4C83">
        <w:rPr>
          <w:rStyle w:val="FootnoteReference"/>
          <w:lang w:bidi="he-IL"/>
        </w:rPr>
        <w:footnoteReference w:id="2"/>
      </w:r>
      <w:r>
        <w:rPr>
          <w:lang w:bidi="he-IL"/>
        </w:rPr>
        <w:t xml:space="preserve">] on </w:t>
      </w:r>
      <w:r>
        <w:rPr>
          <w:rFonts w:hint="cs"/>
          <w:rtl/>
          <w:lang w:bidi="he-IL"/>
        </w:rPr>
        <w:t>כתב ידן</w:t>
      </w:r>
      <w:r>
        <w:rPr>
          <w:lang w:bidi="he-IL"/>
        </w:rPr>
        <w:t>, but rather</w:t>
      </w:r>
      <w:r w:rsidR="00DB22B6">
        <w:rPr>
          <w:lang w:bidi="he-IL"/>
        </w:rPr>
        <w:t xml:space="preserve"> [also]</w:t>
      </w:r>
      <w:r>
        <w:rPr>
          <w:lang w:bidi="he-IL"/>
        </w:rPr>
        <w:t xml:space="preserve">) </w:t>
      </w:r>
      <w:r>
        <w:rPr>
          <w:b/>
          <w:bCs/>
          <w:lang w:bidi="he-IL"/>
        </w:rPr>
        <w:t xml:space="preserve">on the </w:t>
      </w:r>
      <w:r>
        <w:rPr>
          <w:lang w:bidi="he-IL"/>
        </w:rPr>
        <w:t xml:space="preserve">loan of the </w:t>
      </w:r>
      <w:r>
        <w:rPr>
          <w:rFonts w:hint="cs"/>
          <w:b/>
          <w:bCs/>
          <w:rtl/>
          <w:lang w:bidi="he-IL"/>
        </w:rPr>
        <w:t>מנה</w:t>
      </w:r>
      <w:r>
        <w:rPr>
          <w:b/>
          <w:bCs/>
          <w:lang w:bidi="he-IL"/>
        </w:rPr>
        <w:t xml:space="preserve"> </w:t>
      </w:r>
      <w:r>
        <w:rPr>
          <w:lang w:bidi="he-IL"/>
        </w:rPr>
        <w:t xml:space="preserve">which is written </w:t>
      </w:r>
      <w:r>
        <w:rPr>
          <w:b/>
          <w:bCs/>
          <w:lang w:bidi="he-IL"/>
        </w:rPr>
        <w:t xml:space="preserve">in the </w:t>
      </w:r>
      <w:r>
        <w:rPr>
          <w:rFonts w:hint="cs"/>
          <w:b/>
          <w:bCs/>
          <w:rtl/>
          <w:lang w:bidi="he-IL"/>
        </w:rPr>
        <w:t>שטר</w:t>
      </w:r>
      <w:r w:rsidR="001E30A0">
        <w:rPr>
          <w:lang w:bidi="he-IL"/>
        </w:rPr>
        <w:t xml:space="preserve">, </w:t>
      </w:r>
      <w:r w:rsidR="001E30A0" w:rsidRPr="00022BC5">
        <w:rPr>
          <w:sz w:val="24"/>
          <w:szCs w:val="24"/>
          <w:lang w:bidi="he-IL"/>
        </w:rPr>
        <w:t>nevertheless</w:t>
      </w:r>
      <w:r w:rsidRPr="00022BC5">
        <w:rPr>
          <w:sz w:val="24"/>
          <w:szCs w:val="24"/>
          <w:lang w:bidi="he-IL"/>
        </w:rPr>
        <w:t xml:space="preserve"> -</w:t>
      </w:r>
      <w:r w:rsidRPr="00022BC5">
        <w:rPr>
          <w:b/>
          <w:bCs/>
          <w:sz w:val="24"/>
          <w:szCs w:val="24"/>
          <w:lang w:bidi="he-IL"/>
        </w:rPr>
        <w:t xml:space="preserve"> </w:t>
      </w:r>
    </w:p>
    <w:p w:rsidR="00180532" w:rsidRPr="00782957" w:rsidRDefault="00180532" w:rsidP="00EA3078">
      <w:pPr>
        <w:bidi/>
        <w:spacing w:line="276" w:lineRule="auto"/>
        <w:jc w:val="both"/>
        <w:rPr>
          <w:rFonts w:cs="David" w:hint="cs"/>
          <w:b/>
          <w:bCs/>
          <w:rtl/>
          <w:lang w:bidi="he-IL"/>
        </w:rPr>
      </w:pPr>
      <w:r w:rsidRPr="00782957">
        <w:rPr>
          <w:rFonts w:cs="David" w:hint="cs"/>
          <w:b/>
          <w:bCs/>
          <w:rtl/>
          <w:lang w:bidi="he-IL"/>
        </w:rPr>
        <w:t xml:space="preserve">חשיב כאילו מעידין על כתב ידן </w:t>
      </w:r>
      <w:r w:rsidR="001E30A0" w:rsidRPr="00782957">
        <w:rPr>
          <w:rFonts w:cs="David"/>
          <w:b/>
          <w:bCs/>
          <w:rtl/>
          <w:lang w:bidi="he-IL"/>
        </w:rPr>
        <w:t>–</w:t>
      </w:r>
    </w:p>
    <w:p w:rsidR="001E30A0" w:rsidRPr="00022BC5" w:rsidRDefault="001E30A0" w:rsidP="00DA4292">
      <w:pPr>
        <w:spacing w:line="276" w:lineRule="auto"/>
        <w:jc w:val="both"/>
        <w:rPr>
          <w:sz w:val="24"/>
          <w:szCs w:val="24"/>
          <w:lang w:bidi="he-IL"/>
        </w:rPr>
      </w:pPr>
      <w:r>
        <w:rPr>
          <w:b/>
          <w:bCs/>
          <w:lang w:bidi="he-IL"/>
        </w:rPr>
        <w:t xml:space="preserve">It is considered as if they are testifying </w:t>
      </w:r>
      <w:r>
        <w:rPr>
          <w:lang w:bidi="he-IL"/>
        </w:rPr>
        <w:t xml:space="preserve">(only) </w:t>
      </w:r>
      <w:r w:rsidRPr="001E30A0">
        <w:rPr>
          <w:b/>
          <w:bCs/>
          <w:lang w:bidi="he-IL"/>
        </w:rPr>
        <w:t>about their signatures</w:t>
      </w:r>
      <w:r w:rsidR="006502A8">
        <w:rPr>
          <w:lang w:bidi="he-IL"/>
        </w:rPr>
        <w:t xml:space="preserve"> </w:t>
      </w:r>
      <w:r w:rsidR="006502A8" w:rsidRPr="00022BC5">
        <w:rPr>
          <w:sz w:val="24"/>
          <w:szCs w:val="24"/>
          <w:lang w:bidi="he-IL"/>
        </w:rPr>
        <w:t xml:space="preserve">(and two </w:t>
      </w:r>
      <w:r w:rsidR="006502A8" w:rsidRPr="00022BC5">
        <w:rPr>
          <w:rFonts w:hint="cs"/>
          <w:sz w:val="24"/>
          <w:szCs w:val="24"/>
          <w:rtl/>
          <w:lang w:bidi="he-IL"/>
        </w:rPr>
        <w:t>עדים</w:t>
      </w:r>
      <w:r w:rsidR="006502A8" w:rsidRPr="00022BC5">
        <w:rPr>
          <w:sz w:val="24"/>
          <w:szCs w:val="24"/>
          <w:lang w:bidi="he-IL"/>
        </w:rPr>
        <w:t xml:space="preserve"> are required for each </w:t>
      </w:r>
      <w:r w:rsidR="006502A8" w:rsidRPr="00022BC5">
        <w:rPr>
          <w:rFonts w:hint="cs"/>
          <w:sz w:val="24"/>
          <w:szCs w:val="24"/>
          <w:rtl/>
          <w:lang w:bidi="he-IL"/>
        </w:rPr>
        <w:t>חתימה</w:t>
      </w:r>
      <w:r w:rsidR="006502A8" w:rsidRPr="00022BC5">
        <w:rPr>
          <w:sz w:val="24"/>
          <w:szCs w:val="24"/>
          <w:lang w:bidi="he-IL"/>
        </w:rPr>
        <w:t>)</w:t>
      </w:r>
      <w:r w:rsidRPr="00022BC5">
        <w:rPr>
          <w:b/>
          <w:bCs/>
          <w:sz w:val="24"/>
          <w:szCs w:val="24"/>
          <w:lang w:bidi="he-IL"/>
        </w:rPr>
        <w:t>.</w:t>
      </w:r>
      <w:r w:rsidR="00DA4292" w:rsidRPr="00DA4292">
        <w:rPr>
          <w:rStyle w:val="FootnoteReference"/>
          <w:sz w:val="24"/>
          <w:szCs w:val="24"/>
          <w:rtl/>
          <w:lang w:bidi="he-IL"/>
        </w:rPr>
        <w:t xml:space="preserve"> </w:t>
      </w:r>
      <w:r w:rsidR="00DA4292">
        <w:rPr>
          <w:rStyle w:val="FootnoteReference"/>
          <w:sz w:val="24"/>
          <w:szCs w:val="24"/>
          <w:rtl/>
          <w:lang w:bidi="he-IL"/>
        </w:rPr>
        <w:footnoteReference w:id="3"/>
      </w:r>
    </w:p>
    <w:p w:rsidR="00180532" w:rsidRPr="00782957" w:rsidRDefault="00180532" w:rsidP="00782957">
      <w:pPr>
        <w:widowControl w:val="0"/>
        <w:bidi/>
        <w:spacing w:line="276" w:lineRule="auto"/>
        <w:jc w:val="both"/>
        <w:rPr>
          <w:rFonts w:cs="David" w:hint="cs"/>
          <w:b/>
          <w:bCs/>
          <w:rtl/>
          <w:lang w:bidi="he-IL"/>
        </w:rPr>
      </w:pPr>
      <w:r w:rsidRPr="00782957">
        <w:rPr>
          <w:rFonts w:cs="David" w:hint="cs"/>
          <w:b/>
          <w:bCs/>
          <w:rtl/>
          <w:lang w:bidi="he-IL"/>
        </w:rPr>
        <w:t>וכן לרבנן אפילו אומרים בהדיא דעל כתב ידן הן מעידין</w:t>
      </w:r>
      <w:r w:rsidR="00EA3078" w:rsidRPr="00782957">
        <w:rPr>
          <w:rStyle w:val="FootnoteReference"/>
          <w:rFonts w:cs="David"/>
          <w:b/>
          <w:bCs/>
          <w:lang w:bidi="he-IL"/>
        </w:rPr>
        <w:footnoteReference w:id="4"/>
      </w:r>
      <w:r w:rsidRPr="00782957">
        <w:rPr>
          <w:rFonts w:cs="David" w:hint="cs"/>
          <w:b/>
          <w:bCs/>
          <w:rtl/>
          <w:lang w:bidi="he-IL"/>
        </w:rPr>
        <w:t xml:space="preserve"> </w:t>
      </w:r>
      <w:r w:rsidR="001E30A0" w:rsidRPr="00782957">
        <w:rPr>
          <w:rFonts w:cs="David"/>
          <w:b/>
          <w:bCs/>
          <w:rtl/>
          <w:lang w:bidi="he-IL"/>
        </w:rPr>
        <w:t>–</w:t>
      </w:r>
    </w:p>
    <w:p w:rsidR="001E30A0" w:rsidRDefault="001E30A0" w:rsidP="00782957">
      <w:pPr>
        <w:widowControl w:val="0"/>
        <w:spacing w:line="276" w:lineRule="auto"/>
        <w:jc w:val="both"/>
        <w:rPr>
          <w:rFonts w:hint="cs"/>
          <w:sz w:val="24"/>
          <w:szCs w:val="24"/>
          <w:rtl/>
          <w:lang w:bidi="he-IL"/>
        </w:rPr>
      </w:pPr>
      <w:r>
        <w:rPr>
          <w:b/>
          <w:bCs/>
          <w:lang w:bidi="he-IL"/>
        </w:rPr>
        <w:t xml:space="preserve">And similarly, according to the </w:t>
      </w:r>
      <w:r>
        <w:rPr>
          <w:rFonts w:hint="cs"/>
          <w:b/>
          <w:bCs/>
          <w:rtl/>
          <w:lang w:bidi="he-IL"/>
        </w:rPr>
        <w:t>רבנן</w:t>
      </w:r>
      <w:r>
        <w:rPr>
          <w:b/>
          <w:bCs/>
          <w:lang w:bidi="he-IL"/>
        </w:rPr>
        <w:t xml:space="preserve"> </w:t>
      </w:r>
      <w:r>
        <w:rPr>
          <w:lang w:bidi="he-IL"/>
        </w:rPr>
        <w:t xml:space="preserve">who maintain that </w:t>
      </w:r>
      <w:r w:rsidR="00DB22B6">
        <w:rPr>
          <w:rFonts w:hint="cs"/>
          <w:rtl/>
          <w:lang w:bidi="he-IL"/>
        </w:rPr>
        <w:t xml:space="preserve">על </w:t>
      </w:r>
      <w:r>
        <w:rPr>
          <w:rFonts w:hint="cs"/>
          <w:rtl/>
          <w:lang w:bidi="he-IL"/>
        </w:rPr>
        <w:t xml:space="preserve">מנה שבשטר הן </w:t>
      </w:r>
      <w:r>
        <w:rPr>
          <w:rFonts w:hint="cs"/>
          <w:rtl/>
          <w:lang w:bidi="he-IL"/>
        </w:rPr>
        <w:lastRenderedPageBreak/>
        <w:t>מעידין</w:t>
      </w:r>
      <w:r>
        <w:rPr>
          <w:lang w:bidi="he-IL"/>
        </w:rPr>
        <w:t xml:space="preserve">, </w:t>
      </w:r>
      <w:r>
        <w:rPr>
          <w:b/>
          <w:bCs/>
          <w:lang w:bidi="he-IL"/>
        </w:rPr>
        <w:t xml:space="preserve">even if </w:t>
      </w:r>
      <w:r>
        <w:rPr>
          <w:lang w:bidi="he-IL"/>
        </w:rPr>
        <w:t xml:space="preserve">the </w:t>
      </w:r>
      <w:r>
        <w:rPr>
          <w:rFonts w:hint="cs"/>
          <w:rtl/>
          <w:lang w:bidi="he-IL"/>
        </w:rPr>
        <w:t>עדים</w:t>
      </w:r>
      <w:r>
        <w:rPr>
          <w:lang w:bidi="he-IL"/>
        </w:rPr>
        <w:t xml:space="preserve"> </w:t>
      </w:r>
      <w:r>
        <w:rPr>
          <w:b/>
          <w:bCs/>
          <w:lang w:bidi="he-IL"/>
        </w:rPr>
        <w:t xml:space="preserve">openly declare that they are </w:t>
      </w:r>
      <w:r>
        <w:rPr>
          <w:lang w:bidi="he-IL"/>
        </w:rPr>
        <w:t xml:space="preserve">merely </w:t>
      </w:r>
      <w:r>
        <w:rPr>
          <w:b/>
          <w:bCs/>
          <w:lang w:bidi="he-IL"/>
        </w:rPr>
        <w:t>testifying about their signatures,</w:t>
      </w:r>
      <w:r>
        <w:rPr>
          <w:lang w:bidi="he-IL"/>
        </w:rPr>
        <w:t xml:space="preserve"> </w:t>
      </w:r>
      <w:r w:rsidRPr="00022BC5">
        <w:rPr>
          <w:sz w:val="24"/>
          <w:szCs w:val="24"/>
          <w:lang w:bidi="he-IL"/>
        </w:rPr>
        <w:t xml:space="preserve">nevertheless it is considered that they are testifying </w:t>
      </w:r>
      <w:r w:rsidR="004A07DD">
        <w:rPr>
          <w:rFonts w:hint="cs"/>
          <w:sz w:val="24"/>
          <w:szCs w:val="24"/>
          <w:rtl/>
          <w:lang w:bidi="he-IL"/>
        </w:rPr>
        <w:t xml:space="preserve">על </w:t>
      </w:r>
      <w:r w:rsidRPr="00022BC5">
        <w:rPr>
          <w:rFonts w:hint="cs"/>
          <w:sz w:val="24"/>
          <w:szCs w:val="24"/>
          <w:rtl/>
          <w:lang w:bidi="he-IL"/>
        </w:rPr>
        <w:t>מנה שבשטר</w:t>
      </w:r>
      <w:r w:rsidR="006502A8" w:rsidRPr="00022BC5">
        <w:rPr>
          <w:sz w:val="24"/>
          <w:szCs w:val="24"/>
          <w:lang w:bidi="he-IL"/>
        </w:rPr>
        <w:t xml:space="preserve"> (and each </w:t>
      </w:r>
      <w:r w:rsidR="006502A8" w:rsidRPr="00022BC5">
        <w:rPr>
          <w:rFonts w:hint="cs"/>
          <w:sz w:val="24"/>
          <w:szCs w:val="24"/>
          <w:rtl/>
          <w:lang w:bidi="he-IL"/>
        </w:rPr>
        <w:t>עד</w:t>
      </w:r>
      <w:r w:rsidR="006502A8" w:rsidRPr="00022BC5">
        <w:rPr>
          <w:sz w:val="24"/>
          <w:szCs w:val="24"/>
          <w:lang w:bidi="he-IL"/>
        </w:rPr>
        <w:t xml:space="preserve"> can </w:t>
      </w:r>
      <w:r w:rsidR="00022BC5" w:rsidRPr="00022BC5">
        <w:rPr>
          <w:sz w:val="24"/>
          <w:szCs w:val="24"/>
          <w:lang w:bidi="he-IL"/>
        </w:rPr>
        <w:t xml:space="preserve">be </w:t>
      </w:r>
      <w:r w:rsidR="00022BC5" w:rsidRPr="00022BC5">
        <w:rPr>
          <w:rFonts w:hint="cs"/>
          <w:sz w:val="24"/>
          <w:szCs w:val="24"/>
          <w:rtl/>
          <w:lang w:bidi="he-IL"/>
        </w:rPr>
        <w:t>מקיים</w:t>
      </w:r>
      <w:r w:rsidR="006502A8" w:rsidRPr="00022BC5">
        <w:rPr>
          <w:sz w:val="24"/>
          <w:szCs w:val="24"/>
          <w:lang w:bidi="he-IL"/>
        </w:rPr>
        <w:t xml:space="preserve"> his own </w:t>
      </w:r>
      <w:r w:rsidR="006502A8" w:rsidRPr="00022BC5">
        <w:rPr>
          <w:rFonts w:hint="cs"/>
          <w:sz w:val="24"/>
          <w:szCs w:val="24"/>
          <w:rtl/>
          <w:lang w:bidi="he-IL"/>
        </w:rPr>
        <w:t>חתימה</w:t>
      </w:r>
      <w:r w:rsidR="000A6992">
        <w:rPr>
          <w:rStyle w:val="FootnoteReference"/>
          <w:sz w:val="24"/>
          <w:szCs w:val="24"/>
          <w:rtl/>
          <w:lang w:bidi="he-IL"/>
        </w:rPr>
        <w:footnoteReference w:id="5"/>
      </w:r>
      <w:r w:rsidR="006502A8" w:rsidRPr="00022BC5">
        <w:rPr>
          <w:sz w:val="24"/>
          <w:szCs w:val="24"/>
          <w:lang w:bidi="he-IL"/>
        </w:rPr>
        <w:t>)</w:t>
      </w:r>
      <w:r w:rsidRPr="00022BC5">
        <w:rPr>
          <w:sz w:val="24"/>
          <w:szCs w:val="24"/>
          <w:lang w:bidi="he-IL"/>
        </w:rPr>
        <w:t>.</w:t>
      </w:r>
      <w:r w:rsidRPr="00022BC5">
        <w:rPr>
          <w:rStyle w:val="FootnoteReference"/>
          <w:sz w:val="24"/>
          <w:szCs w:val="24"/>
          <w:lang w:bidi="he-IL"/>
        </w:rPr>
        <w:footnoteReference w:id="6"/>
      </w:r>
    </w:p>
    <w:p w:rsidR="00EA3078" w:rsidRPr="00022BC5" w:rsidRDefault="00EA3078" w:rsidP="00782957">
      <w:pPr>
        <w:widowControl w:val="0"/>
        <w:spacing w:line="276" w:lineRule="auto"/>
        <w:jc w:val="both"/>
        <w:rPr>
          <w:sz w:val="24"/>
          <w:szCs w:val="24"/>
          <w:lang w:bidi="he-IL"/>
        </w:rPr>
      </w:pPr>
    </w:p>
    <w:p w:rsidR="00535E2B" w:rsidRPr="00022BC5" w:rsidRDefault="00535E2B" w:rsidP="00782957">
      <w:pPr>
        <w:widowControl w:val="0"/>
        <w:spacing w:line="276" w:lineRule="auto"/>
        <w:jc w:val="both"/>
        <w:rPr>
          <w:sz w:val="24"/>
          <w:szCs w:val="24"/>
          <w:lang w:bidi="he-IL"/>
        </w:rPr>
      </w:pPr>
      <w:r w:rsidRPr="00022BC5">
        <w:rPr>
          <w:rFonts w:hint="cs"/>
          <w:sz w:val="24"/>
          <w:szCs w:val="24"/>
          <w:rtl/>
          <w:lang w:bidi="he-IL"/>
        </w:rPr>
        <w:t>תוספות</w:t>
      </w:r>
      <w:r w:rsidRPr="00022BC5">
        <w:rPr>
          <w:sz w:val="24"/>
          <w:szCs w:val="24"/>
          <w:lang w:bidi="he-IL"/>
        </w:rPr>
        <w:t xml:space="preserve"> proves his assertion that stating a change of intent is irrelevant:</w:t>
      </w:r>
    </w:p>
    <w:p w:rsidR="00535E2B" w:rsidRPr="00782957" w:rsidRDefault="00180532" w:rsidP="00EA3078">
      <w:pPr>
        <w:bidi/>
        <w:spacing w:line="276" w:lineRule="auto"/>
        <w:jc w:val="both"/>
        <w:rPr>
          <w:rFonts w:cs="David" w:hint="cs"/>
          <w:b/>
          <w:bCs/>
          <w:rtl/>
          <w:lang w:bidi="he-IL"/>
        </w:rPr>
      </w:pPr>
      <w:r w:rsidRPr="00782957">
        <w:rPr>
          <w:rFonts w:cs="David" w:hint="cs"/>
          <w:b/>
          <w:bCs/>
          <w:rtl/>
          <w:lang w:bidi="he-IL"/>
        </w:rPr>
        <w:t>דאמרינן בסמוך ואי ליכא תרי אלא חד היכי נעביד</w:t>
      </w:r>
      <w:r w:rsidR="00535E2B" w:rsidRPr="00782957">
        <w:rPr>
          <w:rFonts w:cs="David" w:hint="cs"/>
          <w:b/>
          <w:bCs/>
          <w:rtl/>
          <w:lang w:bidi="he-IL"/>
        </w:rPr>
        <w:t xml:space="preserve"> </w:t>
      </w:r>
      <w:r w:rsidR="00535E2B" w:rsidRPr="00782957">
        <w:rPr>
          <w:rFonts w:cs="David"/>
          <w:b/>
          <w:bCs/>
          <w:rtl/>
          <w:lang w:bidi="he-IL"/>
        </w:rPr>
        <w:t>–</w:t>
      </w:r>
    </w:p>
    <w:p w:rsidR="00180532" w:rsidRPr="00022BC5" w:rsidRDefault="00535E2B" w:rsidP="00EA3078">
      <w:pPr>
        <w:spacing w:line="276" w:lineRule="auto"/>
        <w:jc w:val="both"/>
        <w:rPr>
          <w:sz w:val="24"/>
          <w:szCs w:val="24"/>
          <w:lang w:bidi="he-IL"/>
        </w:rPr>
      </w:pPr>
      <w:r>
        <w:rPr>
          <w:b/>
          <w:bCs/>
          <w:lang w:bidi="he-IL"/>
        </w:rPr>
        <w:t xml:space="preserve">For </w:t>
      </w:r>
      <w:r>
        <w:rPr>
          <w:lang w:bidi="he-IL"/>
        </w:rPr>
        <w:t xml:space="preserve">the </w:t>
      </w:r>
      <w:r>
        <w:rPr>
          <w:rFonts w:hint="cs"/>
          <w:rtl/>
          <w:lang w:bidi="he-IL"/>
        </w:rPr>
        <w:t>גמרא</w:t>
      </w:r>
      <w:r>
        <w:rPr>
          <w:lang w:bidi="he-IL"/>
        </w:rPr>
        <w:t xml:space="preserve"> </w:t>
      </w:r>
      <w:r>
        <w:rPr>
          <w:b/>
          <w:bCs/>
          <w:lang w:bidi="he-IL"/>
        </w:rPr>
        <w:t>shortly discusses</w:t>
      </w:r>
      <w:r w:rsidR="00163C1B">
        <w:rPr>
          <w:b/>
          <w:bCs/>
          <w:lang w:bidi="he-IL"/>
        </w:rPr>
        <w:t>:</w:t>
      </w:r>
      <w:r>
        <w:rPr>
          <w:b/>
          <w:bCs/>
          <w:lang w:bidi="he-IL"/>
        </w:rPr>
        <w:t xml:space="preserve"> ‘what should be done if there are no two</w:t>
      </w:r>
      <w:r w:rsidR="00163C1B">
        <w:rPr>
          <w:b/>
          <w:bCs/>
          <w:lang w:bidi="he-IL"/>
        </w:rPr>
        <w:t xml:space="preserve"> </w:t>
      </w:r>
      <w:r w:rsidR="00163C1B">
        <w:rPr>
          <w:lang w:bidi="he-IL"/>
        </w:rPr>
        <w:t>outside</w:t>
      </w:r>
      <w:r>
        <w:rPr>
          <w:b/>
          <w:bCs/>
          <w:lang w:bidi="he-IL"/>
        </w:rPr>
        <w:t xml:space="preserve"> </w:t>
      </w:r>
      <w:r>
        <w:rPr>
          <w:rFonts w:hint="cs"/>
          <w:b/>
          <w:bCs/>
          <w:rtl/>
          <w:lang w:bidi="he-IL"/>
        </w:rPr>
        <w:t>עדים</w:t>
      </w:r>
      <w:r w:rsidR="00163C1B">
        <w:rPr>
          <w:b/>
          <w:bCs/>
          <w:lang w:bidi="he-IL"/>
        </w:rPr>
        <w:t xml:space="preserve"> </w:t>
      </w:r>
      <w:r w:rsidR="00163C1B">
        <w:rPr>
          <w:lang w:bidi="he-IL"/>
        </w:rPr>
        <w:t xml:space="preserve">who recognize the signature of one of the signers; </w:t>
      </w:r>
      <w:r w:rsidR="00163C1B">
        <w:rPr>
          <w:b/>
          <w:bCs/>
          <w:lang w:bidi="he-IL"/>
        </w:rPr>
        <w:t xml:space="preserve">rather there is only one </w:t>
      </w:r>
      <w:r w:rsidR="00163C1B" w:rsidRPr="00022BC5">
        <w:rPr>
          <w:rFonts w:hint="cs"/>
          <w:sz w:val="24"/>
          <w:szCs w:val="24"/>
          <w:rtl/>
          <w:lang w:bidi="he-IL"/>
        </w:rPr>
        <w:t>עד</w:t>
      </w:r>
      <w:r w:rsidR="00163C1B" w:rsidRPr="00022BC5">
        <w:rPr>
          <w:sz w:val="24"/>
          <w:szCs w:val="24"/>
          <w:lang w:bidi="he-IL"/>
        </w:rPr>
        <w:t xml:space="preserve"> who recognizes his signature’</w:t>
      </w:r>
      <w:r w:rsidR="00EA3078">
        <w:rPr>
          <w:sz w:val="24"/>
          <w:szCs w:val="24"/>
          <w:lang w:bidi="he-IL"/>
        </w:rPr>
        <w:t>.</w:t>
      </w:r>
      <w:r w:rsidR="005C66A0" w:rsidRPr="00022BC5">
        <w:rPr>
          <w:rStyle w:val="FootnoteReference"/>
          <w:sz w:val="24"/>
          <w:szCs w:val="24"/>
          <w:lang w:bidi="he-IL"/>
        </w:rPr>
        <w:footnoteReference w:id="7"/>
      </w:r>
      <w:r w:rsidR="00163C1B" w:rsidRPr="00022BC5">
        <w:rPr>
          <w:sz w:val="24"/>
          <w:szCs w:val="24"/>
          <w:lang w:bidi="he-IL"/>
        </w:rPr>
        <w:t xml:space="preserve"> The fact that this is problematic –</w:t>
      </w:r>
    </w:p>
    <w:p w:rsidR="00180532" w:rsidRPr="00782957" w:rsidRDefault="00180532" w:rsidP="00EA3078">
      <w:pPr>
        <w:bidi/>
        <w:spacing w:line="276" w:lineRule="auto"/>
        <w:jc w:val="both"/>
        <w:rPr>
          <w:rFonts w:cs="David" w:hint="cs"/>
          <w:b/>
          <w:bCs/>
          <w:rtl/>
          <w:lang w:bidi="he-IL"/>
        </w:rPr>
      </w:pPr>
      <w:r w:rsidRPr="00782957">
        <w:rPr>
          <w:rFonts w:cs="David" w:hint="cs"/>
          <w:b/>
          <w:bCs/>
          <w:rtl/>
          <w:lang w:bidi="he-IL"/>
        </w:rPr>
        <w:t>משמע דלא יועיל לרבנן אם יעידו בהדיא על כתב ידן</w:t>
      </w:r>
      <w:r w:rsidR="00163C1B" w:rsidRPr="00782957">
        <w:rPr>
          <w:rFonts w:cs="David" w:hint="cs"/>
          <w:b/>
          <w:bCs/>
          <w:rtl/>
          <w:lang w:bidi="he-IL"/>
        </w:rPr>
        <w:t xml:space="preserve"> </w:t>
      </w:r>
      <w:r w:rsidR="00163C1B" w:rsidRPr="00782957">
        <w:rPr>
          <w:rFonts w:cs="David"/>
          <w:b/>
          <w:bCs/>
          <w:rtl/>
          <w:lang w:bidi="he-IL"/>
        </w:rPr>
        <w:t>–</w:t>
      </w:r>
    </w:p>
    <w:p w:rsidR="00022BC5" w:rsidRDefault="005C66A0" w:rsidP="00EA3078">
      <w:pPr>
        <w:spacing w:line="276" w:lineRule="auto"/>
        <w:jc w:val="both"/>
        <w:rPr>
          <w:sz w:val="24"/>
          <w:szCs w:val="24"/>
          <w:lang w:bidi="he-IL"/>
        </w:rPr>
      </w:pPr>
      <w:r>
        <w:rPr>
          <w:b/>
          <w:bCs/>
          <w:lang w:bidi="he-IL"/>
        </w:rPr>
        <w:t>i</w:t>
      </w:r>
      <w:r w:rsidR="00163C1B">
        <w:rPr>
          <w:b/>
          <w:bCs/>
          <w:lang w:bidi="he-IL"/>
        </w:rPr>
        <w:t xml:space="preserve">ndicates that </w:t>
      </w:r>
      <w:r w:rsidR="00163C1B">
        <w:rPr>
          <w:lang w:bidi="he-IL"/>
        </w:rPr>
        <w:t xml:space="preserve">even </w:t>
      </w:r>
      <w:r w:rsidR="00163C1B">
        <w:rPr>
          <w:b/>
          <w:bCs/>
          <w:lang w:bidi="he-IL"/>
        </w:rPr>
        <w:t xml:space="preserve">if </w:t>
      </w:r>
      <w:r w:rsidR="00163C1B">
        <w:rPr>
          <w:lang w:bidi="he-IL"/>
        </w:rPr>
        <w:t xml:space="preserve">the </w:t>
      </w:r>
      <w:r w:rsidR="00163C1B">
        <w:rPr>
          <w:rFonts w:hint="cs"/>
          <w:rtl/>
          <w:lang w:bidi="he-IL"/>
        </w:rPr>
        <w:t>עדים</w:t>
      </w:r>
      <w:r w:rsidR="00163C1B">
        <w:rPr>
          <w:lang w:bidi="he-IL"/>
        </w:rPr>
        <w:t xml:space="preserve"> </w:t>
      </w:r>
      <w:r w:rsidR="00163C1B">
        <w:rPr>
          <w:b/>
          <w:bCs/>
          <w:lang w:bidi="he-IL"/>
        </w:rPr>
        <w:t xml:space="preserve">will explicitly testify concerning their signatures </w:t>
      </w:r>
      <w:r w:rsidR="00163C1B">
        <w:rPr>
          <w:lang w:bidi="he-IL"/>
        </w:rPr>
        <w:t xml:space="preserve">only, </w:t>
      </w:r>
      <w:r w:rsidR="00163C1B">
        <w:rPr>
          <w:b/>
          <w:bCs/>
          <w:lang w:bidi="he-IL"/>
        </w:rPr>
        <w:t xml:space="preserve">it will be of no avail </w:t>
      </w:r>
      <w:r w:rsidR="00163C1B" w:rsidRPr="00022BC5">
        <w:rPr>
          <w:sz w:val="24"/>
          <w:szCs w:val="24"/>
          <w:lang w:bidi="he-IL"/>
        </w:rPr>
        <w:t xml:space="preserve">to </w:t>
      </w:r>
      <w:r w:rsidR="00022BC5">
        <w:rPr>
          <w:sz w:val="24"/>
          <w:szCs w:val="24"/>
          <w:lang w:bidi="he-IL"/>
        </w:rPr>
        <w:t>change the t</w:t>
      </w:r>
      <w:r w:rsidR="00811362">
        <w:rPr>
          <w:sz w:val="24"/>
          <w:szCs w:val="24"/>
          <w:lang w:bidi="he-IL"/>
        </w:rPr>
        <w:t>h</w:t>
      </w:r>
      <w:r w:rsidR="00022BC5">
        <w:rPr>
          <w:sz w:val="24"/>
          <w:szCs w:val="24"/>
          <w:lang w:bidi="he-IL"/>
        </w:rPr>
        <w:t xml:space="preserve">rust of their testimony from </w:t>
      </w:r>
      <w:r w:rsidR="00022BC5">
        <w:rPr>
          <w:rFonts w:hint="cs"/>
          <w:sz w:val="24"/>
          <w:szCs w:val="24"/>
          <w:rtl/>
          <w:lang w:bidi="he-IL"/>
        </w:rPr>
        <w:t>מנה שבשטר</w:t>
      </w:r>
      <w:r w:rsidR="00022BC5">
        <w:rPr>
          <w:sz w:val="24"/>
          <w:szCs w:val="24"/>
          <w:lang w:bidi="he-IL"/>
        </w:rPr>
        <w:t xml:space="preserve"> to </w:t>
      </w:r>
      <w:r w:rsidR="00022BC5">
        <w:rPr>
          <w:rFonts w:hint="cs"/>
          <w:sz w:val="24"/>
          <w:szCs w:val="24"/>
          <w:rtl/>
          <w:lang w:bidi="he-IL"/>
        </w:rPr>
        <w:t>כתב ידן</w:t>
      </w:r>
      <w:r w:rsidR="00163C1B" w:rsidRPr="00022BC5">
        <w:rPr>
          <w:sz w:val="24"/>
          <w:szCs w:val="24"/>
          <w:lang w:bidi="he-IL"/>
        </w:rPr>
        <w:t>.</w:t>
      </w:r>
      <w:r w:rsidRPr="00022BC5">
        <w:rPr>
          <w:sz w:val="24"/>
          <w:szCs w:val="24"/>
          <w:lang w:bidi="he-IL"/>
        </w:rPr>
        <w:t xml:space="preserve"> Otherwise</w:t>
      </w:r>
      <w:r w:rsidR="00ED65C9">
        <w:rPr>
          <w:sz w:val="24"/>
          <w:szCs w:val="24"/>
          <w:lang w:bidi="he-IL"/>
        </w:rPr>
        <w:t xml:space="preserve"> (the </w:t>
      </w:r>
      <w:r w:rsidR="00ED65C9">
        <w:rPr>
          <w:rFonts w:hint="cs"/>
          <w:sz w:val="24"/>
          <w:szCs w:val="24"/>
          <w:rtl/>
          <w:lang w:bidi="he-IL"/>
        </w:rPr>
        <w:t>גמרא</w:t>
      </w:r>
      <w:r w:rsidR="00ED65C9">
        <w:rPr>
          <w:sz w:val="24"/>
          <w:szCs w:val="24"/>
          <w:lang w:bidi="he-IL"/>
        </w:rPr>
        <w:t xml:space="preserve"> should have answered)</w:t>
      </w:r>
      <w:r w:rsidRPr="00022BC5">
        <w:rPr>
          <w:sz w:val="24"/>
          <w:szCs w:val="24"/>
          <w:lang w:bidi="he-IL"/>
        </w:rPr>
        <w:t xml:space="preserve"> let the </w:t>
      </w:r>
      <w:r w:rsidR="00DB22B6" w:rsidRPr="00022BC5">
        <w:rPr>
          <w:sz w:val="24"/>
          <w:szCs w:val="24"/>
          <w:lang w:bidi="he-IL"/>
        </w:rPr>
        <w:t xml:space="preserve">surviving </w:t>
      </w:r>
      <w:r w:rsidR="00DB22B6" w:rsidRPr="00022BC5">
        <w:rPr>
          <w:rFonts w:hint="cs"/>
          <w:sz w:val="24"/>
          <w:szCs w:val="24"/>
          <w:rtl/>
          <w:lang w:bidi="he-IL"/>
        </w:rPr>
        <w:t>עד</w:t>
      </w:r>
      <w:r w:rsidR="00DB22B6" w:rsidRPr="00022BC5">
        <w:rPr>
          <w:sz w:val="24"/>
          <w:szCs w:val="24"/>
          <w:lang w:bidi="he-IL"/>
        </w:rPr>
        <w:t xml:space="preserve"> explicitly state that </w:t>
      </w:r>
      <w:r w:rsidRPr="00022BC5">
        <w:rPr>
          <w:sz w:val="24"/>
          <w:szCs w:val="24"/>
          <w:lang w:bidi="he-IL"/>
        </w:rPr>
        <w:t xml:space="preserve">he </w:t>
      </w:r>
      <w:r w:rsidR="00DB22B6" w:rsidRPr="00022BC5">
        <w:rPr>
          <w:sz w:val="24"/>
          <w:szCs w:val="24"/>
          <w:lang w:bidi="he-IL"/>
        </w:rPr>
        <w:t>is</w:t>
      </w:r>
      <w:r w:rsidRPr="00022BC5">
        <w:rPr>
          <w:sz w:val="24"/>
          <w:szCs w:val="24"/>
          <w:lang w:bidi="he-IL"/>
        </w:rPr>
        <w:t xml:space="preserve"> testifying</w:t>
      </w:r>
      <w:r w:rsidR="00972102">
        <w:rPr>
          <w:sz w:val="24"/>
          <w:szCs w:val="24"/>
          <w:lang w:bidi="he-IL"/>
        </w:rPr>
        <w:t xml:space="preserve"> only</w:t>
      </w:r>
      <w:r w:rsidRPr="00022BC5">
        <w:rPr>
          <w:sz w:val="24"/>
          <w:szCs w:val="24"/>
          <w:lang w:bidi="he-IL"/>
        </w:rPr>
        <w:t xml:space="preserve"> </w:t>
      </w:r>
      <w:r w:rsidRPr="00022BC5">
        <w:rPr>
          <w:rFonts w:hint="cs"/>
          <w:sz w:val="24"/>
          <w:szCs w:val="24"/>
          <w:rtl/>
          <w:lang w:bidi="he-IL"/>
        </w:rPr>
        <w:t>על כתב יד</w:t>
      </w:r>
      <w:r w:rsidR="00DB22B6" w:rsidRPr="00022BC5">
        <w:rPr>
          <w:rFonts w:hint="cs"/>
          <w:sz w:val="24"/>
          <w:szCs w:val="24"/>
          <w:rtl/>
          <w:lang w:bidi="he-IL"/>
        </w:rPr>
        <w:t>ו</w:t>
      </w:r>
      <w:r w:rsidRPr="00022BC5">
        <w:rPr>
          <w:sz w:val="24"/>
          <w:szCs w:val="24"/>
          <w:lang w:bidi="he-IL"/>
        </w:rPr>
        <w:t xml:space="preserve">; which will therefore require two </w:t>
      </w:r>
      <w:r w:rsidRPr="00022BC5">
        <w:rPr>
          <w:rFonts w:hint="cs"/>
          <w:sz w:val="24"/>
          <w:szCs w:val="24"/>
          <w:rtl/>
          <w:lang w:bidi="he-IL"/>
        </w:rPr>
        <w:t>עדים</w:t>
      </w:r>
      <w:r w:rsidRPr="00022BC5">
        <w:rPr>
          <w:sz w:val="24"/>
          <w:szCs w:val="24"/>
          <w:lang w:bidi="he-IL"/>
        </w:rPr>
        <w:t xml:space="preserve"> to authenticate each signature</w:t>
      </w:r>
      <w:r w:rsidRPr="00022BC5">
        <w:rPr>
          <w:b/>
          <w:bCs/>
          <w:sz w:val="24"/>
          <w:szCs w:val="24"/>
          <w:lang w:bidi="he-IL"/>
        </w:rPr>
        <w:t xml:space="preserve">. </w:t>
      </w:r>
      <w:r w:rsidRPr="00022BC5">
        <w:rPr>
          <w:sz w:val="24"/>
          <w:szCs w:val="24"/>
          <w:lang w:bidi="he-IL"/>
        </w:rPr>
        <w:t xml:space="preserve">The surviving </w:t>
      </w:r>
      <w:r w:rsidRPr="00022BC5">
        <w:rPr>
          <w:rFonts w:hint="cs"/>
          <w:sz w:val="24"/>
          <w:szCs w:val="24"/>
          <w:rtl/>
          <w:lang w:bidi="he-IL"/>
        </w:rPr>
        <w:t>עד</w:t>
      </w:r>
      <w:r w:rsidRPr="00022BC5">
        <w:rPr>
          <w:sz w:val="24"/>
          <w:szCs w:val="24"/>
          <w:lang w:bidi="he-IL"/>
        </w:rPr>
        <w:t xml:space="preserve"> together with an outsider will be able to authenticate both signatures. The fact that this solution is not offered proves that it makes no difference what the </w:t>
      </w:r>
      <w:r w:rsidRPr="00022BC5">
        <w:rPr>
          <w:rFonts w:hint="cs"/>
          <w:sz w:val="24"/>
          <w:szCs w:val="24"/>
          <w:rtl/>
          <w:lang w:bidi="he-IL"/>
        </w:rPr>
        <w:t>עדים</w:t>
      </w:r>
      <w:r w:rsidRPr="00022BC5">
        <w:rPr>
          <w:sz w:val="24"/>
          <w:szCs w:val="24"/>
          <w:lang w:bidi="he-IL"/>
        </w:rPr>
        <w:t xml:space="preserve"> state; their testimony is directed in the appropriate manner, regardless of their intent. </w:t>
      </w:r>
      <w:r w:rsidRPr="00022BC5">
        <w:rPr>
          <w:rFonts w:hint="cs"/>
          <w:sz w:val="24"/>
          <w:szCs w:val="24"/>
          <w:rtl/>
          <w:lang w:bidi="he-IL"/>
        </w:rPr>
        <w:t>תוספות</w:t>
      </w:r>
      <w:r w:rsidRPr="00022BC5">
        <w:rPr>
          <w:sz w:val="24"/>
          <w:szCs w:val="24"/>
          <w:lang w:bidi="he-IL"/>
        </w:rPr>
        <w:t xml:space="preserve"> proved his assertion according to the </w:t>
      </w:r>
      <w:r w:rsidRPr="00022BC5">
        <w:rPr>
          <w:rFonts w:hint="cs"/>
          <w:sz w:val="24"/>
          <w:szCs w:val="24"/>
          <w:rtl/>
          <w:lang w:bidi="he-IL"/>
        </w:rPr>
        <w:t>רבנן</w:t>
      </w:r>
      <w:r w:rsidR="00022BC5" w:rsidRPr="00022BC5">
        <w:rPr>
          <w:sz w:val="24"/>
          <w:szCs w:val="24"/>
          <w:lang w:bidi="he-IL"/>
        </w:rPr>
        <w:t>,</w:t>
      </w:r>
      <w:r w:rsidRPr="00022BC5">
        <w:rPr>
          <w:sz w:val="24"/>
          <w:szCs w:val="24"/>
          <w:lang w:bidi="he-IL"/>
        </w:rPr>
        <w:t xml:space="preserve"> and presumes that the same applies according to </w:t>
      </w:r>
      <w:r w:rsidRPr="00022BC5">
        <w:rPr>
          <w:rFonts w:hint="cs"/>
          <w:sz w:val="24"/>
          <w:szCs w:val="24"/>
          <w:rtl/>
          <w:lang w:bidi="he-IL"/>
        </w:rPr>
        <w:t>רבי</w:t>
      </w:r>
      <w:r w:rsidRPr="00022BC5">
        <w:rPr>
          <w:sz w:val="24"/>
          <w:szCs w:val="24"/>
          <w:lang w:bidi="he-IL"/>
        </w:rPr>
        <w:t>.</w:t>
      </w:r>
      <w:r w:rsidR="00EA3078" w:rsidRPr="00EA3078">
        <w:rPr>
          <w:rStyle w:val="FootnoteReference"/>
          <w:sz w:val="24"/>
          <w:szCs w:val="24"/>
          <w:rtl/>
          <w:lang w:bidi="he-IL"/>
        </w:rPr>
        <w:t xml:space="preserve"> </w:t>
      </w:r>
      <w:r w:rsidR="00EA3078">
        <w:rPr>
          <w:rStyle w:val="FootnoteReference"/>
          <w:sz w:val="24"/>
          <w:szCs w:val="24"/>
          <w:rtl/>
          <w:lang w:bidi="he-IL"/>
        </w:rPr>
        <w:footnoteReference w:id="8"/>
      </w:r>
    </w:p>
    <w:p w:rsidR="00022BC5" w:rsidRDefault="00022BC5" w:rsidP="00EA3078">
      <w:pPr>
        <w:spacing w:line="276" w:lineRule="auto"/>
        <w:jc w:val="both"/>
        <w:rPr>
          <w:sz w:val="24"/>
          <w:szCs w:val="24"/>
          <w:lang w:bidi="he-IL"/>
        </w:rPr>
      </w:pPr>
    </w:p>
    <w:p w:rsidR="00022BC5" w:rsidRPr="00EA3078" w:rsidRDefault="00022BC5" w:rsidP="00EA3078">
      <w:pPr>
        <w:spacing w:line="276" w:lineRule="auto"/>
        <w:jc w:val="both"/>
        <w:rPr>
          <w:rFonts w:ascii="Copperplate Gothic Bold" w:hAnsi="Copperplate Gothic Bold"/>
          <w:u w:val="double"/>
          <w:lang w:bidi="he-IL"/>
        </w:rPr>
      </w:pPr>
      <w:r w:rsidRPr="00EA3078">
        <w:rPr>
          <w:rFonts w:ascii="Copperplate Gothic Bold" w:hAnsi="Copperplate Gothic Bold"/>
          <w:u w:val="double"/>
          <w:lang w:bidi="he-IL"/>
        </w:rPr>
        <w:t>Summary</w:t>
      </w:r>
    </w:p>
    <w:p w:rsidR="00163C1B" w:rsidRDefault="00ED65C9" w:rsidP="00EA3078">
      <w:pPr>
        <w:spacing w:line="276" w:lineRule="auto"/>
        <w:jc w:val="both"/>
        <w:rPr>
          <w:lang w:bidi="he-IL"/>
        </w:rPr>
      </w:pPr>
      <w:r>
        <w:rPr>
          <w:rFonts w:hint="cs"/>
          <w:rtl/>
          <w:lang w:bidi="he-IL"/>
        </w:rPr>
        <w:t>רבי ורבנן</w:t>
      </w:r>
      <w:r>
        <w:rPr>
          <w:lang w:bidi="he-IL"/>
        </w:rPr>
        <w:t xml:space="preserve"> retain their respective position whether </w:t>
      </w:r>
      <w:r>
        <w:rPr>
          <w:rFonts w:hint="cs"/>
          <w:rtl/>
          <w:lang w:bidi="he-IL"/>
        </w:rPr>
        <w:t>על מנה שבשטר</w:t>
      </w:r>
      <w:r>
        <w:rPr>
          <w:lang w:bidi="he-IL"/>
        </w:rPr>
        <w:t xml:space="preserve"> or </w:t>
      </w:r>
      <w:r>
        <w:rPr>
          <w:rFonts w:hint="cs"/>
          <w:rtl/>
          <w:lang w:bidi="he-IL"/>
        </w:rPr>
        <w:t>על כת"י</w:t>
      </w:r>
      <w:r>
        <w:rPr>
          <w:lang w:bidi="he-IL"/>
        </w:rPr>
        <w:t xml:space="preserve">, regardless of what the </w:t>
      </w:r>
      <w:r>
        <w:rPr>
          <w:rFonts w:hint="cs"/>
          <w:rtl/>
          <w:lang w:bidi="he-IL"/>
        </w:rPr>
        <w:t>עדים</w:t>
      </w:r>
      <w:r>
        <w:rPr>
          <w:lang w:bidi="he-IL"/>
        </w:rPr>
        <w:t xml:space="preserve"> proclaim.</w:t>
      </w:r>
    </w:p>
    <w:p w:rsidR="000A6992" w:rsidRPr="000A6992" w:rsidRDefault="000A6992" w:rsidP="00EA3078">
      <w:pPr>
        <w:spacing w:line="276" w:lineRule="auto"/>
        <w:jc w:val="both"/>
        <w:rPr>
          <w:sz w:val="24"/>
          <w:szCs w:val="24"/>
          <w:lang w:bidi="he-IL"/>
        </w:rPr>
      </w:pPr>
    </w:p>
    <w:p w:rsidR="000A6992" w:rsidRPr="00EA3078" w:rsidRDefault="000A6992" w:rsidP="00EA3078">
      <w:pPr>
        <w:spacing w:line="276" w:lineRule="auto"/>
        <w:jc w:val="both"/>
        <w:rPr>
          <w:rFonts w:ascii="Copperplate Gothic Bold" w:hAnsi="Copperplate Gothic Bold"/>
          <w:u w:val="double"/>
          <w:lang w:bidi="he-IL"/>
        </w:rPr>
      </w:pPr>
      <w:r w:rsidRPr="00EA3078">
        <w:rPr>
          <w:rFonts w:ascii="Copperplate Gothic Bold" w:hAnsi="Copperplate Gothic Bold"/>
          <w:u w:val="double"/>
          <w:lang w:bidi="he-IL"/>
        </w:rPr>
        <w:t>Thinking it over</w:t>
      </w:r>
    </w:p>
    <w:p w:rsidR="000A6992" w:rsidRDefault="000E615A" w:rsidP="00782957">
      <w:pPr>
        <w:spacing w:line="276" w:lineRule="auto"/>
        <w:jc w:val="both"/>
        <w:rPr>
          <w:lang w:bidi="he-IL"/>
        </w:rPr>
      </w:pPr>
      <w:r>
        <w:rPr>
          <w:lang w:bidi="he-IL"/>
        </w:rPr>
        <w:t xml:space="preserve">1. </w:t>
      </w:r>
      <w:r>
        <w:rPr>
          <w:rFonts w:hint="cs"/>
          <w:rtl/>
          <w:lang w:bidi="he-IL"/>
        </w:rPr>
        <w:t>תוס</w:t>
      </w:r>
      <w:r w:rsidR="000A6992" w:rsidRPr="000A6992">
        <w:rPr>
          <w:rFonts w:hint="cs"/>
          <w:rtl/>
          <w:lang w:bidi="he-IL"/>
        </w:rPr>
        <w:t>פות</w:t>
      </w:r>
      <w:r w:rsidR="000A6992" w:rsidRPr="000A6992">
        <w:rPr>
          <w:lang w:bidi="he-IL"/>
        </w:rPr>
        <w:t xml:space="preserve"> maintains that according to </w:t>
      </w:r>
      <w:r w:rsidR="000A6992" w:rsidRPr="000A6992">
        <w:rPr>
          <w:rFonts w:hint="cs"/>
          <w:rtl/>
          <w:lang w:bidi="he-IL"/>
        </w:rPr>
        <w:t>רבי</w:t>
      </w:r>
      <w:r w:rsidR="000A6992" w:rsidRPr="000A6992">
        <w:rPr>
          <w:lang w:bidi="he-IL"/>
        </w:rPr>
        <w:t xml:space="preserve"> even if they say </w:t>
      </w:r>
      <w:r w:rsidR="000A6992" w:rsidRPr="000A6992">
        <w:rPr>
          <w:rFonts w:hint="cs"/>
          <w:rtl/>
          <w:lang w:bidi="he-IL"/>
        </w:rPr>
        <w:t>על מנה שבשטר</w:t>
      </w:r>
      <w:r w:rsidR="000A6992">
        <w:rPr>
          <w:lang w:bidi="he-IL"/>
        </w:rPr>
        <w:t xml:space="preserve">, nevertheless two </w:t>
      </w:r>
      <w:r w:rsidR="000A6992">
        <w:rPr>
          <w:rFonts w:hint="cs"/>
          <w:rtl/>
          <w:lang w:bidi="he-IL"/>
        </w:rPr>
        <w:t>עדים</w:t>
      </w:r>
      <w:r w:rsidR="000A6992">
        <w:rPr>
          <w:lang w:bidi="he-IL"/>
        </w:rPr>
        <w:t xml:space="preserve"> are required for each </w:t>
      </w:r>
      <w:r w:rsidR="000A6992">
        <w:rPr>
          <w:rFonts w:hint="cs"/>
          <w:rtl/>
          <w:lang w:bidi="he-IL"/>
        </w:rPr>
        <w:t>חתימה</w:t>
      </w:r>
      <w:r w:rsidR="000A6992">
        <w:rPr>
          <w:lang w:bidi="he-IL"/>
        </w:rPr>
        <w:t xml:space="preserve">; because in order for it to </w:t>
      </w:r>
      <w:r w:rsidR="000A6992">
        <w:rPr>
          <w:lang w:bidi="he-IL"/>
        </w:rPr>
        <w:lastRenderedPageBreak/>
        <w:t xml:space="preserve">be a </w:t>
      </w:r>
      <w:r w:rsidR="000A6992">
        <w:rPr>
          <w:rFonts w:hint="cs"/>
          <w:rtl/>
          <w:lang w:bidi="he-IL"/>
        </w:rPr>
        <w:t>מלוה בשטר</w:t>
      </w:r>
      <w:r w:rsidR="000A6992">
        <w:rPr>
          <w:lang w:bidi="he-IL"/>
        </w:rPr>
        <w:t xml:space="preserve"> the </w:t>
      </w:r>
      <w:r w:rsidR="000A6992">
        <w:rPr>
          <w:rFonts w:hint="cs"/>
          <w:rtl/>
          <w:lang w:bidi="he-IL"/>
        </w:rPr>
        <w:t>חתימות</w:t>
      </w:r>
      <w:r w:rsidR="000A6992">
        <w:rPr>
          <w:lang w:bidi="he-IL"/>
        </w:rPr>
        <w:t xml:space="preserve"> must be </w:t>
      </w:r>
      <w:r w:rsidR="000A6992">
        <w:rPr>
          <w:rFonts w:hint="cs"/>
          <w:rtl/>
          <w:lang w:bidi="he-IL"/>
        </w:rPr>
        <w:t>מקוים</w:t>
      </w:r>
      <w:r w:rsidR="000A6992">
        <w:rPr>
          <w:lang w:bidi="he-IL"/>
        </w:rPr>
        <w:t>.</w:t>
      </w:r>
      <w:r w:rsidR="00782957" w:rsidRPr="00782957">
        <w:rPr>
          <w:rStyle w:val="FootnoteReference"/>
          <w:rtl/>
          <w:lang w:bidi="he-IL"/>
        </w:rPr>
        <w:t xml:space="preserve"> </w:t>
      </w:r>
      <w:r w:rsidR="00782957">
        <w:rPr>
          <w:rStyle w:val="FootnoteReference"/>
          <w:rtl/>
          <w:lang w:bidi="he-IL"/>
        </w:rPr>
        <w:footnoteReference w:id="9"/>
      </w:r>
      <w:r w:rsidR="000A6992">
        <w:rPr>
          <w:lang w:bidi="he-IL"/>
        </w:rPr>
        <w:t xml:space="preserve"> Why then does </w:t>
      </w:r>
      <w:r w:rsidR="000A6992">
        <w:rPr>
          <w:rFonts w:hint="cs"/>
          <w:rtl/>
          <w:lang w:bidi="he-IL"/>
        </w:rPr>
        <w:t>תוספות</w:t>
      </w:r>
      <w:r w:rsidR="00DA6C90">
        <w:rPr>
          <w:lang w:bidi="he-IL"/>
        </w:rPr>
        <w:t xml:space="preserve"> conclude and say </w:t>
      </w:r>
      <w:r w:rsidR="00DA6C90">
        <w:rPr>
          <w:rFonts w:hint="cs"/>
          <w:rtl/>
          <w:lang w:bidi="he-IL"/>
        </w:rPr>
        <w:t>'חשיב כאילו מעידין על כת"י'</w:t>
      </w:r>
      <w:r w:rsidR="00DA6C90">
        <w:rPr>
          <w:lang w:bidi="he-IL"/>
        </w:rPr>
        <w:t xml:space="preserve">; this is seemingly irrelevant?! </w:t>
      </w:r>
      <w:r w:rsidR="00DA6C90">
        <w:rPr>
          <w:rFonts w:hint="cs"/>
          <w:rtl/>
          <w:lang w:bidi="he-IL"/>
        </w:rPr>
        <w:t>תוספות</w:t>
      </w:r>
      <w:r w:rsidR="00DA6C90">
        <w:rPr>
          <w:lang w:bidi="he-IL"/>
        </w:rPr>
        <w:t xml:space="preserve"> should have said </w:t>
      </w:r>
      <w:r w:rsidR="00DA6C90">
        <w:rPr>
          <w:rFonts w:hint="cs"/>
          <w:rtl/>
          <w:lang w:bidi="he-IL"/>
        </w:rPr>
        <w:t>מ"מ צריך שני עדים על כל חתימה</w:t>
      </w:r>
      <w:r w:rsidR="00DA6C90">
        <w:rPr>
          <w:lang w:bidi="he-IL"/>
        </w:rPr>
        <w:t xml:space="preserve"> or something similar!</w:t>
      </w:r>
    </w:p>
    <w:p w:rsidR="00DA6C90" w:rsidRDefault="00DA6C90" w:rsidP="00EA3078">
      <w:pPr>
        <w:spacing w:line="276" w:lineRule="auto"/>
        <w:jc w:val="both"/>
        <w:rPr>
          <w:lang w:bidi="he-IL"/>
        </w:rPr>
      </w:pPr>
    </w:p>
    <w:p w:rsidR="00DA6C90" w:rsidRDefault="00DA6C90" w:rsidP="00EA3078">
      <w:pPr>
        <w:spacing w:line="276" w:lineRule="auto"/>
        <w:jc w:val="both"/>
        <w:rPr>
          <w:lang w:bidi="he-IL"/>
        </w:rPr>
      </w:pPr>
      <w:r>
        <w:rPr>
          <w:lang w:bidi="he-IL"/>
        </w:rPr>
        <w:t xml:space="preserve">2. </w:t>
      </w:r>
      <w:r>
        <w:rPr>
          <w:rFonts w:hint="cs"/>
          <w:rtl/>
          <w:lang w:bidi="he-IL"/>
        </w:rPr>
        <w:t>לחידודא</w:t>
      </w:r>
      <w:r>
        <w:rPr>
          <w:lang w:bidi="he-IL"/>
        </w:rPr>
        <w:t xml:space="preserve">. </w:t>
      </w:r>
      <w:r w:rsidR="000E615A">
        <w:rPr>
          <w:lang w:bidi="he-IL"/>
        </w:rPr>
        <w:t xml:space="preserve">When </w:t>
      </w:r>
      <w:r w:rsidR="000E615A">
        <w:rPr>
          <w:rFonts w:hint="cs"/>
          <w:rtl/>
          <w:lang w:bidi="he-IL"/>
        </w:rPr>
        <w:t>תוספות</w:t>
      </w:r>
      <w:r w:rsidR="000E615A">
        <w:rPr>
          <w:lang w:bidi="he-IL"/>
        </w:rPr>
        <w:t xml:space="preserve"> is discussing </w:t>
      </w:r>
      <w:r w:rsidR="000E615A">
        <w:rPr>
          <w:rFonts w:hint="cs"/>
          <w:rtl/>
          <w:lang w:bidi="he-IL"/>
        </w:rPr>
        <w:t>רבי</w:t>
      </w:r>
      <w:r w:rsidR="000E615A">
        <w:rPr>
          <w:lang w:bidi="he-IL"/>
        </w:rPr>
        <w:t xml:space="preserve">, he writes </w:t>
      </w:r>
      <w:r w:rsidR="000E615A">
        <w:rPr>
          <w:rFonts w:hint="cs"/>
          <w:rtl/>
          <w:lang w:bidi="he-IL"/>
        </w:rPr>
        <w:t>'בפירוש'</w:t>
      </w:r>
      <w:r w:rsidR="000E615A">
        <w:rPr>
          <w:lang w:bidi="he-IL"/>
        </w:rPr>
        <w:t xml:space="preserve">; while by the </w:t>
      </w:r>
      <w:r w:rsidR="000E615A">
        <w:rPr>
          <w:rFonts w:hint="cs"/>
          <w:rtl/>
          <w:lang w:bidi="he-IL"/>
        </w:rPr>
        <w:t>רבנן</w:t>
      </w:r>
      <w:r w:rsidR="000E615A">
        <w:rPr>
          <w:lang w:bidi="he-IL"/>
        </w:rPr>
        <w:t xml:space="preserve"> he writes </w:t>
      </w:r>
      <w:r w:rsidR="000E615A">
        <w:rPr>
          <w:rFonts w:hint="cs"/>
          <w:rtl/>
          <w:lang w:bidi="he-IL"/>
        </w:rPr>
        <w:t>'להדיא'</w:t>
      </w:r>
      <w:r w:rsidR="000E615A">
        <w:rPr>
          <w:lang w:bidi="he-IL"/>
        </w:rPr>
        <w:t xml:space="preserve">?! </w:t>
      </w:r>
      <w:r w:rsidR="000E615A">
        <w:rPr>
          <w:rFonts w:hint="cs"/>
          <w:rtl/>
          <w:lang w:bidi="he-IL"/>
        </w:rPr>
        <w:t>תוספות</w:t>
      </w:r>
      <w:r w:rsidR="000E615A">
        <w:rPr>
          <w:lang w:bidi="he-IL"/>
        </w:rPr>
        <w:t xml:space="preserve"> concludes by </w:t>
      </w:r>
      <w:r w:rsidR="000E615A">
        <w:rPr>
          <w:rFonts w:hint="cs"/>
          <w:rtl/>
          <w:lang w:bidi="he-IL"/>
        </w:rPr>
        <w:t>רבי</w:t>
      </w:r>
      <w:r w:rsidR="000E615A">
        <w:rPr>
          <w:lang w:bidi="he-IL"/>
        </w:rPr>
        <w:t xml:space="preserve"> that </w:t>
      </w:r>
      <w:r w:rsidR="000E615A">
        <w:rPr>
          <w:rFonts w:hint="cs"/>
          <w:rtl/>
          <w:lang w:bidi="he-IL"/>
        </w:rPr>
        <w:t>חשיב וכו'</w:t>
      </w:r>
      <w:r w:rsidR="000E615A">
        <w:rPr>
          <w:lang w:bidi="he-IL"/>
        </w:rPr>
        <w:t xml:space="preserve">; however by the </w:t>
      </w:r>
      <w:r w:rsidR="000E615A">
        <w:rPr>
          <w:rFonts w:hint="cs"/>
          <w:rtl/>
          <w:lang w:bidi="he-IL"/>
        </w:rPr>
        <w:t>רבנן</w:t>
      </w:r>
      <w:r w:rsidR="000E615A">
        <w:rPr>
          <w:lang w:bidi="he-IL"/>
        </w:rPr>
        <w:t xml:space="preserve"> there is no (such) conclusion?</w:t>
      </w:r>
    </w:p>
    <w:p w:rsidR="000E615A" w:rsidRDefault="000E615A" w:rsidP="00EA3078">
      <w:pPr>
        <w:spacing w:line="276" w:lineRule="auto"/>
        <w:jc w:val="both"/>
        <w:rPr>
          <w:lang w:bidi="he-IL"/>
        </w:rPr>
      </w:pPr>
    </w:p>
    <w:p w:rsidR="000E615A" w:rsidRPr="000A6992" w:rsidRDefault="000E615A" w:rsidP="00EA3078">
      <w:pPr>
        <w:spacing w:line="276" w:lineRule="auto"/>
        <w:jc w:val="both"/>
        <w:rPr>
          <w:lang w:bidi="he-IL"/>
        </w:rPr>
      </w:pPr>
      <w:r>
        <w:rPr>
          <w:lang w:bidi="he-IL"/>
        </w:rPr>
        <w:t xml:space="preserve">3. How does the proof for the </w:t>
      </w:r>
      <w:r>
        <w:rPr>
          <w:rFonts w:hint="cs"/>
          <w:rtl/>
          <w:lang w:bidi="he-IL"/>
        </w:rPr>
        <w:t>רבנן</w:t>
      </w:r>
      <w:r w:rsidR="00811362">
        <w:rPr>
          <w:lang w:bidi="he-IL"/>
        </w:rPr>
        <w:t>,</w:t>
      </w:r>
      <w:r>
        <w:rPr>
          <w:lang w:bidi="he-IL"/>
        </w:rPr>
        <w:t xml:space="preserve"> (certainly) </w:t>
      </w:r>
      <w:r w:rsidR="00811362">
        <w:rPr>
          <w:lang w:bidi="he-IL"/>
        </w:rPr>
        <w:t xml:space="preserve">apply </w:t>
      </w:r>
      <w:r>
        <w:rPr>
          <w:lang w:bidi="he-IL"/>
        </w:rPr>
        <w:t xml:space="preserve">for </w:t>
      </w:r>
      <w:r>
        <w:rPr>
          <w:rFonts w:hint="cs"/>
          <w:rtl/>
          <w:lang w:bidi="he-IL"/>
        </w:rPr>
        <w:t>רבי</w:t>
      </w:r>
      <w:r>
        <w:rPr>
          <w:lang w:bidi="he-IL"/>
        </w:rPr>
        <w:t>?!</w:t>
      </w:r>
      <w:r w:rsidR="00805122">
        <w:rPr>
          <w:rStyle w:val="FootnoteReference"/>
          <w:lang w:bidi="he-IL"/>
        </w:rPr>
        <w:footnoteReference w:id="10"/>
      </w:r>
    </w:p>
    <w:sectPr w:rsidR="000E615A" w:rsidRPr="000A6992">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8B" w:rsidRDefault="00971E8B">
      <w:r>
        <w:separator/>
      </w:r>
    </w:p>
  </w:endnote>
  <w:endnote w:type="continuationSeparator" w:id="0">
    <w:p w:rsidR="00971E8B" w:rsidRDefault="0097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CB" w:rsidRDefault="001B03CB" w:rsidP="00231A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03CB" w:rsidRDefault="001B0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078" w:rsidRDefault="00EA3078">
    <w:pPr>
      <w:pStyle w:val="Footer"/>
      <w:jc w:val="center"/>
      <w:rPr>
        <w:noProof/>
        <w:sz w:val="16"/>
        <w:szCs w:val="16"/>
      </w:rPr>
    </w:pPr>
    <w:r w:rsidRPr="00EA3078">
      <w:rPr>
        <w:sz w:val="20"/>
        <w:szCs w:val="20"/>
      </w:rPr>
      <w:fldChar w:fldCharType="begin"/>
    </w:r>
    <w:r w:rsidRPr="00EA3078">
      <w:rPr>
        <w:sz w:val="20"/>
        <w:szCs w:val="20"/>
      </w:rPr>
      <w:instrText xml:space="preserve"> PAGE   \* MERGEFORMAT </w:instrText>
    </w:r>
    <w:r w:rsidRPr="00EA3078">
      <w:rPr>
        <w:sz w:val="20"/>
        <w:szCs w:val="20"/>
      </w:rPr>
      <w:fldChar w:fldCharType="separate"/>
    </w:r>
    <w:r w:rsidR="00495E61">
      <w:rPr>
        <w:noProof/>
        <w:sz w:val="20"/>
        <w:szCs w:val="20"/>
      </w:rPr>
      <w:t>3</w:t>
    </w:r>
    <w:r w:rsidRPr="00EA3078">
      <w:rPr>
        <w:noProof/>
        <w:sz w:val="20"/>
        <w:szCs w:val="20"/>
      </w:rPr>
      <w:fldChar w:fldCharType="end"/>
    </w:r>
  </w:p>
  <w:p w:rsidR="00EA3078" w:rsidRPr="00EA3078" w:rsidRDefault="00EA3078">
    <w:pPr>
      <w:pStyle w:val="Footer"/>
      <w:jc w:val="center"/>
      <w:rPr>
        <w:sz w:val="16"/>
        <w:szCs w:val="16"/>
      </w:rPr>
    </w:pPr>
    <w:r>
      <w:rPr>
        <w:noProof/>
        <w:sz w:val="16"/>
        <w:szCs w:val="16"/>
      </w:rPr>
      <w:t>TosfosInEnglish.com</w:t>
    </w:r>
  </w:p>
  <w:p w:rsidR="001B03CB" w:rsidRPr="00180532" w:rsidRDefault="001B03CB" w:rsidP="00180532">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8B" w:rsidRDefault="00971E8B">
      <w:r>
        <w:separator/>
      </w:r>
    </w:p>
  </w:footnote>
  <w:footnote w:type="continuationSeparator" w:id="0">
    <w:p w:rsidR="00971E8B" w:rsidRDefault="00971E8B">
      <w:r>
        <w:continuationSeparator/>
      </w:r>
    </w:p>
  </w:footnote>
  <w:footnote w:id="1">
    <w:p w:rsidR="001B03CB" w:rsidRDefault="001B03CB" w:rsidP="00EA3078">
      <w:pPr>
        <w:pStyle w:val="FootnoteText"/>
        <w:spacing w:line="264" w:lineRule="auto"/>
        <w:jc w:val="both"/>
        <w:rPr>
          <w:lang w:bidi="he-IL"/>
        </w:rPr>
      </w:pPr>
      <w:r>
        <w:rPr>
          <w:rStyle w:val="FootnoteReference"/>
        </w:rPr>
        <w:footnoteRef/>
      </w:r>
      <w:r>
        <w:t xml:space="preserve"> When they say </w:t>
      </w:r>
      <w:r>
        <w:rPr>
          <w:rFonts w:hint="cs"/>
          <w:rtl/>
          <w:lang w:bidi="he-IL"/>
        </w:rPr>
        <w:t>כת"י הוא זה</w:t>
      </w:r>
      <w:r>
        <w:rPr>
          <w:lang w:bidi="he-IL"/>
        </w:rPr>
        <w:t xml:space="preserve">, it is implicit in their statement that everything written in the </w:t>
      </w:r>
      <w:r>
        <w:rPr>
          <w:rFonts w:hint="cs"/>
          <w:rtl/>
          <w:lang w:bidi="he-IL"/>
        </w:rPr>
        <w:t>שטר</w:t>
      </w:r>
      <w:r>
        <w:rPr>
          <w:lang w:bidi="he-IL"/>
        </w:rPr>
        <w:t xml:space="preserve"> is true.</w:t>
      </w:r>
    </w:p>
  </w:footnote>
  <w:footnote w:id="2">
    <w:p w:rsidR="001B03CB" w:rsidRDefault="001B03CB" w:rsidP="00EA3078">
      <w:pPr>
        <w:pStyle w:val="FootnoteText"/>
        <w:spacing w:line="264" w:lineRule="auto"/>
        <w:jc w:val="both"/>
        <w:rPr>
          <w:lang w:bidi="he-IL"/>
        </w:rPr>
      </w:pPr>
      <w:r>
        <w:rPr>
          <w:rStyle w:val="FootnoteReference"/>
        </w:rPr>
        <w:footnoteRef/>
      </w:r>
      <w:r>
        <w:t xml:space="preserve"> It seems that they are testifying </w:t>
      </w:r>
      <w:r>
        <w:rPr>
          <w:rFonts w:hint="cs"/>
          <w:rtl/>
          <w:lang w:bidi="he-IL"/>
        </w:rPr>
        <w:t>כת"י הוא זה</w:t>
      </w:r>
      <w:r>
        <w:rPr>
          <w:lang w:bidi="he-IL"/>
        </w:rPr>
        <w:t>, and are adding that they remember the loan.</w:t>
      </w:r>
    </w:p>
  </w:footnote>
  <w:footnote w:id="3">
    <w:p w:rsidR="00DA4292" w:rsidRDefault="00DA4292" w:rsidP="00DA4292">
      <w:pPr>
        <w:pStyle w:val="FootnoteText"/>
        <w:spacing w:line="264" w:lineRule="auto"/>
        <w:jc w:val="both"/>
        <w:rPr>
          <w:lang w:bidi="he-IL"/>
        </w:rPr>
      </w:pPr>
      <w:r>
        <w:rPr>
          <w:rStyle w:val="FootnoteReference"/>
        </w:rPr>
        <w:footnoteRef/>
      </w:r>
      <w:r>
        <w:t xml:space="preserve"> The explanation given is that even if they testify that the loan took place, nevertheless there is no </w:t>
      </w:r>
      <w:r>
        <w:rPr>
          <w:rFonts w:hint="cs"/>
          <w:rtl/>
          <w:lang w:bidi="he-IL"/>
        </w:rPr>
        <w:t>קיום השטר</w:t>
      </w:r>
      <w:r>
        <w:rPr>
          <w:lang w:bidi="he-IL"/>
        </w:rPr>
        <w:t xml:space="preserve"> if there are no two </w:t>
      </w:r>
      <w:r>
        <w:rPr>
          <w:rFonts w:hint="cs"/>
          <w:rtl/>
          <w:lang w:bidi="he-IL"/>
        </w:rPr>
        <w:t>עדים</w:t>
      </w:r>
      <w:r>
        <w:rPr>
          <w:lang w:bidi="he-IL"/>
        </w:rPr>
        <w:t xml:space="preserve"> that are </w:t>
      </w:r>
      <w:r>
        <w:rPr>
          <w:rFonts w:hint="cs"/>
          <w:rtl/>
          <w:lang w:bidi="he-IL"/>
        </w:rPr>
        <w:t>מקיים</w:t>
      </w:r>
      <w:r>
        <w:rPr>
          <w:lang w:bidi="he-IL"/>
        </w:rPr>
        <w:t xml:space="preserve"> each </w:t>
      </w:r>
      <w:r>
        <w:rPr>
          <w:rFonts w:hint="cs"/>
          <w:rtl/>
          <w:lang w:bidi="he-IL"/>
        </w:rPr>
        <w:t>חתימה</w:t>
      </w:r>
      <w:r>
        <w:rPr>
          <w:lang w:bidi="he-IL"/>
        </w:rPr>
        <w:t xml:space="preserve">. At best it would only be a </w:t>
      </w:r>
      <w:r>
        <w:rPr>
          <w:rFonts w:hint="cs"/>
          <w:rtl/>
          <w:lang w:bidi="he-IL"/>
        </w:rPr>
        <w:t>מלוה ע"פ</w:t>
      </w:r>
      <w:r>
        <w:rPr>
          <w:lang w:bidi="he-IL"/>
        </w:rPr>
        <w:t xml:space="preserve">. See </w:t>
      </w:r>
      <w:r>
        <w:rPr>
          <w:rFonts w:hint="cs"/>
          <w:rtl/>
          <w:lang w:bidi="he-IL"/>
        </w:rPr>
        <w:t>פנ"י וכו'</w:t>
      </w:r>
      <w:r>
        <w:rPr>
          <w:lang w:bidi="he-IL"/>
        </w:rPr>
        <w:t>. See ‘Thinking it over’ # 1.</w:t>
      </w:r>
    </w:p>
  </w:footnote>
  <w:footnote w:id="4">
    <w:p w:rsidR="00EA3078" w:rsidRDefault="00EA3078" w:rsidP="00EA3078">
      <w:pPr>
        <w:pStyle w:val="FootnoteText"/>
        <w:spacing w:line="264" w:lineRule="auto"/>
        <w:jc w:val="both"/>
        <w:rPr>
          <w:lang w:bidi="he-IL"/>
        </w:rPr>
      </w:pPr>
      <w:r>
        <w:rPr>
          <w:rStyle w:val="FootnoteReference"/>
        </w:rPr>
        <w:footnoteRef/>
      </w:r>
      <w:r>
        <w:t xml:space="preserve"> It would seem that they are saying we are testifying only to the veracity of our signatures. However it (seemingly) cannot mean that they are saying that they do not recall (at all) what the </w:t>
      </w:r>
      <w:r>
        <w:rPr>
          <w:rFonts w:hint="cs"/>
          <w:rtl/>
          <w:lang w:bidi="he-IL"/>
        </w:rPr>
        <w:t>שטר</w:t>
      </w:r>
      <w:r>
        <w:rPr>
          <w:lang w:bidi="he-IL"/>
        </w:rPr>
        <w:t xml:space="preserve"> states. See previous </w:t>
      </w:r>
      <w:r>
        <w:rPr>
          <w:rFonts w:hint="cs"/>
          <w:rtl/>
          <w:lang w:bidi="he-IL"/>
        </w:rPr>
        <w:t>תוספות כ,א (בסופו) ד"ה ור"י</w:t>
      </w:r>
      <w:r>
        <w:rPr>
          <w:lang w:bidi="he-IL"/>
        </w:rPr>
        <w:t>.</w:t>
      </w:r>
    </w:p>
  </w:footnote>
  <w:footnote w:id="5">
    <w:p w:rsidR="001B03CB" w:rsidRDefault="001B03CB" w:rsidP="00EA3078">
      <w:pPr>
        <w:pStyle w:val="FootnoteText"/>
        <w:spacing w:line="264" w:lineRule="auto"/>
        <w:jc w:val="both"/>
        <w:rPr>
          <w:lang w:bidi="he-IL"/>
        </w:rPr>
      </w:pPr>
      <w:r>
        <w:rPr>
          <w:rStyle w:val="FootnoteReference"/>
        </w:rPr>
        <w:footnoteRef/>
      </w:r>
      <w:r>
        <w:t xml:space="preserve"> See footnote # 3. Nevertheless, the </w:t>
      </w:r>
      <w:r>
        <w:rPr>
          <w:rFonts w:hint="cs"/>
          <w:rtl/>
          <w:lang w:bidi="he-IL"/>
        </w:rPr>
        <w:t>נתיה"מ</w:t>
      </w:r>
      <w:r>
        <w:rPr>
          <w:lang w:bidi="he-IL"/>
        </w:rPr>
        <w:t xml:space="preserve"> explains that (according to the </w:t>
      </w:r>
      <w:r>
        <w:rPr>
          <w:rFonts w:hint="cs"/>
          <w:rtl/>
          <w:lang w:bidi="he-IL"/>
        </w:rPr>
        <w:t>רבנן</w:t>
      </w:r>
      <w:r>
        <w:rPr>
          <w:lang w:bidi="he-IL"/>
        </w:rPr>
        <w:t xml:space="preserve">) this is </w:t>
      </w:r>
      <w:r>
        <w:rPr>
          <w:rFonts w:hint="cs"/>
          <w:rtl/>
          <w:lang w:bidi="he-IL"/>
        </w:rPr>
        <w:t>מקולי קיום</w:t>
      </w:r>
      <w:r>
        <w:rPr>
          <w:lang w:bidi="he-IL"/>
        </w:rPr>
        <w:t xml:space="preserve">. Once we know that the loan took place (and each </w:t>
      </w:r>
      <w:r>
        <w:rPr>
          <w:rFonts w:hint="cs"/>
          <w:rtl/>
          <w:lang w:bidi="he-IL"/>
        </w:rPr>
        <w:t>עד</w:t>
      </w:r>
      <w:r>
        <w:rPr>
          <w:lang w:bidi="he-IL"/>
        </w:rPr>
        <w:t xml:space="preserve"> verifies his signature) it is considered a </w:t>
      </w:r>
      <w:r>
        <w:rPr>
          <w:rFonts w:hint="cs"/>
          <w:rtl/>
          <w:lang w:bidi="he-IL"/>
        </w:rPr>
        <w:t>שטר מקוים</w:t>
      </w:r>
      <w:r>
        <w:rPr>
          <w:lang w:bidi="he-IL"/>
        </w:rPr>
        <w:t>.</w:t>
      </w:r>
    </w:p>
  </w:footnote>
  <w:footnote w:id="6">
    <w:p w:rsidR="001B03CB" w:rsidRDefault="001B03CB" w:rsidP="00EA3078">
      <w:pPr>
        <w:pStyle w:val="FootnoteText"/>
        <w:spacing w:line="264" w:lineRule="auto"/>
        <w:jc w:val="both"/>
        <w:rPr>
          <w:lang w:bidi="he-IL"/>
        </w:rPr>
      </w:pPr>
      <w:r>
        <w:rPr>
          <w:rStyle w:val="FootnoteReference"/>
        </w:rPr>
        <w:footnoteRef/>
      </w:r>
      <w:r>
        <w:t xml:space="preserve"> The dispute between </w:t>
      </w:r>
      <w:r>
        <w:rPr>
          <w:rFonts w:hint="cs"/>
          <w:rtl/>
          <w:lang w:bidi="he-IL"/>
        </w:rPr>
        <w:t>רבי ורבנן</w:t>
      </w:r>
      <w:r>
        <w:t xml:space="preserve">, whether </w:t>
      </w:r>
      <w:r>
        <w:rPr>
          <w:rFonts w:hint="cs"/>
          <w:rtl/>
          <w:lang w:bidi="he-IL"/>
        </w:rPr>
        <w:t>על מנה שבשטר הן מעידין</w:t>
      </w:r>
      <w:r>
        <w:rPr>
          <w:lang w:bidi="he-IL"/>
        </w:rPr>
        <w:t xml:space="preserve"> or </w:t>
      </w:r>
      <w:r>
        <w:rPr>
          <w:rFonts w:hint="cs"/>
          <w:rtl/>
          <w:lang w:bidi="he-IL"/>
        </w:rPr>
        <w:t>על כתב ידן הן מעידין</w:t>
      </w:r>
      <w:r>
        <w:rPr>
          <w:lang w:bidi="he-IL"/>
        </w:rPr>
        <w:t xml:space="preserve">, is not dependent on the intention of the </w:t>
      </w:r>
      <w:r>
        <w:rPr>
          <w:rFonts w:hint="cs"/>
          <w:rtl/>
          <w:lang w:bidi="he-IL"/>
        </w:rPr>
        <w:t>עדים</w:t>
      </w:r>
      <w:r>
        <w:rPr>
          <w:lang w:bidi="he-IL"/>
        </w:rPr>
        <w:t xml:space="preserve">; but rather it is intrinsically bound with the basic nature of </w:t>
      </w:r>
      <w:r>
        <w:rPr>
          <w:rFonts w:hint="cs"/>
          <w:rtl/>
          <w:lang w:bidi="he-IL"/>
        </w:rPr>
        <w:t>קיום ע"י עדי חתימה</w:t>
      </w:r>
      <w:r w:rsidR="00811362">
        <w:rPr>
          <w:lang w:bidi="he-IL"/>
        </w:rPr>
        <w:t xml:space="preserve">; it is either a </w:t>
      </w:r>
      <w:r w:rsidR="00811362">
        <w:rPr>
          <w:rFonts w:hint="cs"/>
          <w:rtl/>
          <w:lang w:bidi="he-IL"/>
        </w:rPr>
        <w:t>קיום</w:t>
      </w:r>
      <w:r w:rsidR="00811362">
        <w:rPr>
          <w:lang w:bidi="he-IL"/>
        </w:rPr>
        <w:t xml:space="preserve"> of the signatures </w:t>
      </w:r>
      <w:r w:rsidR="00811362">
        <w:rPr>
          <w:rFonts w:hint="cs"/>
          <w:rtl/>
          <w:lang w:bidi="he-IL"/>
        </w:rPr>
        <w:t>(רבי)</w:t>
      </w:r>
      <w:r w:rsidR="00811362">
        <w:rPr>
          <w:lang w:bidi="he-IL"/>
        </w:rPr>
        <w:t xml:space="preserve">, or a </w:t>
      </w:r>
      <w:r w:rsidR="00811362">
        <w:rPr>
          <w:rFonts w:hint="cs"/>
          <w:rtl/>
          <w:lang w:bidi="he-IL"/>
        </w:rPr>
        <w:t>קיום</w:t>
      </w:r>
      <w:r w:rsidR="00811362">
        <w:rPr>
          <w:lang w:bidi="he-IL"/>
        </w:rPr>
        <w:t xml:space="preserve"> of the loan </w:t>
      </w:r>
      <w:r w:rsidR="00811362">
        <w:rPr>
          <w:rFonts w:hint="cs"/>
          <w:rtl/>
          <w:lang w:bidi="he-IL"/>
        </w:rPr>
        <w:t>(רבנן)</w:t>
      </w:r>
      <w:r w:rsidR="00811362">
        <w:rPr>
          <w:lang w:bidi="he-IL"/>
        </w:rPr>
        <w:t>.</w:t>
      </w:r>
    </w:p>
  </w:footnote>
  <w:footnote w:id="7">
    <w:p w:rsidR="001B03CB" w:rsidRDefault="001B03CB" w:rsidP="00EA3078">
      <w:pPr>
        <w:pStyle w:val="FootnoteText"/>
        <w:spacing w:line="264" w:lineRule="auto"/>
        <w:jc w:val="both"/>
        <w:rPr>
          <w:lang w:bidi="he-IL"/>
        </w:rPr>
      </w:pPr>
      <w:r>
        <w:rPr>
          <w:rStyle w:val="FootnoteReference"/>
        </w:rPr>
        <w:footnoteRef/>
      </w:r>
      <w:r>
        <w:rPr>
          <w:lang w:bidi="he-IL"/>
        </w:rPr>
        <w:t xml:space="preserve"> The </w:t>
      </w:r>
      <w:r>
        <w:rPr>
          <w:rFonts w:hint="cs"/>
          <w:rtl/>
          <w:lang w:bidi="he-IL"/>
        </w:rPr>
        <w:t>גמרא</w:t>
      </w:r>
      <w:r>
        <w:rPr>
          <w:lang w:bidi="he-IL"/>
        </w:rPr>
        <w:t xml:space="preserve"> asks (according to the opinion that </w:t>
      </w:r>
      <w:r>
        <w:rPr>
          <w:rFonts w:hint="cs"/>
          <w:rtl/>
          <w:lang w:bidi="he-IL"/>
        </w:rPr>
        <w:t>עמשבשה"ם</w:t>
      </w:r>
      <w:r>
        <w:rPr>
          <w:lang w:bidi="he-IL"/>
        </w:rPr>
        <w:t xml:space="preserve">) what is to be done in a case where one of the </w:t>
      </w:r>
      <w:r>
        <w:rPr>
          <w:rFonts w:hint="cs"/>
          <w:rtl/>
          <w:lang w:bidi="he-IL"/>
        </w:rPr>
        <w:t>עדי חתימה</w:t>
      </w:r>
      <w:r>
        <w:rPr>
          <w:lang w:bidi="he-IL"/>
        </w:rPr>
        <w:t xml:space="preserve"> died before he authenticated his signature. In this situation two </w:t>
      </w:r>
      <w:r>
        <w:rPr>
          <w:rFonts w:hint="cs"/>
          <w:rtl/>
          <w:lang w:bidi="he-IL"/>
        </w:rPr>
        <w:t>עדים</w:t>
      </w:r>
      <w:r>
        <w:rPr>
          <w:lang w:bidi="he-IL"/>
        </w:rPr>
        <w:t xml:space="preserve"> are required to be </w:t>
      </w:r>
      <w:r>
        <w:rPr>
          <w:rFonts w:hint="cs"/>
          <w:rtl/>
          <w:lang w:bidi="he-IL"/>
        </w:rPr>
        <w:t>מקיים</w:t>
      </w:r>
      <w:r>
        <w:rPr>
          <w:lang w:bidi="he-IL"/>
        </w:rPr>
        <w:t xml:space="preserve"> his </w:t>
      </w:r>
      <w:r>
        <w:rPr>
          <w:rFonts w:hint="cs"/>
          <w:rtl/>
          <w:lang w:bidi="he-IL"/>
        </w:rPr>
        <w:t>חתימה</w:t>
      </w:r>
      <w:r>
        <w:rPr>
          <w:lang w:bidi="he-IL"/>
        </w:rPr>
        <w:t xml:space="preserve">. However if there is only one (outside) </w:t>
      </w:r>
      <w:r>
        <w:rPr>
          <w:rFonts w:hint="cs"/>
          <w:rtl/>
          <w:lang w:bidi="he-IL"/>
        </w:rPr>
        <w:t>עד</w:t>
      </w:r>
      <w:r>
        <w:rPr>
          <w:lang w:bidi="he-IL"/>
        </w:rPr>
        <w:t xml:space="preserve"> to be </w:t>
      </w:r>
      <w:r>
        <w:rPr>
          <w:rFonts w:hint="cs"/>
          <w:rtl/>
          <w:lang w:bidi="he-IL"/>
        </w:rPr>
        <w:t>מקיים</w:t>
      </w:r>
      <w:r>
        <w:rPr>
          <w:lang w:bidi="he-IL"/>
        </w:rPr>
        <w:t xml:space="preserve"> the </w:t>
      </w:r>
      <w:r>
        <w:rPr>
          <w:rFonts w:hint="cs"/>
          <w:rtl/>
          <w:lang w:bidi="he-IL"/>
        </w:rPr>
        <w:t>חתימה</w:t>
      </w:r>
      <w:r>
        <w:rPr>
          <w:lang w:bidi="he-IL"/>
        </w:rPr>
        <w:t xml:space="preserve"> of the deceased </w:t>
      </w:r>
      <w:r>
        <w:rPr>
          <w:rFonts w:hint="cs"/>
          <w:rtl/>
          <w:lang w:bidi="he-IL"/>
        </w:rPr>
        <w:t>עד</w:t>
      </w:r>
      <w:r>
        <w:rPr>
          <w:lang w:bidi="he-IL"/>
        </w:rPr>
        <w:t xml:space="preserve">, there is a difficulty, for we cannot have the surviving </w:t>
      </w:r>
      <w:r>
        <w:rPr>
          <w:rFonts w:hint="cs"/>
          <w:rtl/>
          <w:lang w:bidi="he-IL"/>
        </w:rPr>
        <w:t>עד החתום</w:t>
      </w:r>
      <w:r>
        <w:rPr>
          <w:lang w:bidi="he-IL"/>
        </w:rPr>
        <w:t xml:space="preserve"> join him in being </w:t>
      </w:r>
      <w:r>
        <w:rPr>
          <w:rFonts w:hint="cs"/>
          <w:rtl/>
          <w:lang w:bidi="he-IL"/>
        </w:rPr>
        <w:t>מקיים</w:t>
      </w:r>
      <w:r>
        <w:rPr>
          <w:lang w:bidi="he-IL"/>
        </w:rPr>
        <w:t xml:space="preserve"> the </w:t>
      </w:r>
      <w:r>
        <w:rPr>
          <w:rFonts w:hint="cs"/>
          <w:rtl/>
          <w:lang w:bidi="he-IL"/>
        </w:rPr>
        <w:t>חתימת המת</w:t>
      </w:r>
      <w:r>
        <w:rPr>
          <w:lang w:bidi="he-IL"/>
        </w:rPr>
        <w:t xml:space="preserve"> (as the </w:t>
      </w:r>
      <w:r>
        <w:rPr>
          <w:rFonts w:hint="cs"/>
          <w:rtl/>
          <w:lang w:bidi="he-IL"/>
        </w:rPr>
        <w:t>גמרא</w:t>
      </w:r>
      <w:r>
        <w:rPr>
          <w:lang w:bidi="he-IL"/>
        </w:rPr>
        <w:t xml:space="preserve"> explains). [This difficulty does not exist if we maintain </w:t>
      </w:r>
      <w:r>
        <w:rPr>
          <w:rFonts w:hint="cs"/>
          <w:rtl/>
          <w:lang w:bidi="he-IL"/>
        </w:rPr>
        <w:t>עכתיה"ם</w:t>
      </w:r>
      <w:r>
        <w:rPr>
          <w:lang w:bidi="he-IL"/>
        </w:rPr>
        <w:t xml:space="preserve"> (see </w:t>
      </w:r>
      <w:r>
        <w:rPr>
          <w:rFonts w:hint="cs"/>
          <w:rtl/>
          <w:lang w:bidi="he-IL"/>
        </w:rPr>
        <w:t>רש"י ד"ה ונפקא</w:t>
      </w:r>
      <w:r>
        <w:rPr>
          <w:lang w:bidi="he-IL"/>
        </w:rPr>
        <w:t xml:space="preserve">).] The </w:t>
      </w:r>
      <w:r>
        <w:rPr>
          <w:rFonts w:hint="cs"/>
          <w:rtl/>
          <w:lang w:bidi="he-IL"/>
        </w:rPr>
        <w:t>גמרא</w:t>
      </w:r>
      <w:r>
        <w:rPr>
          <w:lang w:bidi="he-IL"/>
        </w:rPr>
        <w:t xml:space="preserve"> offers a solution to this problem.</w:t>
      </w:r>
    </w:p>
  </w:footnote>
  <w:footnote w:id="8">
    <w:p w:rsidR="00EA3078" w:rsidRDefault="00EA3078" w:rsidP="00EA3078">
      <w:pPr>
        <w:pStyle w:val="FootnoteText"/>
        <w:spacing w:line="264" w:lineRule="auto"/>
        <w:jc w:val="both"/>
      </w:pPr>
      <w:r>
        <w:rPr>
          <w:rStyle w:val="FootnoteReference"/>
        </w:rPr>
        <w:footnoteRef/>
      </w:r>
      <w:r>
        <w:t xml:space="preserve"> See ‘Thinking it over’ # 3.</w:t>
      </w:r>
    </w:p>
  </w:footnote>
  <w:footnote w:id="9">
    <w:p w:rsidR="00782957" w:rsidRDefault="00782957" w:rsidP="00782957">
      <w:pPr>
        <w:pStyle w:val="FootnoteText"/>
        <w:spacing w:line="264" w:lineRule="auto"/>
        <w:jc w:val="both"/>
      </w:pPr>
      <w:r>
        <w:rPr>
          <w:rStyle w:val="FootnoteReference"/>
        </w:rPr>
        <w:footnoteRef/>
      </w:r>
      <w:r>
        <w:t xml:space="preserve"> See footnote # 3.</w:t>
      </w:r>
    </w:p>
  </w:footnote>
  <w:footnote w:id="10">
    <w:p w:rsidR="00805122" w:rsidRDefault="00805122">
      <w:pPr>
        <w:pStyle w:val="FootnoteText"/>
      </w:pPr>
      <w:r>
        <w:rPr>
          <w:rStyle w:val="FootnoteReference"/>
        </w:rPr>
        <w:footnoteRef/>
      </w:r>
      <w:r>
        <w:t xml:space="preserve"> See footnote #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CB" w:rsidRDefault="001B03CB" w:rsidP="00180532">
    <w:pPr>
      <w:pStyle w:val="Header"/>
      <w:bidi/>
      <w:rPr>
        <w:rFonts w:hint="cs"/>
        <w:sz w:val="24"/>
        <w:szCs w:val="24"/>
        <w:rtl/>
        <w:lang w:bidi="he-IL"/>
      </w:rPr>
    </w:pPr>
    <w:r>
      <w:rPr>
        <w:rFonts w:hint="cs"/>
        <w:sz w:val="24"/>
        <w:szCs w:val="24"/>
        <w:rtl/>
        <w:lang w:bidi="he-IL"/>
      </w:rPr>
      <w:t>בס"ד. כתובות כא,א תוס' ד"ה על</w:t>
    </w:r>
  </w:p>
  <w:p w:rsidR="001B03CB" w:rsidRPr="00180532" w:rsidRDefault="001B03CB" w:rsidP="00180532">
    <w:pPr>
      <w:pStyle w:val="Header"/>
      <w:bidi/>
      <w:rPr>
        <w:rFonts w:hint="cs"/>
        <w:sz w:val="24"/>
        <w:szCs w:val="24"/>
        <w:rtl/>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0532"/>
    <w:rsid w:val="00022BC5"/>
    <w:rsid w:val="000A6992"/>
    <w:rsid w:val="000C7ABB"/>
    <w:rsid w:val="000E615A"/>
    <w:rsid w:val="00163C1B"/>
    <w:rsid w:val="00180532"/>
    <w:rsid w:val="00184D2E"/>
    <w:rsid w:val="001B03CB"/>
    <w:rsid w:val="001E30A0"/>
    <w:rsid w:val="0020216B"/>
    <w:rsid w:val="00210A1E"/>
    <w:rsid w:val="00231AE8"/>
    <w:rsid w:val="00243CA4"/>
    <w:rsid w:val="00294322"/>
    <w:rsid w:val="002A6F99"/>
    <w:rsid w:val="00356C01"/>
    <w:rsid w:val="003F6705"/>
    <w:rsid w:val="00495E61"/>
    <w:rsid w:val="004A07DD"/>
    <w:rsid w:val="00535E2B"/>
    <w:rsid w:val="005C66A0"/>
    <w:rsid w:val="006502A8"/>
    <w:rsid w:val="006F7FCE"/>
    <w:rsid w:val="007552E7"/>
    <w:rsid w:val="00782957"/>
    <w:rsid w:val="00805122"/>
    <w:rsid w:val="00811362"/>
    <w:rsid w:val="0089054C"/>
    <w:rsid w:val="00951A79"/>
    <w:rsid w:val="00971E8B"/>
    <w:rsid w:val="00972102"/>
    <w:rsid w:val="009B4C83"/>
    <w:rsid w:val="00AE53FF"/>
    <w:rsid w:val="00B03302"/>
    <w:rsid w:val="00B72BBF"/>
    <w:rsid w:val="00D54370"/>
    <w:rsid w:val="00D80DE2"/>
    <w:rsid w:val="00DA4292"/>
    <w:rsid w:val="00DA6C90"/>
    <w:rsid w:val="00DB22B6"/>
    <w:rsid w:val="00EA3078"/>
    <w:rsid w:val="00ED65C9"/>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5FC5AD-9919-4219-8AFD-BE8EB3D6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80532"/>
    <w:pPr>
      <w:tabs>
        <w:tab w:val="center" w:pos="4320"/>
        <w:tab w:val="right" w:pos="8640"/>
      </w:tabs>
    </w:pPr>
  </w:style>
  <w:style w:type="paragraph" w:styleId="Footer">
    <w:name w:val="footer"/>
    <w:basedOn w:val="Normal"/>
    <w:link w:val="FooterChar"/>
    <w:uiPriority w:val="99"/>
    <w:rsid w:val="00180532"/>
    <w:pPr>
      <w:tabs>
        <w:tab w:val="center" w:pos="4320"/>
        <w:tab w:val="right" w:pos="8640"/>
      </w:tabs>
    </w:pPr>
  </w:style>
  <w:style w:type="paragraph" w:styleId="FootnoteText">
    <w:name w:val="footnote text"/>
    <w:basedOn w:val="Normal"/>
    <w:semiHidden/>
    <w:rsid w:val="001E30A0"/>
    <w:rPr>
      <w:sz w:val="20"/>
      <w:szCs w:val="20"/>
    </w:rPr>
  </w:style>
  <w:style w:type="character" w:styleId="FootnoteReference">
    <w:name w:val="footnote reference"/>
    <w:semiHidden/>
    <w:rsid w:val="001E30A0"/>
    <w:rPr>
      <w:vertAlign w:val="superscript"/>
    </w:rPr>
  </w:style>
  <w:style w:type="character" w:styleId="PageNumber">
    <w:name w:val="page number"/>
    <w:basedOn w:val="DefaultParagraphFont"/>
    <w:rsid w:val="006502A8"/>
  </w:style>
  <w:style w:type="character" w:customStyle="1" w:styleId="FooterChar">
    <w:name w:val="Footer Char"/>
    <w:link w:val="Footer"/>
    <w:uiPriority w:val="99"/>
    <w:rsid w:val="00EA3078"/>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על כתב ידן הן מעידין – They testify concerning their signature      </vt:lpstr>
    </vt:vector>
  </TitlesOfParts>
  <Company>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על כתב ידן הן מעידין – They testify concerning their signature      </dc:title>
  <dc:subject/>
  <dc:creator> </dc:creator>
  <cp:keywords/>
  <dc:description/>
  <cp:lastModifiedBy>Microsoft account</cp:lastModifiedBy>
  <cp:revision>2</cp:revision>
  <dcterms:created xsi:type="dcterms:W3CDTF">2022-04-05T10:50:00Z</dcterms:created>
  <dcterms:modified xsi:type="dcterms:W3CDTF">2022-04-05T10:50:00Z</dcterms:modified>
</cp:coreProperties>
</file>