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DE2" w:rsidRDefault="00B71999" w:rsidP="001D04C2">
      <w:pPr>
        <w:widowControl w:val="0"/>
        <w:bidi/>
        <w:spacing w:line="276" w:lineRule="auto"/>
        <w:jc w:val="both"/>
        <w:rPr>
          <w:rFonts w:hint="cs"/>
          <w:b/>
          <w:bCs/>
          <w:sz w:val="32"/>
          <w:szCs w:val="32"/>
          <w:rtl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הוציא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עליו כתב ידו שהוא חייב לו גובה מנכסים בני חורין </w:t>
      </w:r>
      <w:r>
        <w:rPr>
          <w:b/>
          <w:bCs/>
          <w:sz w:val="32"/>
          <w:szCs w:val="32"/>
          <w:rtl/>
          <w:lang w:bidi="he-IL"/>
        </w:rPr>
        <w:t>–</w:t>
      </w:r>
    </w:p>
    <w:p w:rsidR="00B71999" w:rsidRDefault="00B71999" w:rsidP="001D04C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>He presented to him in his own handwriting that he owes him; he can collect from the unencumbered properties</w:t>
      </w:r>
    </w:p>
    <w:p w:rsidR="00B71999" w:rsidRDefault="00B71999" w:rsidP="001D04C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B71999" w:rsidRPr="001D04C2" w:rsidRDefault="00A13689" w:rsidP="001D04C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D04C2">
        <w:rPr>
          <w:rFonts w:ascii="Copperplate Gothic Bold" w:hAnsi="Copperplate Gothic Bold"/>
          <w:u w:val="double"/>
          <w:lang w:bidi="he-IL"/>
        </w:rPr>
        <w:t>Overview</w:t>
      </w:r>
    </w:p>
    <w:p w:rsidR="00A13689" w:rsidRPr="00A13689" w:rsidRDefault="00530A12" w:rsidP="001D04C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cites a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that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presents the handwriting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on a document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owes monies to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may collect that sum from the </w:t>
      </w:r>
      <w:r>
        <w:rPr>
          <w:rFonts w:hint="cs"/>
          <w:rtl/>
          <w:lang w:bidi="he-IL"/>
        </w:rPr>
        <w:t xml:space="preserve">נכסים </w:t>
      </w:r>
      <w:r w:rsidR="00AD6427">
        <w:rPr>
          <w:rFonts w:hint="cs"/>
          <w:rtl/>
          <w:lang w:bidi="he-IL"/>
        </w:rPr>
        <w:t>בני חורין</w:t>
      </w:r>
      <w:r>
        <w:rPr>
          <w:lang w:bidi="he-IL"/>
        </w:rPr>
        <w:t xml:space="preserve"> of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. The issue in this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is; what is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claiming? Is he claiming I never borrowed the money; or is he claiming I paid the loan already? Perhaps there is no difference.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states that this is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 between 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>.</w:t>
      </w:r>
    </w:p>
    <w:p w:rsidR="00B71999" w:rsidRPr="00B813F0" w:rsidRDefault="00B813F0" w:rsidP="001D04C2">
      <w:pPr>
        <w:widowControl w:val="0"/>
        <w:spacing w:line="276" w:lineRule="auto"/>
        <w:jc w:val="center"/>
        <w:rPr>
          <w:sz w:val="24"/>
          <w:szCs w:val="24"/>
          <w:lang w:bidi="he-IL"/>
        </w:rPr>
      </w:pPr>
      <w:r w:rsidRPr="00B813F0">
        <w:rPr>
          <w:sz w:val="24"/>
          <w:szCs w:val="24"/>
          <w:lang w:bidi="he-IL"/>
        </w:rPr>
        <w:t>--------------</w:t>
      </w:r>
    </w:p>
    <w:p w:rsidR="0048253B" w:rsidRPr="00D3138B" w:rsidRDefault="00B71999" w:rsidP="001D04C2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3138B">
        <w:rPr>
          <w:rFonts w:cs="David" w:hint="cs"/>
          <w:b/>
          <w:bCs/>
          <w:rtl/>
          <w:lang w:bidi="he-IL"/>
        </w:rPr>
        <w:t>פסק רב אלפס</w:t>
      </w:r>
      <w:r w:rsidR="00653168" w:rsidRPr="00D3138B">
        <w:rPr>
          <w:rStyle w:val="FootnoteReference"/>
          <w:rFonts w:cs="David"/>
          <w:b/>
          <w:bCs/>
          <w:rtl/>
          <w:lang w:bidi="he-IL"/>
        </w:rPr>
        <w:footnoteReference w:id="1"/>
      </w:r>
      <w:r w:rsidRPr="00D3138B">
        <w:rPr>
          <w:rFonts w:cs="David" w:hint="cs"/>
          <w:b/>
          <w:bCs/>
          <w:rtl/>
          <w:lang w:bidi="he-IL"/>
        </w:rPr>
        <w:t xml:space="preserve"> דווקא כשאומר לא היו דברים מעולם</w:t>
      </w:r>
      <w:r w:rsidR="0048253B" w:rsidRPr="00D3138B">
        <w:rPr>
          <w:rFonts w:cs="David" w:hint="cs"/>
          <w:b/>
          <w:bCs/>
          <w:rtl/>
          <w:lang w:bidi="he-IL"/>
        </w:rPr>
        <w:t xml:space="preserve"> </w:t>
      </w:r>
      <w:r w:rsidR="0048253B" w:rsidRPr="00D3138B">
        <w:rPr>
          <w:rFonts w:cs="David"/>
          <w:b/>
          <w:bCs/>
          <w:rtl/>
          <w:lang w:bidi="he-IL"/>
        </w:rPr>
        <w:t>–</w:t>
      </w:r>
    </w:p>
    <w:p w:rsidR="0048253B" w:rsidRPr="00B813F0" w:rsidRDefault="0048253B" w:rsidP="001D04C2">
      <w:pPr>
        <w:widowControl w:val="0"/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The </w:t>
      </w:r>
      <w:r>
        <w:rPr>
          <w:rFonts w:hint="cs"/>
          <w:b/>
          <w:bCs/>
          <w:rtl/>
          <w:lang w:bidi="he-IL"/>
        </w:rPr>
        <w:t>רי"ף</w:t>
      </w:r>
      <w:r w:rsidR="00530A12">
        <w:rPr>
          <w:rStyle w:val="FootnoteReference"/>
          <w:b/>
          <w:bCs/>
          <w:rtl/>
          <w:lang w:bidi="he-IL"/>
        </w:rPr>
        <w:footnoteReference w:id="2"/>
      </w:r>
      <w:r>
        <w:rPr>
          <w:b/>
          <w:bCs/>
          <w:lang w:bidi="he-IL"/>
        </w:rPr>
        <w:t xml:space="preserve"> ruled </w:t>
      </w:r>
      <w:r>
        <w:rPr>
          <w:lang w:bidi="he-IL"/>
        </w:rPr>
        <w:t xml:space="preserve">that this ruling applies </w:t>
      </w:r>
      <w:r>
        <w:rPr>
          <w:b/>
          <w:bCs/>
          <w:lang w:bidi="he-IL"/>
        </w:rPr>
        <w:t xml:space="preserve">exclusively only if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>claims this never happened;</w:t>
      </w:r>
      <w:r>
        <w:rPr>
          <w:lang w:bidi="he-IL"/>
        </w:rPr>
        <w:t xml:space="preserve"> </w:t>
      </w:r>
      <w:r w:rsidRPr="00B813F0">
        <w:rPr>
          <w:sz w:val="24"/>
          <w:szCs w:val="24"/>
          <w:lang w:bidi="he-IL"/>
        </w:rPr>
        <w:t xml:space="preserve">I never borrowed money from you. In such a case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 is not believed, since the </w:t>
      </w:r>
      <w:r w:rsidRPr="00B813F0">
        <w:rPr>
          <w:rFonts w:hint="cs"/>
          <w:sz w:val="24"/>
          <w:szCs w:val="24"/>
          <w:rtl/>
          <w:lang w:bidi="he-IL"/>
        </w:rPr>
        <w:t>מלוה</w:t>
      </w:r>
      <w:r w:rsidRPr="00B813F0">
        <w:rPr>
          <w:sz w:val="24"/>
          <w:szCs w:val="24"/>
          <w:lang w:bidi="he-IL"/>
        </w:rPr>
        <w:t xml:space="preserve"> has a signed document from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 stating that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 borrowed money from the </w:t>
      </w:r>
      <w:r w:rsidRPr="00B813F0">
        <w:rPr>
          <w:rFonts w:hint="cs"/>
          <w:sz w:val="24"/>
          <w:szCs w:val="24"/>
          <w:rtl/>
          <w:lang w:bidi="he-IL"/>
        </w:rPr>
        <w:t>מלוה</w:t>
      </w:r>
      <w:r w:rsidRPr="00B813F0">
        <w:rPr>
          <w:sz w:val="24"/>
          <w:szCs w:val="24"/>
          <w:lang w:bidi="he-IL"/>
        </w:rPr>
        <w:t xml:space="preserve"> - </w:t>
      </w:r>
      <w:r w:rsidR="00B71999" w:rsidRPr="00B813F0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:rsidR="0048253B" w:rsidRPr="00D3138B" w:rsidRDefault="00B71999" w:rsidP="001D04C2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3138B">
        <w:rPr>
          <w:rFonts w:cs="David" w:hint="cs"/>
          <w:b/>
          <w:bCs/>
          <w:rtl/>
          <w:lang w:bidi="he-IL"/>
        </w:rPr>
        <w:t>אבל נאמן הוא לומר פרעתי ולא מצי אמר ליה שטרך בידי מאי בעי</w:t>
      </w:r>
      <w:r w:rsidR="0048253B" w:rsidRPr="00D3138B">
        <w:rPr>
          <w:rFonts w:cs="David" w:hint="cs"/>
          <w:b/>
          <w:bCs/>
          <w:rtl/>
          <w:lang w:bidi="he-IL"/>
        </w:rPr>
        <w:t xml:space="preserve"> </w:t>
      </w:r>
      <w:r w:rsidR="0048253B" w:rsidRPr="00D3138B">
        <w:rPr>
          <w:rFonts w:cs="David"/>
          <w:b/>
          <w:bCs/>
          <w:rtl/>
          <w:lang w:bidi="he-IL"/>
        </w:rPr>
        <w:t>–</w:t>
      </w:r>
    </w:p>
    <w:p w:rsidR="0048253B" w:rsidRPr="00B813F0" w:rsidRDefault="0048253B" w:rsidP="001D04C2">
      <w:pPr>
        <w:widowControl w:val="0"/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However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believed to claim that I paid </w:t>
      </w:r>
      <w:r>
        <w:rPr>
          <w:lang w:bidi="he-IL"/>
        </w:rPr>
        <w:t xml:space="preserve">this loan; </w:t>
      </w:r>
      <w:r>
        <w:rPr>
          <w:b/>
          <w:bCs/>
          <w:lang w:bidi="he-IL"/>
        </w:rPr>
        <w:t xml:space="preserve">and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cannot counterclaim; what is your </w:t>
      </w:r>
      <w:r>
        <w:rPr>
          <w:rFonts w:hint="cs"/>
          <w:b/>
          <w:bCs/>
          <w:rtl/>
          <w:lang w:bidi="he-IL"/>
        </w:rPr>
        <w:t>שטר</w:t>
      </w:r>
      <w:r>
        <w:rPr>
          <w:b/>
          <w:bCs/>
          <w:lang w:bidi="he-IL"/>
        </w:rPr>
        <w:t xml:space="preserve"> doing in my hand </w:t>
      </w:r>
      <w:r w:rsidRPr="00B813F0">
        <w:rPr>
          <w:sz w:val="24"/>
          <w:szCs w:val="24"/>
          <w:lang w:bidi="he-IL"/>
        </w:rPr>
        <w:t xml:space="preserve">if you already repaid the loan. Seemingly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 should not be believed to claim </w:t>
      </w:r>
      <w:r w:rsidRPr="00B813F0">
        <w:rPr>
          <w:rFonts w:hint="cs"/>
          <w:sz w:val="24"/>
          <w:szCs w:val="24"/>
          <w:rtl/>
          <w:lang w:bidi="he-IL"/>
        </w:rPr>
        <w:t>פרעתי</w:t>
      </w:r>
      <w:r w:rsidR="00265430" w:rsidRPr="00B813F0">
        <w:rPr>
          <w:sz w:val="24"/>
          <w:szCs w:val="24"/>
          <w:lang w:bidi="he-IL"/>
        </w:rPr>
        <w:t>,</w:t>
      </w:r>
      <w:r w:rsidRPr="00B813F0">
        <w:rPr>
          <w:sz w:val="24"/>
          <w:szCs w:val="24"/>
          <w:lang w:bidi="he-IL"/>
        </w:rPr>
        <w:t xml:space="preserve"> for the </w:t>
      </w:r>
      <w:r w:rsidRPr="00B813F0">
        <w:rPr>
          <w:rFonts w:hint="cs"/>
          <w:sz w:val="24"/>
          <w:szCs w:val="24"/>
          <w:rtl/>
          <w:lang w:bidi="he-IL"/>
        </w:rPr>
        <w:t>מלוה</w:t>
      </w:r>
      <w:r w:rsidRPr="00B813F0">
        <w:rPr>
          <w:sz w:val="24"/>
          <w:szCs w:val="24"/>
          <w:lang w:bidi="he-IL"/>
        </w:rPr>
        <w:t xml:space="preserve"> is holding the </w:t>
      </w:r>
      <w:r w:rsidRPr="00B813F0">
        <w:rPr>
          <w:rFonts w:hint="cs"/>
          <w:sz w:val="24"/>
          <w:szCs w:val="24"/>
          <w:rtl/>
          <w:lang w:bidi="he-IL"/>
        </w:rPr>
        <w:t>שטר</w:t>
      </w:r>
      <w:r w:rsidRPr="00B813F0">
        <w:rPr>
          <w:sz w:val="24"/>
          <w:szCs w:val="24"/>
          <w:lang w:bidi="he-IL"/>
        </w:rPr>
        <w:t xml:space="preserve">. If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 </w:t>
      </w:r>
      <w:r w:rsidR="00C0343A" w:rsidRPr="00B813F0">
        <w:rPr>
          <w:sz w:val="24"/>
          <w:szCs w:val="24"/>
          <w:lang w:bidi="he-IL"/>
        </w:rPr>
        <w:t xml:space="preserve">indeed </w:t>
      </w:r>
      <w:r w:rsidRPr="00B813F0">
        <w:rPr>
          <w:sz w:val="24"/>
          <w:szCs w:val="24"/>
          <w:lang w:bidi="he-IL"/>
        </w:rPr>
        <w:t xml:space="preserve">repaid the loan he would have demanded the </w:t>
      </w:r>
      <w:r w:rsidRPr="00B813F0">
        <w:rPr>
          <w:rFonts w:hint="cs"/>
          <w:sz w:val="24"/>
          <w:szCs w:val="24"/>
          <w:rtl/>
          <w:lang w:bidi="he-IL"/>
        </w:rPr>
        <w:t>שטר</w:t>
      </w:r>
      <w:r w:rsidRPr="00B813F0">
        <w:rPr>
          <w:sz w:val="24"/>
          <w:szCs w:val="24"/>
          <w:lang w:bidi="he-IL"/>
        </w:rPr>
        <w:t xml:space="preserve"> back in return. Nevertheless the </w:t>
      </w:r>
      <w:r w:rsidRPr="00B813F0">
        <w:rPr>
          <w:rFonts w:hint="cs"/>
          <w:sz w:val="24"/>
          <w:szCs w:val="24"/>
          <w:rtl/>
          <w:lang w:bidi="he-IL"/>
        </w:rPr>
        <w:t>רי"ף</w:t>
      </w:r>
      <w:r w:rsidRPr="00B813F0">
        <w:rPr>
          <w:sz w:val="24"/>
          <w:szCs w:val="24"/>
          <w:lang w:bidi="he-IL"/>
        </w:rPr>
        <w:t xml:space="preserve"> maintains that this claim of </w:t>
      </w:r>
      <w:r w:rsidRPr="00B813F0">
        <w:rPr>
          <w:rFonts w:hint="cs"/>
          <w:sz w:val="24"/>
          <w:szCs w:val="24"/>
          <w:rtl/>
          <w:lang w:bidi="he-IL"/>
        </w:rPr>
        <w:t>שטרך בידי מאי בעי</w:t>
      </w:r>
      <w:r w:rsidRPr="00B813F0">
        <w:rPr>
          <w:sz w:val="24"/>
          <w:szCs w:val="24"/>
          <w:lang w:bidi="he-IL"/>
        </w:rPr>
        <w:t xml:space="preserve"> is not effective in the case of a </w:t>
      </w:r>
      <w:r w:rsidRPr="00B813F0">
        <w:rPr>
          <w:rFonts w:hint="cs"/>
          <w:sz w:val="24"/>
          <w:szCs w:val="24"/>
          <w:rtl/>
          <w:lang w:bidi="he-IL"/>
        </w:rPr>
        <w:t>כתב יד</w:t>
      </w:r>
      <w:r w:rsidRPr="00B813F0">
        <w:rPr>
          <w:sz w:val="24"/>
          <w:szCs w:val="24"/>
          <w:lang w:bidi="he-IL"/>
        </w:rPr>
        <w:t xml:space="preserve"> of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>, but rather this claim is effective -</w:t>
      </w:r>
      <w:r w:rsidR="00B71999" w:rsidRPr="00B813F0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:rsidR="0048253B" w:rsidRPr="00D3138B" w:rsidRDefault="00B71999" w:rsidP="001D04C2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3138B">
        <w:rPr>
          <w:rFonts w:cs="David" w:hint="cs"/>
          <w:b/>
          <w:bCs/>
          <w:rtl/>
          <w:lang w:bidi="he-IL"/>
        </w:rPr>
        <w:t>אלא בשטר שיש בו עדים דגובה בו מנכסים משועבדים</w:t>
      </w:r>
      <w:r w:rsidR="0048253B" w:rsidRPr="00D3138B">
        <w:rPr>
          <w:rFonts w:cs="David" w:hint="cs"/>
          <w:b/>
          <w:bCs/>
          <w:rtl/>
          <w:lang w:bidi="he-IL"/>
        </w:rPr>
        <w:t xml:space="preserve"> </w:t>
      </w:r>
      <w:r w:rsidR="0048253B" w:rsidRPr="00D3138B">
        <w:rPr>
          <w:rFonts w:cs="David"/>
          <w:b/>
          <w:bCs/>
          <w:rtl/>
          <w:lang w:bidi="he-IL"/>
        </w:rPr>
        <w:t>–</w:t>
      </w:r>
    </w:p>
    <w:p w:rsidR="0048253B" w:rsidRDefault="0048253B" w:rsidP="001D04C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Only by a </w:t>
      </w:r>
      <w:r>
        <w:rPr>
          <w:rFonts w:hint="cs"/>
          <w:b/>
          <w:bCs/>
          <w:rtl/>
          <w:lang w:bidi="he-IL"/>
        </w:rPr>
        <w:t>שטר</w:t>
      </w:r>
      <w:r>
        <w:rPr>
          <w:b/>
          <w:bCs/>
          <w:lang w:bidi="he-IL"/>
        </w:rPr>
        <w:t xml:space="preserve"> which </w:t>
      </w:r>
      <w:r>
        <w:rPr>
          <w:rFonts w:hint="cs"/>
          <w:b/>
          <w:bCs/>
          <w:rtl/>
          <w:lang w:bidi="he-IL"/>
        </w:rPr>
        <w:t>עדים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>signed</w:t>
      </w:r>
      <w:r w:rsidR="00265430">
        <w:rPr>
          <w:lang w:bidi="he-IL"/>
        </w:rPr>
        <w:t xml:space="preserve"> on</w:t>
      </w:r>
      <w:r>
        <w:rPr>
          <w:lang w:bidi="he-IL"/>
        </w:rPr>
        <w:t xml:space="preserve">; for with such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can collect </w:t>
      </w:r>
      <w:r>
        <w:rPr>
          <w:lang w:bidi="he-IL"/>
        </w:rPr>
        <w:t xml:space="preserve">(even) </w:t>
      </w:r>
      <w:r>
        <w:rPr>
          <w:b/>
          <w:bCs/>
          <w:lang w:bidi="he-IL"/>
        </w:rPr>
        <w:t xml:space="preserve">from encumbered properties </w:t>
      </w:r>
      <w:r w:rsidRPr="00B813F0">
        <w:rPr>
          <w:sz w:val="24"/>
          <w:szCs w:val="24"/>
          <w:lang w:bidi="he-IL"/>
        </w:rPr>
        <w:t xml:space="preserve">(properties which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 sold after the loan).</w:t>
      </w:r>
      <w:r w:rsidR="00265430" w:rsidRPr="00B813F0">
        <w:rPr>
          <w:rStyle w:val="FootnoteReference"/>
          <w:sz w:val="24"/>
          <w:szCs w:val="24"/>
          <w:lang w:bidi="he-IL"/>
        </w:rPr>
        <w:footnoteReference w:id="3"/>
      </w:r>
    </w:p>
    <w:p w:rsidR="00B813F0" w:rsidRPr="00B813F0" w:rsidRDefault="00B813F0" w:rsidP="001D04C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lastRenderedPageBreak/>
        <w:t>תוספות</w:t>
      </w:r>
      <w:r>
        <w:rPr>
          <w:sz w:val="24"/>
          <w:szCs w:val="24"/>
          <w:lang w:bidi="he-IL"/>
        </w:rPr>
        <w:t xml:space="preserve"> cites a differing opinion</w:t>
      </w:r>
    </w:p>
    <w:p w:rsidR="00265430" w:rsidRPr="00D3138B" w:rsidRDefault="00B71999" w:rsidP="001D04C2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D3138B">
        <w:rPr>
          <w:rFonts w:cs="David" w:hint="cs"/>
          <w:b/>
          <w:bCs/>
          <w:rtl/>
          <w:lang w:bidi="he-IL"/>
        </w:rPr>
        <w:t>ואין נראה לרבינו יצחק כי מנין לו זה החילוק</w:t>
      </w:r>
      <w:r w:rsidR="00265430" w:rsidRPr="00D3138B">
        <w:rPr>
          <w:rFonts w:cs="David" w:hint="cs"/>
          <w:b/>
          <w:bCs/>
          <w:rtl/>
          <w:lang w:bidi="he-IL"/>
        </w:rPr>
        <w:t xml:space="preserve"> </w:t>
      </w:r>
      <w:r w:rsidR="00265430" w:rsidRPr="00D3138B">
        <w:rPr>
          <w:rFonts w:cs="David"/>
          <w:b/>
          <w:bCs/>
          <w:rtl/>
          <w:lang w:bidi="he-IL"/>
        </w:rPr>
        <w:t>–</w:t>
      </w:r>
    </w:p>
    <w:p w:rsidR="0048253B" w:rsidRPr="00B813F0" w:rsidRDefault="00265430" w:rsidP="001D04C2">
      <w:pPr>
        <w:widowControl w:val="0"/>
        <w:spacing w:line="276" w:lineRule="auto"/>
        <w:jc w:val="both"/>
        <w:rPr>
          <w:rFonts w:hint="cs"/>
          <w:b/>
          <w:bCs/>
          <w:sz w:val="24"/>
          <w:szCs w:val="24"/>
          <w:rtl/>
          <w:lang w:bidi="he-IL"/>
        </w:rPr>
      </w:pPr>
      <w:r>
        <w:rPr>
          <w:b/>
          <w:bCs/>
          <w:lang w:bidi="he-IL"/>
        </w:rPr>
        <w:t xml:space="preserve">And the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does not agree </w:t>
      </w:r>
      <w:r>
        <w:rPr>
          <w:lang w:bidi="he-IL"/>
        </w:rPr>
        <w:t xml:space="preserve">with 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; </w:t>
      </w:r>
      <w:r>
        <w:rPr>
          <w:b/>
          <w:bCs/>
          <w:lang w:bidi="he-IL"/>
        </w:rPr>
        <w:t>for</w:t>
      </w:r>
      <w:r w:rsidR="007D6D38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claims 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from where does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derive this </w:t>
      </w:r>
      <w:r w:rsidRPr="00AD6427">
        <w:rPr>
          <w:b/>
          <w:bCs/>
          <w:lang w:bidi="he-IL"/>
        </w:rPr>
        <w:t>difference</w:t>
      </w:r>
      <w:r w:rsidRPr="00B813F0">
        <w:rPr>
          <w:b/>
          <w:bCs/>
          <w:sz w:val="24"/>
          <w:szCs w:val="24"/>
          <w:lang w:bidi="he-IL"/>
        </w:rPr>
        <w:t xml:space="preserve"> </w:t>
      </w:r>
      <w:r w:rsidRPr="00B813F0">
        <w:rPr>
          <w:sz w:val="24"/>
          <w:szCs w:val="24"/>
          <w:lang w:bidi="he-IL"/>
        </w:rPr>
        <w:t xml:space="preserve">between </w:t>
      </w:r>
      <w:r w:rsidRPr="00B813F0">
        <w:rPr>
          <w:rFonts w:hint="cs"/>
          <w:sz w:val="24"/>
          <w:szCs w:val="24"/>
          <w:rtl/>
          <w:lang w:bidi="he-IL"/>
        </w:rPr>
        <w:t>כת"י</w:t>
      </w:r>
      <w:r w:rsidRPr="00B813F0">
        <w:rPr>
          <w:sz w:val="24"/>
          <w:szCs w:val="24"/>
          <w:lang w:bidi="he-IL"/>
        </w:rPr>
        <w:t xml:space="preserve"> and </w:t>
      </w:r>
      <w:r w:rsidRPr="00B813F0">
        <w:rPr>
          <w:rFonts w:hint="cs"/>
          <w:sz w:val="24"/>
          <w:szCs w:val="24"/>
          <w:rtl/>
          <w:lang w:bidi="he-IL"/>
        </w:rPr>
        <w:t>עדים</w:t>
      </w:r>
      <w:r w:rsidR="007D6D38" w:rsidRPr="00B813F0">
        <w:rPr>
          <w:sz w:val="24"/>
          <w:szCs w:val="24"/>
          <w:lang w:bidi="he-IL"/>
        </w:rPr>
        <w:t xml:space="preserve">. </w:t>
      </w:r>
      <w:r w:rsidR="007D6D38" w:rsidRPr="00B813F0">
        <w:rPr>
          <w:rFonts w:hint="cs"/>
          <w:sz w:val="24"/>
          <w:szCs w:val="24"/>
          <w:rtl/>
          <w:lang w:bidi="he-IL"/>
        </w:rPr>
        <w:t>תוספות</w:t>
      </w:r>
      <w:r w:rsidR="007D6D38" w:rsidRPr="00B813F0">
        <w:rPr>
          <w:sz w:val="24"/>
          <w:szCs w:val="24"/>
          <w:lang w:bidi="he-IL"/>
        </w:rPr>
        <w:t xml:space="preserve"> explains the </w:t>
      </w:r>
      <w:r w:rsidR="007D6D38" w:rsidRPr="00B813F0">
        <w:rPr>
          <w:rFonts w:hint="cs"/>
          <w:sz w:val="24"/>
          <w:szCs w:val="24"/>
          <w:rtl/>
          <w:lang w:bidi="he-IL"/>
        </w:rPr>
        <w:t>ר"י</w:t>
      </w:r>
      <w:r w:rsidR="007D6D38" w:rsidRPr="00B813F0">
        <w:rPr>
          <w:sz w:val="24"/>
          <w:szCs w:val="24"/>
          <w:lang w:bidi="he-IL"/>
        </w:rPr>
        <w:t xml:space="preserve"> -</w:t>
      </w:r>
      <w:r w:rsidR="00B71999" w:rsidRPr="00B813F0">
        <w:rPr>
          <w:rFonts w:hint="cs"/>
          <w:b/>
          <w:bCs/>
          <w:sz w:val="24"/>
          <w:szCs w:val="24"/>
          <w:rtl/>
          <w:lang w:bidi="he-IL"/>
        </w:rPr>
        <w:t xml:space="preserve"> </w:t>
      </w:r>
    </w:p>
    <w:p w:rsidR="00B71999" w:rsidRPr="00D3138B" w:rsidRDefault="00B71999" w:rsidP="001D04C2">
      <w:pPr>
        <w:widowControl w:val="0"/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3138B">
        <w:rPr>
          <w:rFonts w:cs="David" w:hint="cs"/>
          <w:b/>
          <w:bCs/>
          <w:rtl/>
          <w:lang w:bidi="he-IL"/>
        </w:rPr>
        <w:t>כי סבר</w:t>
      </w:r>
      <w:r w:rsidR="00653168" w:rsidRPr="00D3138B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Pr="00D3138B">
        <w:rPr>
          <w:rFonts w:cs="David" w:hint="cs"/>
          <w:b/>
          <w:bCs/>
          <w:rtl/>
          <w:lang w:bidi="he-IL"/>
        </w:rPr>
        <w:t xml:space="preserve"> דבכל שטר אינו רגיל לפרוע עד שיחזיר לו שטרו</w:t>
      </w:r>
      <w:r w:rsidR="007D6D38" w:rsidRPr="00D3138B">
        <w:rPr>
          <w:rFonts w:cs="David" w:hint="cs"/>
          <w:b/>
          <w:bCs/>
          <w:rtl/>
          <w:lang w:bidi="he-IL"/>
        </w:rPr>
        <w:t xml:space="preserve"> </w:t>
      </w:r>
      <w:r w:rsidR="007D6D38" w:rsidRPr="00D3138B">
        <w:rPr>
          <w:rFonts w:cs="David"/>
          <w:b/>
          <w:bCs/>
          <w:rtl/>
          <w:lang w:bidi="he-IL"/>
        </w:rPr>
        <w:t>–</w:t>
      </w:r>
    </w:p>
    <w:p w:rsidR="007D6D38" w:rsidRPr="00B813F0" w:rsidRDefault="007D6D38" w:rsidP="001D04C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Because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maintains that by every </w:t>
      </w:r>
      <w:r>
        <w:rPr>
          <w:rFonts w:hint="cs"/>
          <w:b/>
          <w:bCs/>
          <w:rtl/>
          <w:lang w:bidi="he-IL"/>
        </w:rPr>
        <w:t>שטר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(regardless if it is </w:t>
      </w:r>
      <w:r>
        <w:rPr>
          <w:rFonts w:hint="cs"/>
          <w:rtl/>
          <w:lang w:bidi="he-IL"/>
        </w:rPr>
        <w:t>בעדים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בכת"י</w:t>
      </w:r>
      <w:r>
        <w:rPr>
          <w:lang w:bidi="he-IL"/>
        </w:rPr>
        <w:t xml:space="preserve">) </w:t>
      </w:r>
      <w:r>
        <w:rPr>
          <w:b/>
          <w:bCs/>
          <w:lang w:bidi="he-IL"/>
        </w:rPr>
        <w:t xml:space="preserve">it is not </w:t>
      </w:r>
      <w:r w:rsidR="00B27B53">
        <w:rPr>
          <w:b/>
          <w:bCs/>
          <w:lang w:bidi="he-IL"/>
        </w:rPr>
        <w:t>usual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for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to pay until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returns the </w:t>
      </w:r>
      <w:r>
        <w:rPr>
          <w:rFonts w:hint="cs"/>
          <w:b/>
          <w:bCs/>
          <w:rtl/>
          <w:lang w:bidi="he-IL"/>
        </w:rPr>
        <w:t>שטר</w:t>
      </w:r>
      <w:r>
        <w:rPr>
          <w:b/>
          <w:bCs/>
          <w:lang w:bidi="he-IL"/>
        </w:rPr>
        <w:t xml:space="preserve"> </w:t>
      </w:r>
      <w:r w:rsidRPr="00B813F0">
        <w:rPr>
          <w:sz w:val="24"/>
          <w:szCs w:val="24"/>
          <w:lang w:bidi="he-IL"/>
        </w:rPr>
        <w:t xml:space="preserve">to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. Therefore the claim of </w:t>
      </w:r>
      <w:r w:rsidRPr="00B813F0">
        <w:rPr>
          <w:rFonts w:hint="cs"/>
          <w:sz w:val="24"/>
          <w:szCs w:val="24"/>
          <w:rtl/>
          <w:lang w:bidi="he-IL"/>
        </w:rPr>
        <w:t>שטרך בידי מאי בעי</w:t>
      </w:r>
      <w:r w:rsidRPr="00B813F0">
        <w:rPr>
          <w:sz w:val="24"/>
          <w:szCs w:val="24"/>
          <w:lang w:bidi="he-IL"/>
        </w:rPr>
        <w:t xml:space="preserve"> is always valid even by </w:t>
      </w:r>
      <w:r w:rsidRPr="00B813F0">
        <w:rPr>
          <w:rFonts w:hint="cs"/>
          <w:sz w:val="24"/>
          <w:szCs w:val="24"/>
          <w:rtl/>
          <w:lang w:bidi="he-IL"/>
        </w:rPr>
        <w:t>כת"י</w:t>
      </w:r>
      <w:r w:rsidRPr="00B813F0">
        <w:rPr>
          <w:sz w:val="24"/>
          <w:szCs w:val="24"/>
          <w:lang w:bidi="he-IL"/>
        </w:rPr>
        <w:t xml:space="preserve">. According to the </w:t>
      </w:r>
      <w:r w:rsidRPr="00B813F0">
        <w:rPr>
          <w:rFonts w:hint="cs"/>
          <w:sz w:val="24"/>
          <w:szCs w:val="24"/>
          <w:rtl/>
          <w:lang w:bidi="he-IL"/>
        </w:rPr>
        <w:t>ר"י</w:t>
      </w:r>
      <w:r w:rsidRPr="00B813F0">
        <w:rPr>
          <w:sz w:val="24"/>
          <w:szCs w:val="24"/>
          <w:lang w:bidi="he-IL"/>
        </w:rPr>
        <w:t xml:space="preserve">, the </w:t>
      </w:r>
      <w:r w:rsidRPr="00B813F0">
        <w:rPr>
          <w:rFonts w:hint="cs"/>
          <w:sz w:val="24"/>
          <w:szCs w:val="24"/>
          <w:rtl/>
          <w:lang w:bidi="he-IL"/>
        </w:rPr>
        <w:t>לוה</w:t>
      </w:r>
      <w:r w:rsidRPr="00B813F0">
        <w:rPr>
          <w:sz w:val="24"/>
          <w:szCs w:val="24"/>
          <w:lang w:bidi="he-IL"/>
        </w:rPr>
        <w:t xml:space="preserve"> is not believed to claim </w:t>
      </w:r>
      <w:r w:rsidRPr="00B813F0">
        <w:rPr>
          <w:rFonts w:hint="cs"/>
          <w:sz w:val="24"/>
          <w:szCs w:val="24"/>
          <w:rtl/>
          <w:lang w:bidi="he-IL"/>
        </w:rPr>
        <w:t>פרעתי</w:t>
      </w:r>
      <w:r w:rsidRPr="00B813F0">
        <w:rPr>
          <w:sz w:val="24"/>
          <w:szCs w:val="24"/>
          <w:lang w:bidi="he-IL"/>
        </w:rPr>
        <w:t xml:space="preserve">, even if the </w:t>
      </w:r>
      <w:r w:rsidRPr="00B813F0">
        <w:rPr>
          <w:rFonts w:hint="cs"/>
          <w:sz w:val="24"/>
          <w:szCs w:val="24"/>
          <w:rtl/>
          <w:lang w:bidi="he-IL"/>
        </w:rPr>
        <w:t>שטר</w:t>
      </w:r>
      <w:r w:rsidRPr="00B813F0">
        <w:rPr>
          <w:sz w:val="24"/>
          <w:szCs w:val="24"/>
          <w:lang w:bidi="he-IL"/>
        </w:rPr>
        <w:t xml:space="preserve"> is only </w:t>
      </w:r>
      <w:r w:rsidRPr="00B813F0">
        <w:rPr>
          <w:rFonts w:hint="cs"/>
          <w:sz w:val="24"/>
          <w:szCs w:val="24"/>
          <w:rtl/>
          <w:lang w:bidi="he-IL"/>
        </w:rPr>
        <w:t>בכת"י</w:t>
      </w:r>
      <w:r w:rsidRPr="00B813F0">
        <w:rPr>
          <w:sz w:val="24"/>
          <w:szCs w:val="24"/>
          <w:lang w:bidi="he-IL"/>
        </w:rPr>
        <w:t xml:space="preserve">, without </w:t>
      </w:r>
      <w:r w:rsidRPr="00B813F0">
        <w:rPr>
          <w:rFonts w:hint="cs"/>
          <w:sz w:val="24"/>
          <w:szCs w:val="24"/>
          <w:rtl/>
          <w:lang w:bidi="he-IL"/>
        </w:rPr>
        <w:t>עדים</w:t>
      </w:r>
      <w:r w:rsidRPr="00B813F0">
        <w:rPr>
          <w:sz w:val="24"/>
          <w:szCs w:val="24"/>
          <w:lang w:bidi="he-IL"/>
        </w:rPr>
        <w:t>.</w:t>
      </w:r>
    </w:p>
    <w:p w:rsidR="00B27B53" w:rsidRPr="00B813F0" w:rsidRDefault="00B27B53" w:rsidP="001D04C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B27B53" w:rsidRPr="001D04C2" w:rsidRDefault="00B27B53" w:rsidP="001D04C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D04C2">
        <w:rPr>
          <w:rFonts w:ascii="Copperplate Gothic Bold" w:hAnsi="Copperplate Gothic Bold"/>
          <w:u w:val="double"/>
          <w:lang w:bidi="he-IL"/>
        </w:rPr>
        <w:t>Summary</w:t>
      </w:r>
    </w:p>
    <w:p w:rsidR="00B27B53" w:rsidRDefault="00B813F0" w:rsidP="001D04C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In a case of </w:t>
      </w:r>
      <w:r>
        <w:rPr>
          <w:rFonts w:hint="cs"/>
          <w:rtl/>
          <w:lang w:bidi="he-IL"/>
        </w:rPr>
        <w:t>הוציא עליו כת"י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maintains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believed to claim </w:t>
      </w:r>
      <w:r>
        <w:rPr>
          <w:rFonts w:hint="cs"/>
          <w:rtl/>
          <w:lang w:bidi="he-IL"/>
        </w:rPr>
        <w:t>להד"ם</w:t>
      </w:r>
      <w:r>
        <w:rPr>
          <w:lang w:bidi="he-IL"/>
        </w:rPr>
        <w:t xml:space="preserve">, however he is believed to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. The </w:t>
      </w:r>
      <w:r>
        <w:rPr>
          <w:rtl/>
          <w:lang w:bidi="he-IL"/>
        </w:rPr>
        <w:t>ר</w:t>
      </w:r>
      <w:r>
        <w:rPr>
          <w:rFonts w:hint="cs"/>
          <w:rtl/>
          <w:lang w:bidi="he-IL"/>
        </w:rPr>
        <w:t>"י</w:t>
      </w:r>
      <w:r>
        <w:rPr>
          <w:lang w:bidi="he-IL"/>
        </w:rPr>
        <w:t xml:space="preserve"> argues and maintains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believed to claim either </w:t>
      </w:r>
      <w:r>
        <w:rPr>
          <w:rFonts w:hint="cs"/>
          <w:rtl/>
          <w:lang w:bidi="he-IL"/>
        </w:rPr>
        <w:t>להד"ם</w:t>
      </w:r>
      <w:r>
        <w:rPr>
          <w:lang w:bidi="he-IL"/>
        </w:rPr>
        <w:t xml:space="preserve"> or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.</w:t>
      </w:r>
    </w:p>
    <w:p w:rsidR="00B27B53" w:rsidRPr="00B813F0" w:rsidRDefault="00B27B53" w:rsidP="001D04C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B27B53" w:rsidRPr="001D04C2" w:rsidRDefault="00B27B53" w:rsidP="001D04C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1D04C2">
        <w:rPr>
          <w:rFonts w:ascii="Copperplate Gothic Bold" w:hAnsi="Copperplate Gothic Bold"/>
          <w:u w:val="double"/>
          <w:lang w:bidi="he-IL"/>
        </w:rPr>
        <w:t>Thinking it over</w:t>
      </w:r>
    </w:p>
    <w:p w:rsidR="00B27B53" w:rsidRDefault="00AD6427" w:rsidP="001D04C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1. </w:t>
      </w:r>
      <w:r w:rsidR="00B27B53">
        <w:rPr>
          <w:lang w:bidi="he-IL"/>
        </w:rPr>
        <w:t xml:space="preserve">According to the </w:t>
      </w:r>
      <w:r w:rsidR="00B27B53">
        <w:rPr>
          <w:rFonts w:hint="cs"/>
          <w:rtl/>
          <w:lang w:bidi="he-IL"/>
        </w:rPr>
        <w:t>רי"ף</w:t>
      </w:r>
      <w:r w:rsidR="00B27B53">
        <w:rPr>
          <w:lang w:bidi="he-IL"/>
        </w:rPr>
        <w:t xml:space="preserve"> the </w:t>
      </w:r>
      <w:r w:rsidR="00B27B53">
        <w:rPr>
          <w:rFonts w:hint="cs"/>
          <w:rtl/>
          <w:lang w:bidi="he-IL"/>
        </w:rPr>
        <w:t>לוה</w:t>
      </w:r>
      <w:r w:rsidR="00B27B53">
        <w:rPr>
          <w:lang w:bidi="he-IL"/>
        </w:rPr>
        <w:t xml:space="preserve"> is believed to claim </w:t>
      </w:r>
      <w:r w:rsidR="00B27B53">
        <w:rPr>
          <w:rFonts w:hint="cs"/>
          <w:rtl/>
          <w:lang w:bidi="he-IL"/>
        </w:rPr>
        <w:t>פרעתי</w:t>
      </w:r>
      <w:r w:rsidR="00B27B53">
        <w:rPr>
          <w:lang w:bidi="he-IL"/>
        </w:rPr>
        <w:t xml:space="preserve"> if </w:t>
      </w:r>
      <w:r w:rsidR="00B27B53">
        <w:rPr>
          <w:rFonts w:hint="cs"/>
          <w:rtl/>
          <w:lang w:bidi="he-IL"/>
        </w:rPr>
        <w:t>הוציא עליו כת"י</w:t>
      </w:r>
      <w:r w:rsidR="00B27B53">
        <w:rPr>
          <w:lang w:bidi="he-IL"/>
        </w:rPr>
        <w:t xml:space="preserve">. Why then are we concerned not to tender the signature on a </w:t>
      </w:r>
      <w:r w:rsidR="00B27B53">
        <w:rPr>
          <w:rFonts w:hint="cs"/>
          <w:rtl/>
          <w:lang w:bidi="he-IL"/>
        </w:rPr>
        <w:t>מגילתא</w:t>
      </w:r>
      <w:r w:rsidR="00B27B53">
        <w:rPr>
          <w:lang w:bidi="he-IL"/>
        </w:rPr>
        <w:t xml:space="preserve">? If an alleged false </w:t>
      </w:r>
      <w:r w:rsidR="00B27B53">
        <w:rPr>
          <w:rFonts w:hint="cs"/>
          <w:rtl/>
          <w:lang w:bidi="he-IL"/>
        </w:rPr>
        <w:t>מלוה</w:t>
      </w:r>
      <w:r w:rsidR="00B27B53">
        <w:rPr>
          <w:lang w:bidi="he-IL"/>
        </w:rPr>
        <w:t xml:space="preserve"> will present it, the alleged </w:t>
      </w:r>
      <w:r w:rsidR="00B27B53">
        <w:rPr>
          <w:rFonts w:hint="cs"/>
          <w:rtl/>
          <w:lang w:bidi="he-IL"/>
        </w:rPr>
        <w:t>לוה</w:t>
      </w:r>
      <w:r w:rsidR="00B27B53">
        <w:rPr>
          <w:lang w:bidi="he-IL"/>
        </w:rPr>
        <w:t xml:space="preserve"> can claim </w:t>
      </w:r>
      <w:r w:rsidR="00B27B53">
        <w:rPr>
          <w:rFonts w:hint="cs"/>
          <w:rtl/>
          <w:lang w:bidi="he-IL"/>
        </w:rPr>
        <w:t>פרעתי</w:t>
      </w:r>
      <w:r w:rsidR="00B27B53">
        <w:rPr>
          <w:lang w:bidi="he-IL"/>
        </w:rPr>
        <w:t>, and will not suffer any loss</w:t>
      </w:r>
      <w:r w:rsidR="00B813F0">
        <w:rPr>
          <w:lang w:bidi="he-IL"/>
        </w:rPr>
        <w:t>,</w:t>
      </w:r>
      <w:r w:rsidR="00B27B53">
        <w:rPr>
          <w:lang w:bidi="he-IL"/>
        </w:rPr>
        <w:t xml:space="preserve"> for he is </w:t>
      </w:r>
      <w:r w:rsidR="00C0343A">
        <w:rPr>
          <w:lang w:bidi="he-IL"/>
        </w:rPr>
        <w:t>believed</w:t>
      </w:r>
      <w:r w:rsidR="00C0343A">
        <w:rPr>
          <w:rStyle w:val="FootnoteReference"/>
          <w:lang w:bidi="he-IL"/>
        </w:rPr>
        <w:footnoteReference w:id="5"/>
      </w:r>
      <w:r w:rsidR="00B27B53">
        <w:rPr>
          <w:lang w:bidi="he-IL"/>
        </w:rPr>
        <w:t>!</w:t>
      </w:r>
    </w:p>
    <w:p w:rsidR="00AD6427" w:rsidRDefault="00AD6427" w:rsidP="001D04C2">
      <w:pPr>
        <w:widowControl w:val="0"/>
        <w:spacing w:line="276" w:lineRule="auto"/>
        <w:jc w:val="both"/>
        <w:rPr>
          <w:lang w:bidi="he-IL"/>
        </w:rPr>
      </w:pPr>
    </w:p>
    <w:p w:rsidR="00AD6427" w:rsidRDefault="00AD6427" w:rsidP="001D04C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Similarly according to 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why is not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believed with the </w:t>
      </w:r>
      <w:r>
        <w:rPr>
          <w:rFonts w:hint="cs"/>
          <w:rtl/>
          <w:lang w:bidi="he-IL"/>
        </w:rPr>
        <w:t>טענה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להד"ם</w:t>
      </w:r>
      <w:r>
        <w:rPr>
          <w:lang w:bidi="he-IL"/>
        </w:rPr>
        <w:t xml:space="preserve"> with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?!</w:t>
      </w:r>
    </w:p>
    <w:p w:rsidR="006633A3" w:rsidRDefault="006633A3" w:rsidP="001D04C2">
      <w:pPr>
        <w:widowControl w:val="0"/>
        <w:spacing w:line="276" w:lineRule="auto"/>
        <w:jc w:val="both"/>
        <w:rPr>
          <w:lang w:bidi="he-IL"/>
        </w:rPr>
      </w:pPr>
    </w:p>
    <w:p w:rsidR="006633A3" w:rsidRPr="00B27B53" w:rsidRDefault="006633A3" w:rsidP="001D04C2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3. What would 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maintain if it was a </w:t>
      </w:r>
      <w:r>
        <w:rPr>
          <w:rFonts w:hint="cs"/>
          <w:rtl/>
          <w:lang w:bidi="he-IL"/>
        </w:rPr>
        <w:t>שטר בעדים</w:t>
      </w:r>
      <w:r>
        <w:rPr>
          <w:lang w:bidi="he-IL"/>
        </w:rPr>
        <w:t xml:space="preserve">; however it stated clearly that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 only collect </w:t>
      </w:r>
      <w:r>
        <w:rPr>
          <w:rFonts w:hint="cs"/>
          <w:rtl/>
          <w:lang w:bidi="he-IL"/>
        </w:rPr>
        <w:t>מנכסים בני חורין</w:t>
      </w:r>
      <w:r>
        <w:rPr>
          <w:lang w:bidi="he-IL"/>
        </w:rPr>
        <w:t xml:space="preserve">; not from </w:t>
      </w:r>
      <w:r>
        <w:rPr>
          <w:rFonts w:hint="cs"/>
          <w:rtl/>
          <w:lang w:bidi="he-IL"/>
        </w:rPr>
        <w:t>נכסים משועבדים</w:t>
      </w:r>
      <w:r>
        <w:rPr>
          <w:lang w:bidi="he-IL"/>
        </w:rPr>
        <w:t xml:space="preserve">; will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be </w:t>
      </w:r>
      <w:r>
        <w:rPr>
          <w:rFonts w:hint="cs"/>
          <w:rtl/>
          <w:lang w:bidi="he-IL"/>
        </w:rPr>
        <w:t>נאמן</w:t>
      </w:r>
      <w:r>
        <w:rPr>
          <w:lang w:bidi="he-IL"/>
        </w:rPr>
        <w:t xml:space="preserve"> to claim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?!</w:t>
      </w:r>
      <w:r w:rsidR="008F4A7F">
        <w:rPr>
          <w:rStyle w:val="FootnoteReference"/>
          <w:lang w:bidi="he-IL"/>
        </w:rPr>
        <w:footnoteReference w:id="6"/>
      </w:r>
    </w:p>
    <w:sectPr w:rsidR="006633A3" w:rsidRPr="00B27B53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85" w:rsidRDefault="00691B85">
      <w:r>
        <w:separator/>
      </w:r>
    </w:p>
  </w:endnote>
  <w:endnote w:type="continuationSeparator" w:id="0">
    <w:p w:rsidR="00691B85" w:rsidRDefault="00691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F" w:rsidRDefault="008F4A7F" w:rsidP="007A06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4A7F" w:rsidRDefault="008F4A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4C2" w:rsidRDefault="001D04C2">
    <w:pPr>
      <w:pStyle w:val="Footer"/>
      <w:jc w:val="center"/>
      <w:rPr>
        <w:noProof/>
        <w:sz w:val="16"/>
        <w:szCs w:val="16"/>
      </w:rPr>
    </w:pPr>
    <w:r w:rsidRPr="001D04C2">
      <w:rPr>
        <w:sz w:val="20"/>
        <w:szCs w:val="20"/>
      </w:rPr>
      <w:fldChar w:fldCharType="begin"/>
    </w:r>
    <w:r w:rsidRPr="001D04C2">
      <w:rPr>
        <w:sz w:val="20"/>
        <w:szCs w:val="20"/>
      </w:rPr>
      <w:instrText xml:space="preserve"> PAGE   \* MERGEFORMAT </w:instrText>
    </w:r>
    <w:r w:rsidRPr="001D04C2">
      <w:rPr>
        <w:sz w:val="20"/>
        <w:szCs w:val="20"/>
      </w:rPr>
      <w:fldChar w:fldCharType="separate"/>
    </w:r>
    <w:r w:rsidR="003F33EA">
      <w:rPr>
        <w:noProof/>
        <w:sz w:val="20"/>
        <w:szCs w:val="20"/>
      </w:rPr>
      <w:t>2</w:t>
    </w:r>
    <w:r w:rsidRPr="001D04C2">
      <w:rPr>
        <w:noProof/>
        <w:sz w:val="20"/>
        <w:szCs w:val="20"/>
      </w:rPr>
      <w:fldChar w:fldCharType="end"/>
    </w:r>
  </w:p>
  <w:p w:rsidR="001D04C2" w:rsidRPr="001D04C2" w:rsidRDefault="001D04C2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8F4A7F" w:rsidRPr="00B71999" w:rsidRDefault="008F4A7F" w:rsidP="00B71999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85" w:rsidRDefault="00691B85">
      <w:r>
        <w:separator/>
      </w:r>
    </w:p>
  </w:footnote>
  <w:footnote w:type="continuationSeparator" w:id="0">
    <w:p w:rsidR="00691B85" w:rsidRDefault="00691B85">
      <w:r>
        <w:continuationSeparator/>
      </w:r>
    </w:p>
  </w:footnote>
  <w:footnote w:id="1">
    <w:p w:rsidR="00653168" w:rsidRDefault="00653168" w:rsidP="00653168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the end of </w:t>
      </w:r>
      <w:r>
        <w:rPr>
          <w:rFonts w:hint="cs"/>
          <w:rtl/>
          <w:lang w:bidi="he-IL"/>
        </w:rPr>
        <w:t>מס' ב"ב</w:t>
      </w:r>
      <w:r>
        <w:rPr>
          <w:lang w:bidi="he-IL"/>
        </w:rPr>
        <w:t xml:space="preserve"> (in our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on </w:t>
      </w:r>
      <w:r>
        <w:rPr>
          <w:rFonts w:hint="cs"/>
          <w:rtl/>
          <w:lang w:bidi="he-IL"/>
        </w:rPr>
        <w:t>פג,א</w:t>
      </w:r>
      <w:r>
        <w:rPr>
          <w:lang w:bidi="he-IL"/>
        </w:rPr>
        <w:t>).</w:t>
      </w:r>
    </w:p>
  </w:footnote>
  <w:footnote w:id="2">
    <w:p w:rsidR="008F4A7F" w:rsidRDefault="008F4A7F" w:rsidP="0065316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'רי"ף'</w:t>
      </w:r>
      <w:r>
        <w:rPr>
          <w:lang w:bidi="he-IL"/>
        </w:rPr>
        <w:t xml:space="preserve">, is the common abbreviation for </w:t>
      </w:r>
      <w:r>
        <w:rPr>
          <w:rFonts w:hint="cs"/>
          <w:rtl/>
          <w:lang w:bidi="he-IL"/>
        </w:rPr>
        <w:t>ר' יצחק אלפסי</w:t>
      </w:r>
      <w:r>
        <w:rPr>
          <w:lang w:bidi="he-IL"/>
        </w:rPr>
        <w:t xml:space="preserve">; or </w:t>
      </w:r>
      <w:r>
        <w:rPr>
          <w:rFonts w:hint="cs"/>
          <w:rtl/>
          <w:lang w:bidi="he-IL"/>
        </w:rPr>
        <w:t>רב אלפס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lived in the city of </w:t>
      </w:r>
      <w:r>
        <w:rPr>
          <w:rFonts w:hint="cs"/>
          <w:rtl/>
          <w:lang w:bidi="he-IL"/>
        </w:rPr>
        <w:t>פ</w:t>
      </w:r>
      <w:r w:rsidRPr="00530A12">
        <w:rPr>
          <w:rFonts w:hint="cs"/>
          <w:u w:val="single"/>
          <w:rtl/>
          <w:lang w:bidi="he-IL"/>
        </w:rPr>
        <w:t>א</w:t>
      </w:r>
      <w:r>
        <w:rPr>
          <w:rFonts w:hint="cs"/>
          <w:rtl/>
          <w:lang w:bidi="he-IL"/>
        </w:rPr>
        <w:t>ס</w:t>
      </w:r>
      <w:r>
        <w:rPr>
          <w:lang w:bidi="he-IL"/>
        </w:rPr>
        <w:t xml:space="preserve"> (today the city of </w:t>
      </w:r>
      <w:smartTag w:uri="urn:schemas-microsoft-com:office:smarttags" w:element="City">
        <w:r>
          <w:rPr>
            <w:lang w:bidi="he-IL"/>
          </w:rPr>
          <w:t>Fez</w:t>
        </w:r>
      </w:smartTag>
      <w:r>
        <w:rPr>
          <w:lang w:bidi="he-IL"/>
        </w:rPr>
        <w:t xml:space="preserve"> in </w:t>
      </w:r>
      <w:smartTag w:uri="urn:schemas-microsoft-com:office:smarttags" w:element="country-region">
        <w:smartTag w:uri="urn:schemas-microsoft-com:office:smarttags" w:element="place">
          <w:r>
            <w:rPr>
              <w:lang w:bidi="he-IL"/>
            </w:rPr>
            <w:t>Morocco</w:t>
          </w:r>
        </w:smartTag>
      </w:smartTag>
      <w:r>
        <w:rPr>
          <w:lang w:bidi="he-IL"/>
        </w:rPr>
        <w:t xml:space="preserve">). Hence the abbreviation </w:t>
      </w:r>
      <w:r>
        <w:rPr>
          <w:rFonts w:hint="cs"/>
          <w:rtl/>
          <w:lang w:bidi="he-IL"/>
        </w:rPr>
        <w:t>רי"ף</w:t>
      </w:r>
      <w:r>
        <w:rPr>
          <w:lang w:bidi="he-IL"/>
        </w:rPr>
        <w:t xml:space="preserve"> – </w:t>
      </w:r>
      <w:r>
        <w:rPr>
          <w:rFonts w:hint="cs"/>
          <w:rtl/>
          <w:lang w:bidi="he-IL"/>
        </w:rPr>
        <w:t>רבי יצחק (</w:t>
      </w:r>
      <w:r w:rsidRPr="00530A12">
        <w:rPr>
          <w:rFonts w:hint="cs"/>
          <w:u w:val="single"/>
          <w:rtl/>
          <w:lang w:bidi="he-IL"/>
        </w:rPr>
        <w:t>א</w:t>
      </w:r>
      <w:r>
        <w:rPr>
          <w:rFonts w:hint="cs"/>
          <w:rtl/>
          <w:lang w:bidi="he-IL"/>
        </w:rPr>
        <w:t>ל)פאסי</w:t>
      </w:r>
      <w:r>
        <w:rPr>
          <w:lang w:bidi="he-IL"/>
        </w:rPr>
        <w:t xml:space="preserve">; the </w:t>
      </w:r>
      <w:r>
        <w:rPr>
          <w:rFonts w:hint="cs"/>
          <w:rtl/>
          <w:lang w:bidi="he-IL"/>
        </w:rPr>
        <w:t>'</w:t>
      </w:r>
      <w:r w:rsidRPr="00530A12">
        <w:rPr>
          <w:rFonts w:hint="cs"/>
          <w:u w:val="single"/>
          <w:rtl/>
          <w:lang w:bidi="he-IL"/>
        </w:rPr>
        <w:t>א</w:t>
      </w:r>
      <w:r>
        <w:rPr>
          <w:rFonts w:hint="cs"/>
          <w:rtl/>
          <w:lang w:bidi="he-IL"/>
        </w:rPr>
        <w:t>ל'</w:t>
      </w:r>
      <w:r>
        <w:rPr>
          <w:lang w:bidi="he-IL"/>
        </w:rPr>
        <w:t xml:space="preserve"> being an Arabic prefix.</w:t>
      </w:r>
    </w:p>
  </w:footnote>
  <w:footnote w:id="3">
    <w:p w:rsidR="008F4A7F" w:rsidRDefault="008F4A7F" w:rsidP="00653168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commentaries offer various explanations as to the difference between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. 1. By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 xml:space="preserve"> he is not that concerned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retains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; because even if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claims a second time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can sell all his properties, and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not be able to collect. 2. B</w:t>
      </w:r>
      <w:r>
        <w:t xml:space="preserve">y a </w:t>
      </w:r>
      <w:r>
        <w:rPr>
          <w:rFonts w:hint="cs"/>
          <w:rtl/>
          <w:lang w:bidi="he-IL"/>
        </w:rPr>
        <w:t>שטר בעדים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(mainly) concerned that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should not retain it, for it will hamper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in selling property, since all his properties are subjected to the lien of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; there is no such concern by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 xml:space="preserve">. 3. By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 xml:space="preserve"> it is more likely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forgot that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is in possession of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; as opposed to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where he is more likely to remember. 4. Since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 xml:space="preserve"> is not a ‘real’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so concerned if it remains by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. [In addition since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can collect from </w:t>
      </w:r>
      <w:r>
        <w:rPr>
          <w:rFonts w:hint="cs"/>
          <w:rtl/>
          <w:lang w:bidi="he-IL"/>
        </w:rPr>
        <w:t>משועבדים</w:t>
      </w:r>
      <w:r>
        <w:rPr>
          <w:lang w:bidi="he-IL"/>
        </w:rPr>
        <w:t xml:space="preserve">,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concerned that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collect from the </w:t>
      </w:r>
      <w:r>
        <w:rPr>
          <w:rFonts w:hint="cs"/>
          <w:rtl/>
          <w:lang w:bidi="he-IL"/>
        </w:rPr>
        <w:t>לקוחות</w:t>
      </w:r>
      <w:r>
        <w:rPr>
          <w:lang w:bidi="he-IL"/>
        </w:rPr>
        <w:t xml:space="preserve"> without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being present to protect them. Subsequently the </w:t>
      </w:r>
      <w:r>
        <w:rPr>
          <w:rFonts w:hint="cs"/>
          <w:rtl/>
          <w:lang w:bidi="he-IL"/>
        </w:rPr>
        <w:t>לקוחות</w:t>
      </w:r>
      <w:r>
        <w:rPr>
          <w:lang w:bidi="he-IL"/>
        </w:rPr>
        <w:t xml:space="preserve"> will return to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and demand payment for the </w:t>
      </w:r>
      <w:r>
        <w:rPr>
          <w:rFonts w:hint="cs"/>
          <w:rtl/>
          <w:lang w:bidi="he-IL"/>
        </w:rPr>
        <w:t>נכסים</w:t>
      </w:r>
      <w:r>
        <w:rPr>
          <w:lang w:bidi="he-IL"/>
        </w:rPr>
        <w:t xml:space="preserve"> which were taken from them. Therefore, he makes every effort to retain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when he repays the loan. However by </w:t>
      </w:r>
      <w:r>
        <w:rPr>
          <w:rFonts w:hint="cs"/>
          <w:rtl/>
          <w:lang w:bidi="he-IL"/>
        </w:rPr>
        <w:t>כת"י</w:t>
      </w:r>
      <w:r>
        <w:rPr>
          <w:lang w:bidi="he-IL"/>
        </w:rPr>
        <w:t xml:space="preserve"> he is not so concerned that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will have the audacity to claim the loan a second time from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personally after he already paid him.] </w:t>
      </w:r>
      <w:r>
        <w:t xml:space="preserve"> See ‘Thinking it over # 3.</w:t>
      </w:r>
    </w:p>
  </w:footnote>
  <w:footnote w:id="4">
    <w:p w:rsidR="00653168" w:rsidRDefault="00653168">
      <w:pPr>
        <w:pStyle w:val="FootnoteText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In other editions this is amended to read </w:t>
      </w:r>
      <w:r>
        <w:rPr>
          <w:rFonts w:hint="cs"/>
          <w:rtl/>
          <w:lang w:bidi="he-IL"/>
        </w:rPr>
        <w:t>סברא</w:t>
      </w:r>
      <w:r>
        <w:rPr>
          <w:lang w:bidi="he-IL"/>
        </w:rPr>
        <w:t xml:space="preserve"> (instead of </w:t>
      </w:r>
      <w:r>
        <w:rPr>
          <w:rFonts w:hint="cs"/>
          <w:rtl/>
          <w:lang w:bidi="he-IL"/>
        </w:rPr>
        <w:t>סבר</w:t>
      </w:r>
      <w:r>
        <w:rPr>
          <w:lang w:bidi="he-IL"/>
        </w:rPr>
        <w:t>).</w:t>
      </w:r>
    </w:p>
  </w:footnote>
  <w:footnote w:id="5">
    <w:p w:rsidR="008F4A7F" w:rsidRDefault="008F4A7F" w:rsidP="001D04C2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</w:t>
      </w:r>
      <w:r>
        <w:rPr>
          <w:lang w:bidi="he-IL"/>
        </w:rPr>
        <w:t>.</w:t>
      </w:r>
    </w:p>
  </w:footnote>
  <w:footnote w:id="6">
    <w:p w:rsidR="008F4A7F" w:rsidRDefault="008F4A7F" w:rsidP="001D04C2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 w:rsidR="00653168">
        <w:t xml:space="preserve"> See footnote # 3</w:t>
      </w:r>
      <w:r>
        <w:t>.</w:t>
      </w:r>
      <w:r w:rsidR="00653168">
        <w:t xml:space="preserve"> See </w:t>
      </w:r>
      <w:r w:rsidR="00653168">
        <w:rPr>
          <w:rFonts w:hint="cs"/>
          <w:rtl/>
          <w:lang w:bidi="he-IL"/>
        </w:rPr>
        <w:t>ש"ך חו"מ סי' סט ס"ק יד</w:t>
      </w:r>
      <w:r w:rsidR="00653168">
        <w:rPr>
          <w:lang w:bidi="he-IL"/>
        </w:rPr>
        <w:t xml:space="preserve"> and </w:t>
      </w:r>
      <w:r w:rsidR="00653168">
        <w:rPr>
          <w:rFonts w:hint="cs"/>
          <w:rtl/>
          <w:lang w:bidi="he-IL"/>
        </w:rPr>
        <w:t>נתיה"מ שם ס"ק ו</w:t>
      </w:r>
      <w:r w:rsidR="00653168">
        <w:rPr>
          <w:lang w:bidi="he-IL"/>
        </w:rPr>
        <w:t>.</w:t>
      </w:r>
      <w:r w:rsidR="00653168"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A7F" w:rsidRPr="00B71999" w:rsidRDefault="008F4A7F" w:rsidP="00B71999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כא,א תוס' ד"ה הוציא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1999"/>
    <w:rsid w:val="00184D2E"/>
    <w:rsid w:val="001D04C2"/>
    <w:rsid w:val="0020216B"/>
    <w:rsid w:val="00210A1E"/>
    <w:rsid w:val="00265430"/>
    <w:rsid w:val="003F33EA"/>
    <w:rsid w:val="003F6705"/>
    <w:rsid w:val="0048253B"/>
    <w:rsid w:val="00530A12"/>
    <w:rsid w:val="00653168"/>
    <w:rsid w:val="006633A3"/>
    <w:rsid w:val="00691B85"/>
    <w:rsid w:val="007552E7"/>
    <w:rsid w:val="007A0636"/>
    <w:rsid w:val="007D6D38"/>
    <w:rsid w:val="0089054C"/>
    <w:rsid w:val="008F4A7F"/>
    <w:rsid w:val="0099226E"/>
    <w:rsid w:val="009A623F"/>
    <w:rsid w:val="00A13689"/>
    <w:rsid w:val="00AD6427"/>
    <w:rsid w:val="00B27B53"/>
    <w:rsid w:val="00B71999"/>
    <w:rsid w:val="00B813F0"/>
    <w:rsid w:val="00C0343A"/>
    <w:rsid w:val="00D3138B"/>
    <w:rsid w:val="00D54370"/>
    <w:rsid w:val="00D80DE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5555232-0346-44F1-9361-D0D821D0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719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19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65430"/>
    <w:rPr>
      <w:sz w:val="20"/>
      <w:szCs w:val="20"/>
    </w:rPr>
  </w:style>
  <w:style w:type="character" w:styleId="FootnoteReference">
    <w:name w:val="footnote reference"/>
    <w:semiHidden/>
    <w:rsid w:val="00265430"/>
    <w:rPr>
      <w:vertAlign w:val="superscript"/>
    </w:rPr>
  </w:style>
  <w:style w:type="character" w:styleId="PageNumber">
    <w:name w:val="page number"/>
    <w:basedOn w:val="DefaultParagraphFont"/>
    <w:rsid w:val="00C0343A"/>
  </w:style>
  <w:style w:type="character" w:customStyle="1" w:styleId="FooterChar">
    <w:name w:val="Footer Char"/>
    <w:link w:val="Footer"/>
    <w:uiPriority w:val="99"/>
    <w:rsid w:val="001D04C2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הוציא עליו כתב ידו שהוא חייב לו גובה מנכסים בני חורין –</vt:lpstr>
    </vt:vector>
  </TitlesOfParts>
  <Company>Microsoft</Company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הוציא עליו כתב ידו שהוא חייב לו גובה מנכסים בני חורין –</dc:title>
  <dc:subject/>
  <dc:creator>EP</dc:creator>
  <cp:keywords/>
  <cp:lastModifiedBy>Microsoft account</cp:lastModifiedBy>
  <cp:revision>2</cp:revision>
  <dcterms:created xsi:type="dcterms:W3CDTF">2022-04-05T10:50:00Z</dcterms:created>
  <dcterms:modified xsi:type="dcterms:W3CDTF">2022-04-05T10:50:00Z</dcterms:modified>
</cp:coreProperties>
</file>