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D81" w:rsidRDefault="00271D81" w:rsidP="00E21B1B">
      <w:pPr>
        <w:bidi/>
        <w:spacing w:line="276" w:lineRule="auto"/>
        <w:jc w:val="both"/>
        <w:rPr>
          <w:rFonts w:cs="Aharoni"/>
          <w:b/>
          <w:bCs/>
          <w:sz w:val="32"/>
          <w:szCs w:val="32"/>
        </w:rPr>
      </w:pPr>
      <w:bookmarkStart w:id="0" w:name="_GoBack"/>
      <w:bookmarkEnd w:id="0"/>
      <w:r w:rsidRPr="00271D81">
        <w:rPr>
          <w:b/>
          <w:bCs/>
          <w:sz w:val="36"/>
          <w:szCs w:val="36"/>
          <w:rtl/>
        </w:rPr>
        <w:t>ודלמא</w:t>
      </w:r>
      <w:r w:rsidRPr="00271D81">
        <w:rPr>
          <w:b/>
          <w:bCs/>
          <w:rtl/>
        </w:rPr>
        <w:t xml:space="preserve"> </w:t>
      </w:r>
      <w:r w:rsidRPr="00271D81">
        <w:rPr>
          <w:b/>
          <w:bCs/>
          <w:sz w:val="32"/>
          <w:szCs w:val="32"/>
          <w:rtl/>
        </w:rPr>
        <w:t>רבנן דבי רב אשי כשמואל סבירא להו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–</w:t>
      </w:r>
      <w:r w:rsidRPr="00271D81">
        <w:rPr>
          <w:rFonts w:cs="Aharoni" w:hint="cs"/>
          <w:b/>
          <w:bCs/>
          <w:sz w:val="32"/>
          <w:szCs w:val="32"/>
          <w:rtl/>
        </w:rPr>
        <w:t xml:space="preserve"> </w:t>
      </w:r>
    </w:p>
    <w:p w:rsidR="00271D81" w:rsidRDefault="00271D81" w:rsidP="00E21B1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</w:rPr>
        <w:t xml:space="preserve">And perhaps the </w:t>
      </w:r>
      <w:r>
        <w:rPr>
          <w:rFonts w:hint="cs"/>
          <w:b/>
          <w:bCs/>
          <w:sz w:val="32"/>
          <w:szCs w:val="32"/>
          <w:rtl/>
          <w:lang w:bidi="he-IL"/>
        </w:rPr>
        <w:t>רבנן</w:t>
      </w:r>
      <w:r>
        <w:rPr>
          <w:b/>
          <w:bCs/>
          <w:sz w:val="32"/>
          <w:szCs w:val="32"/>
          <w:lang w:bidi="he-IL"/>
        </w:rPr>
        <w:t xml:space="preserve"> of s</w:t>
      </w:r>
      <w:r>
        <w:rPr>
          <w:rFonts w:hint="cs"/>
          <w:b/>
          <w:bCs/>
          <w:sz w:val="32"/>
          <w:szCs w:val="32"/>
          <w:rtl/>
          <w:lang w:bidi="he-IL"/>
        </w:rPr>
        <w:t>רב אשי'</w:t>
      </w:r>
      <w:r>
        <w:rPr>
          <w:b/>
          <w:bCs/>
          <w:sz w:val="32"/>
          <w:szCs w:val="32"/>
          <w:lang w:bidi="he-IL"/>
        </w:rPr>
        <w:t xml:space="preserve"> academy agree with </w:t>
      </w:r>
      <w:r>
        <w:rPr>
          <w:rFonts w:hint="cs"/>
          <w:b/>
          <w:bCs/>
          <w:sz w:val="32"/>
          <w:szCs w:val="32"/>
          <w:rtl/>
          <w:lang w:bidi="he-IL"/>
        </w:rPr>
        <w:t>שמואל</w:t>
      </w:r>
    </w:p>
    <w:p w:rsidR="00271D81" w:rsidRDefault="00271D81" w:rsidP="00E21B1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271D81" w:rsidRPr="00EA3057" w:rsidRDefault="00F70D02" w:rsidP="00E21B1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EA3057">
        <w:rPr>
          <w:rFonts w:ascii="Copperplate Gothic Bold" w:hAnsi="Copperplate Gothic Bold"/>
          <w:u w:val="double"/>
          <w:lang w:bidi="he-IL"/>
        </w:rPr>
        <w:t>Overview</w:t>
      </w:r>
    </w:p>
    <w:p w:rsidR="00F70D02" w:rsidRPr="00F70D02" w:rsidRDefault="00F70D02" w:rsidP="008874FF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stated that even if it was written in the </w:t>
      </w:r>
      <w:r>
        <w:rPr>
          <w:rFonts w:hint="cs"/>
          <w:rtl/>
          <w:lang w:bidi="he-IL"/>
        </w:rPr>
        <w:t>הנפק</w:t>
      </w:r>
      <w:r>
        <w:rPr>
          <w:lang w:bidi="he-IL"/>
        </w:rPr>
        <w:t xml:space="preserve"> that the </w:t>
      </w:r>
      <w:r>
        <w:rPr>
          <w:rFonts w:hint="cs"/>
          <w:rtl/>
          <w:lang w:bidi="he-IL"/>
        </w:rPr>
        <w:t>הנפק</w:t>
      </w:r>
      <w:r>
        <w:rPr>
          <w:lang w:bidi="he-IL"/>
        </w:rPr>
        <w:t xml:space="preserve"> was performed in the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רבנא אשי</w:t>
      </w:r>
      <w:r>
        <w:rPr>
          <w:lang w:bidi="he-IL"/>
        </w:rPr>
        <w:t xml:space="preserve"> it is still no proof that there were three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present at the </w:t>
      </w:r>
      <w:r>
        <w:rPr>
          <w:rFonts w:hint="cs"/>
          <w:rtl/>
          <w:lang w:bidi="he-IL"/>
        </w:rPr>
        <w:t>קיום</w:t>
      </w:r>
      <w:r>
        <w:rPr>
          <w:lang w:bidi="he-IL"/>
        </w:rPr>
        <w:t xml:space="preserve">; for it is possible that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דב</w:t>
      </w:r>
      <w:r w:rsidR="008874FF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 xml:space="preserve"> רב אשי</w:t>
      </w:r>
      <w:r>
        <w:rPr>
          <w:lang w:bidi="he-IL"/>
        </w:rPr>
        <w:t xml:space="preserve"> agree with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, who maintains that </w:t>
      </w:r>
      <w:r>
        <w:rPr>
          <w:rFonts w:hint="cs"/>
          <w:rtl/>
          <w:lang w:bidi="he-IL"/>
        </w:rPr>
        <w:t>שנים שדנו דיניהם דין</w:t>
      </w:r>
      <w:r>
        <w:rPr>
          <w:lang w:bidi="he-IL"/>
        </w:rPr>
        <w:t xml:space="preserve">. The implication of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seems that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maintains that </w:t>
      </w:r>
      <w:r>
        <w:rPr>
          <w:rFonts w:hint="cs"/>
          <w:rtl/>
          <w:lang w:bidi="he-IL"/>
        </w:rPr>
        <w:t>קיום</w:t>
      </w:r>
      <w:r>
        <w:rPr>
          <w:lang w:bidi="he-IL"/>
        </w:rPr>
        <w:t xml:space="preserve"> with two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will be </w:t>
      </w:r>
      <w:r>
        <w:rPr>
          <w:rFonts w:hint="cs"/>
          <w:rtl/>
          <w:lang w:bidi="he-IL"/>
        </w:rPr>
        <w:t>כשר בדיעבד</w:t>
      </w:r>
      <w:r>
        <w:rPr>
          <w:lang w:bidi="he-IL"/>
        </w:rPr>
        <w:t xml:space="preserve">. Our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chooses to disabuse us of this notion. </w:t>
      </w:r>
    </w:p>
    <w:p w:rsidR="00271D81" w:rsidRPr="00F70D02" w:rsidRDefault="00F70D02" w:rsidP="00E21B1B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</w:t>
      </w:r>
    </w:p>
    <w:p w:rsidR="00A06822" w:rsidRPr="00157416" w:rsidRDefault="00271D81" w:rsidP="00157416">
      <w:pPr>
        <w:bidi/>
        <w:spacing w:line="276" w:lineRule="auto"/>
        <w:jc w:val="both"/>
        <w:rPr>
          <w:b/>
          <w:bCs/>
          <w:lang w:bidi="he-IL"/>
        </w:rPr>
      </w:pPr>
      <w:r w:rsidRPr="00157416">
        <w:rPr>
          <w:rFonts w:cs="David" w:hint="cs"/>
          <w:b/>
          <w:bCs/>
          <w:rtl/>
        </w:rPr>
        <w:t>פי</w:t>
      </w:r>
      <w:r w:rsidR="00D45F73" w:rsidRPr="00157416">
        <w:rPr>
          <w:rFonts w:cs="David" w:hint="cs"/>
          <w:b/>
          <w:bCs/>
          <w:rtl/>
          <w:lang w:bidi="he-IL"/>
        </w:rPr>
        <w:t>רוש</w:t>
      </w:r>
      <w:r w:rsidR="00F70D02" w:rsidRPr="00157416">
        <w:rPr>
          <w:rStyle w:val="FootnoteReference"/>
          <w:rFonts w:cs="David"/>
          <w:b/>
          <w:bCs/>
          <w:rtl/>
          <w:lang w:bidi="he-IL"/>
        </w:rPr>
        <w:footnoteReference w:id="1"/>
      </w:r>
      <w:r w:rsidRPr="00157416">
        <w:rPr>
          <w:rFonts w:cs="David" w:hint="cs"/>
          <w:b/>
          <w:bCs/>
          <w:rtl/>
        </w:rPr>
        <w:t xml:space="preserve"> כמו שסובר שמואל בעלמא כן סבירא להו בקיום שטרות </w:t>
      </w:r>
      <w:r w:rsidR="00157416">
        <w:rPr>
          <w:rFonts w:cs="David" w:hint="cs"/>
          <w:b/>
          <w:bCs/>
          <w:rtl/>
          <w:lang w:bidi="he-IL"/>
        </w:rPr>
        <w:t>-</w:t>
      </w:r>
      <w:r w:rsidR="00D45F73" w:rsidRPr="00157416">
        <w:rPr>
          <w:rFonts w:hint="cs"/>
          <w:b/>
          <w:bCs/>
          <w:rtl/>
          <w:lang w:bidi="he-IL"/>
        </w:rPr>
        <w:t xml:space="preserve"> </w:t>
      </w:r>
    </w:p>
    <w:p w:rsidR="00A06822" w:rsidRPr="00A05BF9" w:rsidRDefault="00A06822" w:rsidP="00D50CD7">
      <w:pPr>
        <w:spacing w:line="276" w:lineRule="auto"/>
        <w:jc w:val="both"/>
        <w:rPr>
          <w:b/>
          <w:bCs/>
          <w:sz w:val="24"/>
          <w:szCs w:val="24"/>
          <w:rtl/>
          <w:lang w:bidi="he-IL"/>
        </w:rPr>
      </w:pPr>
      <w:r>
        <w:rPr>
          <w:b/>
          <w:bCs/>
          <w:lang w:bidi="he-IL"/>
        </w:rPr>
        <w:t xml:space="preserve">The explanation </w:t>
      </w:r>
      <w:r>
        <w:rPr>
          <w:lang w:bidi="he-IL"/>
        </w:rPr>
        <w:t xml:space="preserve">of the phrase </w:t>
      </w:r>
      <w:r>
        <w:rPr>
          <w:rFonts w:hint="cs"/>
          <w:rtl/>
          <w:lang w:bidi="he-IL"/>
        </w:rPr>
        <w:t>כשמואל סבירא להו</w:t>
      </w:r>
      <w:r>
        <w:rPr>
          <w:lang w:bidi="he-IL"/>
        </w:rPr>
        <w:t xml:space="preserve"> is [not (necessarily) that they </w:t>
      </w:r>
      <w:r w:rsidR="006669A9">
        <w:rPr>
          <w:lang w:bidi="he-IL"/>
        </w:rPr>
        <w:t>and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</w:t>
      </w:r>
      <w:r w:rsidR="006669A9">
        <w:rPr>
          <w:lang w:bidi="he-IL"/>
        </w:rPr>
        <w:t xml:space="preserve">agree </w:t>
      </w:r>
      <w:r>
        <w:rPr>
          <w:lang w:bidi="he-IL"/>
        </w:rPr>
        <w:t xml:space="preserve">that </w:t>
      </w:r>
      <w:r>
        <w:rPr>
          <w:rFonts w:hint="cs"/>
          <w:rtl/>
          <w:lang w:bidi="he-IL"/>
        </w:rPr>
        <w:t>קיום שטרות</w:t>
      </w:r>
      <w:r>
        <w:rPr>
          <w:lang w:bidi="he-IL"/>
        </w:rPr>
        <w:t xml:space="preserve"> can be done with only two; but rather it means] </w:t>
      </w:r>
      <w:r>
        <w:rPr>
          <w:b/>
          <w:bCs/>
          <w:lang w:bidi="he-IL"/>
        </w:rPr>
        <w:t xml:space="preserve">that just as </w:t>
      </w:r>
      <w:r>
        <w:rPr>
          <w:rFonts w:hint="cs"/>
          <w:b/>
          <w:bCs/>
          <w:rtl/>
          <w:lang w:bidi="he-IL"/>
        </w:rPr>
        <w:t>שמואל</w:t>
      </w:r>
      <w:r>
        <w:rPr>
          <w:b/>
          <w:bCs/>
          <w:lang w:bidi="he-IL"/>
        </w:rPr>
        <w:t xml:space="preserve"> generally maintains </w:t>
      </w:r>
      <w:r>
        <w:rPr>
          <w:lang w:bidi="he-IL"/>
        </w:rPr>
        <w:t xml:space="preserve">that a ruling by two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is valid, </w:t>
      </w:r>
      <w:r w:rsidRPr="00A06822">
        <w:rPr>
          <w:lang w:bidi="he-IL"/>
        </w:rPr>
        <w:t>similarly</w:t>
      </w:r>
      <w:r>
        <w:rPr>
          <w:b/>
          <w:bCs/>
          <w:lang w:bidi="he-IL"/>
        </w:rPr>
        <w:t xml:space="preserve"> the </w:t>
      </w:r>
      <w:r>
        <w:rPr>
          <w:rFonts w:hint="cs"/>
          <w:rtl/>
          <w:lang w:bidi="he-IL"/>
        </w:rPr>
        <w:t>רבנן דבי רב אשי</w:t>
      </w:r>
      <w:r>
        <w:rPr>
          <w:b/>
          <w:bCs/>
          <w:lang w:bidi="he-IL"/>
        </w:rPr>
        <w:t xml:space="preserve"> maintain the same concerning </w:t>
      </w:r>
      <w:r>
        <w:rPr>
          <w:rFonts w:hint="cs"/>
          <w:b/>
          <w:bCs/>
          <w:rtl/>
          <w:lang w:bidi="he-IL"/>
        </w:rPr>
        <w:t>קיום שטרות</w:t>
      </w:r>
      <w:r w:rsidRPr="00A05BF9">
        <w:rPr>
          <w:b/>
          <w:bCs/>
          <w:sz w:val="24"/>
          <w:szCs w:val="24"/>
          <w:lang w:bidi="he-IL"/>
        </w:rPr>
        <w:t xml:space="preserve">, </w:t>
      </w:r>
      <w:r w:rsidRPr="00A05BF9">
        <w:rPr>
          <w:sz w:val="24"/>
          <w:szCs w:val="24"/>
          <w:lang w:bidi="he-IL"/>
        </w:rPr>
        <w:t xml:space="preserve">that two </w:t>
      </w:r>
      <w:r w:rsidRPr="00A05BF9">
        <w:rPr>
          <w:rFonts w:hint="cs"/>
          <w:sz w:val="24"/>
          <w:szCs w:val="24"/>
          <w:rtl/>
          <w:lang w:bidi="he-IL"/>
        </w:rPr>
        <w:t>דיינים</w:t>
      </w:r>
      <w:r w:rsidRPr="00A05BF9">
        <w:rPr>
          <w:sz w:val="24"/>
          <w:szCs w:val="24"/>
          <w:lang w:bidi="he-IL"/>
        </w:rPr>
        <w:t xml:space="preserve"> are sufficient.</w:t>
      </w:r>
      <w:r w:rsidRPr="00A05BF9">
        <w:rPr>
          <w:b/>
          <w:bCs/>
          <w:sz w:val="24"/>
          <w:szCs w:val="24"/>
          <w:lang w:bidi="he-IL"/>
        </w:rPr>
        <w:t xml:space="preserve">  </w:t>
      </w:r>
    </w:p>
    <w:p w:rsidR="00D45F73" w:rsidRPr="00157416" w:rsidRDefault="00271D81" w:rsidP="00E21B1B">
      <w:pPr>
        <w:bidi/>
        <w:spacing w:line="276" w:lineRule="auto"/>
        <w:jc w:val="both"/>
        <w:rPr>
          <w:rFonts w:cs="David"/>
          <w:b/>
          <w:bCs/>
        </w:rPr>
      </w:pPr>
      <w:r w:rsidRPr="00157416">
        <w:rPr>
          <w:rFonts w:cs="David" w:hint="cs"/>
          <w:b/>
          <w:bCs/>
          <w:rtl/>
        </w:rPr>
        <w:t>אבל שמואל מצי סבר שפיר דבקיום שטרות בעי ג'</w:t>
      </w:r>
      <w:r w:rsidR="00EA3057" w:rsidRPr="00157416">
        <w:rPr>
          <w:rStyle w:val="FootnoteReference"/>
          <w:rFonts w:cs="David"/>
          <w:b/>
          <w:bCs/>
          <w:rtl/>
        </w:rPr>
        <w:footnoteReference w:id="2"/>
      </w:r>
      <w:r w:rsidR="00D45F73" w:rsidRPr="00157416">
        <w:rPr>
          <w:rFonts w:cs="David" w:hint="cs"/>
          <w:b/>
          <w:bCs/>
          <w:rtl/>
          <w:lang w:bidi="he-IL"/>
        </w:rPr>
        <w:t xml:space="preserve"> - </w:t>
      </w:r>
      <w:r w:rsidRPr="00157416">
        <w:rPr>
          <w:rFonts w:cs="David" w:hint="cs"/>
          <w:b/>
          <w:bCs/>
          <w:rtl/>
        </w:rPr>
        <w:t xml:space="preserve"> </w:t>
      </w:r>
    </w:p>
    <w:p w:rsidR="00A06822" w:rsidRPr="00A05BF9" w:rsidRDefault="00A06822" w:rsidP="00EA3057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rFonts w:cs="Aharoni"/>
          <w:b/>
          <w:bCs/>
        </w:rPr>
        <w:t xml:space="preserve">However, </w:t>
      </w:r>
      <w:r>
        <w:rPr>
          <w:rFonts w:hint="cs"/>
          <w:b/>
          <w:bCs/>
          <w:rtl/>
          <w:lang w:bidi="he-IL"/>
        </w:rPr>
        <w:t>שמואל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himself </w:t>
      </w:r>
      <w:r w:rsidRPr="00EA3057">
        <w:rPr>
          <w:rFonts w:cs="David"/>
          <w:b/>
          <w:bCs/>
          <w:lang w:bidi="he-IL"/>
        </w:rPr>
        <w:t>may</w:t>
      </w:r>
      <w:r>
        <w:rPr>
          <w:b/>
          <w:bCs/>
          <w:lang w:bidi="he-IL"/>
        </w:rPr>
        <w:t xml:space="preserve"> indeed maintain that for </w:t>
      </w:r>
      <w:r>
        <w:rPr>
          <w:rFonts w:hint="cs"/>
          <w:b/>
          <w:bCs/>
          <w:rtl/>
          <w:lang w:bidi="he-IL"/>
        </w:rPr>
        <w:t>קיום שטרות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>in particular</w:t>
      </w:r>
      <w:r w:rsidR="00D50CD7">
        <w:rPr>
          <w:lang w:bidi="he-IL"/>
        </w:rPr>
        <w:t>,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three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</w:t>
      </w:r>
      <w:r w:rsidRPr="00A06822">
        <w:rPr>
          <w:b/>
          <w:bCs/>
          <w:lang w:bidi="he-IL"/>
        </w:rPr>
        <w:t xml:space="preserve">are </w:t>
      </w:r>
      <w:r>
        <w:rPr>
          <w:b/>
          <w:bCs/>
          <w:lang w:bidi="he-IL"/>
        </w:rPr>
        <w:t xml:space="preserve">required. </w:t>
      </w:r>
      <w:r w:rsidRPr="00A05BF9">
        <w:rPr>
          <w:rFonts w:hint="cs"/>
          <w:sz w:val="24"/>
          <w:szCs w:val="24"/>
          <w:rtl/>
          <w:lang w:bidi="he-IL"/>
        </w:rPr>
        <w:t>קיום שטרות</w:t>
      </w:r>
      <w:r w:rsidRPr="00A05BF9">
        <w:rPr>
          <w:sz w:val="20"/>
          <w:szCs w:val="20"/>
          <w:lang w:bidi="he-IL"/>
        </w:rPr>
        <w:t xml:space="preserve"> </w:t>
      </w:r>
      <w:r w:rsidRPr="00A05BF9">
        <w:rPr>
          <w:sz w:val="24"/>
          <w:szCs w:val="24"/>
          <w:lang w:bidi="he-IL"/>
        </w:rPr>
        <w:t xml:space="preserve">is different than other </w:t>
      </w:r>
      <w:r w:rsidRPr="00A05BF9">
        <w:rPr>
          <w:rFonts w:hint="cs"/>
          <w:sz w:val="24"/>
          <w:szCs w:val="24"/>
          <w:rtl/>
          <w:lang w:bidi="he-IL"/>
        </w:rPr>
        <w:t>דיני תורה</w:t>
      </w:r>
      <w:r w:rsidRPr="00A05BF9">
        <w:rPr>
          <w:sz w:val="24"/>
          <w:szCs w:val="24"/>
          <w:lang w:bidi="he-IL"/>
        </w:rPr>
        <w:t xml:space="preserve"> where two </w:t>
      </w:r>
      <w:r w:rsidRPr="00A05BF9">
        <w:rPr>
          <w:rFonts w:hint="cs"/>
          <w:sz w:val="24"/>
          <w:szCs w:val="24"/>
          <w:rtl/>
          <w:lang w:bidi="he-IL"/>
        </w:rPr>
        <w:t>דיינים</w:t>
      </w:r>
      <w:r w:rsidRPr="00A05BF9">
        <w:rPr>
          <w:sz w:val="24"/>
          <w:szCs w:val="24"/>
          <w:lang w:bidi="he-IL"/>
        </w:rPr>
        <w:t xml:space="preserve"> are sufficient </w:t>
      </w:r>
      <w:r w:rsidRPr="00A05BF9">
        <w:rPr>
          <w:rFonts w:hint="cs"/>
          <w:sz w:val="24"/>
          <w:szCs w:val="24"/>
          <w:rtl/>
          <w:lang w:bidi="he-IL"/>
        </w:rPr>
        <w:t>בדיעבד</w:t>
      </w:r>
      <w:r w:rsidRPr="00A05BF9">
        <w:rPr>
          <w:sz w:val="24"/>
          <w:szCs w:val="24"/>
          <w:lang w:bidi="he-IL"/>
        </w:rPr>
        <w:t>.</w:t>
      </w:r>
      <w:r w:rsidR="00323742">
        <w:rPr>
          <w:rStyle w:val="FootnoteReference"/>
          <w:sz w:val="24"/>
          <w:szCs w:val="24"/>
          <w:lang w:bidi="he-IL"/>
        </w:rPr>
        <w:footnoteReference w:id="3"/>
      </w:r>
      <w:r w:rsidRPr="00A05BF9">
        <w:rPr>
          <w:b/>
          <w:bCs/>
          <w:sz w:val="24"/>
          <w:szCs w:val="24"/>
          <w:lang w:bidi="he-IL"/>
        </w:rPr>
        <w:t xml:space="preserve"> </w:t>
      </w:r>
    </w:p>
    <w:p w:rsidR="00A06822" w:rsidRPr="00A05BF9" w:rsidRDefault="00A06822" w:rsidP="00E21B1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A06822" w:rsidRPr="00A05BF9" w:rsidRDefault="00A06822" w:rsidP="00E21B1B">
      <w:pPr>
        <w:spacing w:line="276" w:lineRule="auto"/>
        <w:jc w:val="both"/>
        <w:rPr>
          <w:sz w:val="24"/>
          <w:szCs w:val="24"/>
          <w:lang w:bidi="he-IL"/>
        </w:rPr>
      </w:pPr>
      <w:r w:rsidRPr="00A05BF9">
        <w:rPr>
          <w:rFonts w:hint="cs"/>
          <w:sz w:val="24"/>
          <w:szCs w:val="24"/>
          <w:rtl/>
          <w:lang w:bidi="he-IL"/>
        </w:rPr>
        <w:t>תוספות</w:t>
      </w:r>
      <w:r w:rsidRPr="00A05BF9">
        <w:rPr>
          <w:sz w:val="24"/>
          <w:szCs w:val="24"/>
          <w:lang w:bidi="he-IL"/>
        </w:rPr>
        <w:t xml:space="preserve"> proves his point that we can differentiate between </w:t>
      </w:r>
      <w:r w:rsidRPr="00A05BF9">
        <w:rPr>
          <w:rFonts w:hint="cs"/>
          <w:sz w:val="24"/>
          <w:szCs w:val="24"/>
          <w:rtl/>
          <w:lang w:bidi="he-IL"/>
        </w:rPr>
        <w:t>קיום שטרות</w:t>
      </w:r>
      <w:r w:rsidRPr="00A05BF9">
        <w:rPr>
          <w:sz w:val="24"/>
          <w:szCs w:val="24"/>
          <w:lang w:bidi="he-IL"/>
        </w:rPr>
        <w:t xml:space="preserve"> </w:t>
      </w:r>
      <w:r w:rsidR="00A05BF9">
        <w:rPr>
          <w:sz w:val="24"/>
          <w:szCs w:val="24"/>
          <w:lang w:bidi="he-IL"/>
        </w:rPr>
        <w:t>(</w:t>
      </w:r>
      <w:r w:rsidRPr="00A05BF9">
        <w:rPr>
          <w:sz w:val="24"/>
          <w:szCs w:val="24"/>
          <w:lang w:bidi="he-IL"/>
        </w:rPr>
        <w:t>where three are required</w:t>
      </w:r>
      <w:r w:rsidR="00A05BF9">
        <w:rPr>
          <w:sz w:val="24"/>
          <w:szCs w:val="24"/>
          <w:lang w:bidi="he-IL"/>
        </w:rPr>
        <w:t>)</w:t>
      </w:r>
      <w:r w:rsidRPr="00A05BF9">
        <w:rPr>
          <w:sz w:val="24"/>
          <w:szCs w:val="24"/>
          <w:lang w:bidi="he-IL"/>
        </w:rPr>
        <w:t xml:space="preserve">, and other cases </w:t>
      </w:r>
      <w:r w:rsidR="00A05BF9">
        <w:rPr>
          <w:sz w:val="24"/>
          <w:szCs w:val="24"/>
          <w:lang w:bidi="he-IL"/>
        </w:rPr>
        <w:t>(</w:t>
      </w:r>
      <w:r w:rsidRPr="00A05BF9">
        <w:rPr>
          <w:sz w:val="24"/>
          <w:szCs w:val="24"/>
          <w:lang w:bidi="he-IL"/>
        </w:rPr>
        <w:t>where two are sufficient</w:t>
      </w:r>
      <w:r w:rsidR="00A05BF9">
        <w:rPr>
          <w:sz w:val="24"/>
          <w:szCs w:val="24"/>
          <w:lang w:bidi="he-IL"/>
        </w:rPr>
        <w:t>)</w:t>
      </w:r>
      <w:r w:rsidRPr="00A05BF9">
        <w:rPr>
          <w:sz w:val="24"/>
          <w:szCs w:val="24"/>
          <w:lang w:bidi="he-IL"/>
        </w:rPr>
        <w:t>:</w:t>
      </w:r>
    </w:p>
    <w:p w:rsidR="00157416" w:rsidRDefault="00271D81" w:rsidP="00E21B1B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157416">
        <w:rPr>
          <w:rFonts w:cs="David" w:hint="cs"/>
          <w:b/>
          <w:bCs/>
          <w:rtl/>
        </w:rPr>
        <w:t>דהא רב נחמן סבר לה כשמואל בפ</w:t>
      </w:r>
      <w:r w:rsidR="00D45F73" w:rsidRPr="00157416">
        <w:rPr>
          <w:rFonts w:cs="David" w:hint="cs"/>
          <w:b/>
          <w:bCs/>
          <w:rtl/>
          <w:lang w:bidi="he-IL"/>
        </w:rPr>
        <w:t xml:space="preserve">רק </w:t>
      </w:r>
      <w:r w:rsidRPr="00157416">
        <w:rPr>
          <w:rFonts w:cs="David" w:hint="cs"/>
          <w:b/>
          <w:bCs/>
          <w:rtl/>
        </w:rPr>
        <w:t>ק</w:t>
      </w:r>
      <w:r w:rsidR="00D45F73" w:rsidRPr="00157416">
        <w:rPr>
          <w:rFonts w:cs="David" w:hint="cs"/>
          <w:b/>
          <w:bCs/>
          <w:rtl/>
          <w:lang w:bidi="he-IL"/>
        </w:rPr>
        <w:t>מא</w:t>
      </w:r>
      <w:r w:rsidRPr="00157416">
        <w:rPr>
          <w:rFonts w:cs="David" w:hint="cs"/>
          <w:b/>
          <w:bCs/>
          <w:rtl/>
        </w:rPr>
        <w:t xml:space="preserve"> דסנהדרין </w:t>
      </w:r>
      <w:r w:rsidRPr="00157416">
        <w:rPr>
          <w:rFonts w:cs="David" w:hint="cs"/>
          <w:b/>
          <w:bCs/>
          <w:sz w:val="20"/>
          <w:szCs w:val="20"/>
          <w:rtl/>
        </w:rPr>
        <w:t>(דף ג. ושם)</w:t>
      </w:r>
      <w:r w:rsidRPr="00157416">
        <w:rPr>
          <w:rFonts w:cs="David" w:hint="cs"/>
          <w:b/>
          <w:bCs/>
          <w:rtl/>
        </w:rPr>
        <w:t xml:space="preserve"> </w:t>
      </w:r>
      <w:r w:rsidR="00157416">
        <w:rPr>
          <w:rFonts w:cs="David"/>
          <w:b/>
          <w:bCs/>
          <w:rtl/>
          <w:lang w:bidi="he-IL"/>
        </w:rPr>
        <w:t>–</w:t>
      </w:r>
    </w:p>
    <w:p w:rsidR="00157416" w:rsidRDefault="00157416" w:rsidP="00157416">
      <w:pPr>
        <w:spacing w:line="276" w:lineRule="auto"/>
        <w:jc w:val="both"/>
        <w:rPr>
          <w:rFonts w:cs="David" w:hint="cs"/>
          <w:b/>
          <w:bCs/>
          <w:rtl/>
          <w:lang w:bidi="he-IL"/>
        </w:rPr>
      </w:pPr>
      <w:r>
        <w:rPr>
          <w:b/>
          <w:bCs/>
        </w:rPr>
        <w:t xml:space="preserve">For </w:t>
      </w:r>
      <w:r>
        <w:rPr>
          <w:rFonts w:hint="cs"/>
          <w:b/>
          <w:bCs/>
          <w:rtl/>
          <w:lang w:bidi="he-IL"/>
        </w:rPr>
        <w:t>ר"נ</w:t>
      </w:r>
      <w:r>
        <w:rPr>
          <w:b/>
          <w:bCs/>
          <w:lang w:bidi="he-IL"/>
        </w:rPr>
        <w:t xml:space="preserve"> agrees with </w:t>
      </w:r>
      <w:r>
        <w:rPr>
          <w:rFonts w:hint="cs"/>
          <w:b/>
          <w:bCs/>
          <w:rtl/>
          <w:lang w:bidi="he-IL"/>
        </w:rPr>
        <w:t>שמואל</w:t>
      </w:r>
      <w:r>
        <w:rPr>
          <w:b/>
          <w:bCs/>
          <w:lang w:bidi="he-IL"/>
        </w:rPr>
        <w:t xml:space="preserve"> in the first </w:t>
      </w:r>
      <w:r>
        <w:rPr>
          <w:rFonts w:hint="cs"/>
          <w:b/>
          <w:bCs/>
          <w:rtl/>
          <w:lang w:bidi="he-IL"/>
        </w:rPr>
        <w:t>פרק</w:t>
      </w:r>
      <w:r>
        <w:rPr>
          <w:b/>
          <w:bCs/>
          <w:lang w:bidi="he-IL"/>
        </w:rPr>
        <w:t xml:space="preserve"> of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סנהדרין</w:t>
      </w:r>
      <w:r>
        <w:rPr>
          <w:b/>
          <w:bCs/>
          <w:lang w:bidi="he-IL"/>
        </w:rPr>
        <w:t xml:space="preserve"> -</w:t>
      </w:r>
    </w:p>
    <w:p w:rsidR="00D45F73" w:rsidRPr="00157416" w:rsidRDefault="00271D81" w:rsidP="00157416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157416">
        <w:rPr>
          <w:rFonts w:cs="David" w:hint="cs"/>
          <w:b/>
          <w:bCs/>
          <w:rtl/>
        </w:rPr>
        <w:t xml:space="preserve">דשנים שדנו דיניהם דין </w:t>
      </w:r>
      <w:r w:rsidR="00D45F73" w:rsidRPr="00157416">
        <w:rPr>
          <w:rFonts w:cs="David" w:hint="cs"/>
          <w:b/>
          <w:bCs/>
          <w:rtl/>
          <w:lang w:bidi="he-IL"/>
        </w:rPr>
        <w:t xml:space="preserve">- </w:t>
      </w:r>
    </w:p>
    <w:p w:rsidR="00A06822" w:rsidRPr="00A05BF9" w:rsidRDefault="006669A9" w:rsidP="00E21B1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that if two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issued a ruling, </w:t>
      </w:r>
      <w:r w:rsidRPr="006669A9">
        <w:rPr>
          <w:b/>
          <w:bCs/>
          <w:lang w:bidi="he-IL"/>
        </w:rPr>
        <w:t xml:space="preserve">their ruling is </w:t>
      </w:r>
      <w:r>
        <w:rPr>
          <w:b/>
          <w:bCs/>
          <w:lang w:bidi="he-IL"/>
        </w:rPr>
        <w:t>upheld</w:t>
      </w:r>
      <w:r>
        <w:rPr>
          <w:lang w:bidi="he-IL"/>
        </w:rPr>
        <w:t xml:space="preserve">; </w:t>
      </w:r>
      <w:r w:rsidRPr="00A05BF9">
        <w:rPr>
          <w:sz w:val="24"/>
          <w:szCs w:val="24"/>
          <w:lang w:bidi="he-IL"/>
        </w:rPr>
        <w:t>nevertheless -</w:t>
      </w:r>
    </w:p>
    <w:p w:rsidR="00D45F73" w:rsidRPr="00157416" w:rsidRDefault="00271D81" w:rsidP="00E21B1B">
      <w:pPr>
        <w:bidi/>
        <w:spacing w:line="276" w:lineRule="auto"/>
        <w:jc w:val="both"/>
        <w:rPr>
          <w:rFonts w:cs="David" w:hint="cs"/>
          <w:rtl/>
        </w:rPr>
      </w:pPr>
      <w:r w:rsidRPr="00157416">
        <w:rPr>
          <w:rFonts w:cs="David" w:hint="cs"/>
          <w:b/>
          <w:bCs/>
          <w:rtl/>
        </w:rPr>
        <w:t>ורב נחמן גופיה סבר דקיום שטרות בשלשה</w:t>
      </w:r>
      <w:r w:rsidR="00EA3057" w:rsidRPr="00157416">
        <w:rPr>
          <w:rStyle w:val="FootnoteReference"/>
          <w:rFonts w:cs="David"/>
          <w:b/>
          <w:bCs/>
          <w:rtl/>
        </w:rPr>
        <w:footnoteReference w:id="4"/>
      </w:r>
      <w:r w:rsidRPr="00157416">
        <w:rPr>
          <w:rFonts w:cs="David" w:hint="cs"/>
          <w:b/>
          <w:bCs/>
          <w:rtl/>
        </w:rPr>
        <w:t xml:space="preserve"> </w:t>
      </w:r>
      <w:r w:rsidR="00D45F73" w:rsidRPr="00157416">
        <w:rPr>
          <w:rFonts w:cs="David" w:hint="cs"/>
          <w:b/>
          <w:bCs/>
          <w:rtl/>
          <w:lang w:bidi="he-IL"/>
        </w:rPr>
        <w:t>-</w:t>
      </w:r>
    </w:p>
    <w:p w:rsidR="006669A9" w:rsidRPr="00A05BF9" w:rsidRDefault="006669A9" w:rsidP="00EA3057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</w:rPr>
        <w:t xml:space="preserve">And </w:t>
      </w:r>
      <w:r>
        <w:rPr>
          <w:rFonts w:hint="cs"/>
          <w:b/>
          <w:bCs/>
          <w:rtl/>
          <w:lang w:bidi="he-IL"/>
        </w:rPr>
        <w:t>ר"נ</w:t>
      </w:r>
      <w:r>
        <w:rPr>
          <w:b/>
          <w:bCs/>
          <w:lang w:bidi="he-IL"/>
        </w:rPr>
        <w:t xml:space="preserve"> himself maintains that </w:t>
      </w:r>
      <w:r>
        <w:rPr>
          <w:rFonts w:hint="cs"/>
          <w:b/>
          <w:bCs/>
          <w:rtl/>
          <w:lang w:bidi="he-IL"/>
        </w:rPr>
        <w:t>קיום שטרות</w:t>
      </w:r>
      <w:r>
        <w:rPr>
          <w:b/>
          <w:bCs/>
          <w:lang w:bidi="he-IL"/>
        </w:rPr>
        <w:t xml:space="preserve"> requires three </w:t>
      </w:r>
      <w:r w:rsidRPr="00A05BF9">
        <w:rPr>
          <w:rFonts w:hint="cs"/>
          <w:sz w:val="24"/>
          <w:szCs w:val="24"/>
          <w:rtl/>
          <w:lang w:bidi="he-IL"/>
        </w:rPr>
        <w:t>דיינים</w:t>
      </w:r>
      <w:r w:rsidRPr="00A05BF9">
        <w:rPr>
          <w:sz w:val="24"/>
          <w:szCs w:val="24"/>
          <w:lang w:bidi="he-IL"/>
        </w:rPr>
        <w:t>. This can be found -</w:t>
      </w:r>
    </w:p>
    <w:p w:rsidR="00D80DE2" w:rsidRPr="00157416" w:rsidRDefault="00271D81" w:rsidP="00D50CD7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57416">
        <w:rPr>
          <w:rFonts w:cs="David" w:hint="cs"/>
          <w:b/>
          <w:bCs/>
          <w:rtl/>
        </w:rPr>
        <w:lastRenderedPageBreak/>
        <w:t>בפ</w:t>
      </w:r>
      <w:r w:rsidR="00EA3057" w:rsidRPr="00157416">
        <w:rPr>
          <w:rFonts w:cs="David" w:hint="cs"/>
          <w:b/>
          <w:bCs/>
          <w:rtl/>
          <w:lang w:bidi="he-IL"/>
        </w:rPr>
        <w:t>רק</w:t>
      </w:r>
      <w:r w:rsidRPr="00157416">
        <w:rPr>
          <w:rFonts w:cs="David" w:hint="cs"/>
          <w:b/>
          <w:bCs/>
          <w:rtl/>
        </w:rPr>
        <w:t xml:space="preserve"> חזקת הבתים </w:t>
      </w:r>
      <w:r w:rsidRPr="00157416">
        <w:rPr>
          <w:rFonts w:cs="David" w:hint="cs"/>
          <w:b/>
          <w:bCs/>
          <w:sz w:val="20"/>
          <w:szCs w:val="20"/>
          <w:rtl/>
        </w:rPr>
        <w:t>(ב</w:t>
      </w:r>
      <w:r w:rsidR="00D45F73" w:rsidRPr="00157416">
        <w:rPr>
          <w:rFonts w:cs="David" w:hint="cs"/>
          <w:b/>
          <w:bCs/>
          <w:sz w:val="20"/>
          <w:szCs w:val="20"/>
          <w:rtl/>
          <w:lang w:bidi="he-IL"/>
        </w:rPr>
        <w:t xml:space="preserve">בא </w:t>
      </w:r>
      <w:r w:rsidRPr="00157416">
        <w:rPr>
          <w:rFonts w:cs="David" w:hint="cs"/>
          <w:b/>
          <w:bCs/>
          <w:sz w:val="20"/>
          <w:szCs w:val="20"/>
          <w:rtl/>
        </w:rPr>
        <w:t>ב</w:t>
      </w:r>
      <w:r w:rsidR="00D45F73" w:rsidRPr="00157416">
        <w:rPr>
          <w:rFonts w:cs="David" w:hint="cs"/>
          <w:b/>
          <w:bCs/>
          <w:sz w:val="20"/>
          <w:szCs w:val="20"/>
          <w:rtl/>
          <w:lang w:bidi="he-IL"/>
        </w:rPr>
        <w:t>תרא</w:t>
      </w:r>
      <w:r w:rsidRPr="00157416">
        <w:rPr>
          <w:rFonts w:cs="David" w:hint="cs"/>
          <w:b/>
          <w:bCs/>
          <w:sz w:val="20"/>
          <w:szCs w:val="20"/>
          <w:rtl/>
        </w:rPr>
        <w:t xml:space="preserve"> מ.</w:t>
      </w:r>
      <w:r w:rsidR="00006217" w:rsidRPr="00157416">
        <w:rPr>
          <w:rStyle w:val="FootnoteReference"/>
          <w:rFonts w:cs="David"/>
          <w:b/>
          <w:bCs/>
          <w:sz w:val="20"/>
          <w:szCs w:val="20"/>
          <w:rtl/>
        </w:rPr>
        <w:footnoteReference w:id="5"/>
      </w:r>
      <w:r w:rsidRPr="00157416">
        <w:rPr>
          <w:rFonts w:cs="David" w:hint="cs"/>
          <w:b/>
          <w:bCs/>
          <w:sz w:val="20"/>
          <w:szCs w:val="20"/>
          <w:rtl/>
        </w:rPr>
        <w:t xml:space="preserve">) </w:t>
      </w:r>
      <w:r w:rsidRPr="00157416">
        <w:rPr>
          <w:rFonts w:cs="David" w:hint="cs"/>
          <w:b/>
          <w:bCs/>
          <w:rtl/>
        </w:rPr>
        <w:t>גבי ג' ארצות לחזקה</w:t>
      </w:r>
      <w:r w:rsidR="00D45F73" w:rsidRPr="00157416">
        <w:rPr>
          <w:rFonts w:cs="David" w:hint="cs"/>
          <w:b/>
          <w:bCs/>
          <w:rtl/>
          <w:lang w:bidi="he-IL"/>
        </w:rPr>
        <w:t xml:space="preserve"> </w:t>
      </w:r>
      <w:r w:rsidR="00D50CD7">
        <w:rPr>
          <w:rFonts w:cs="David" w:hint="cs"/>
          <w:b/>
          <w:bCs/>
          <w:rtl/>
          <w:lang w:bidi="he-IL"/>
        </w:rPr>
        <w:t>-</w:t>
      </w:r>
    </w:p>
    <w:p w:rsidR="006669A9" w:rsidRDefault="006669A9" w:rsidP="00E21B1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in </w:t>
      </w:r>
      <w:r>
        <w:rPr>
          <w:rFonts w:hint="cs"/>
          <w:b/>
          <w:bCs/>
          <w:rtl/>
          <w:lang w:bidi="he-IL"/>
        </w:rPr>
        <w:t>פרק חזקת הבתים</w:t>
      </w:r>
      <w:r>
        <w:rPr>
          <w:b/>
          <w:bCs/>
          <w:lang w:bidi="he-IL"/>
        </w:rPr>
        <w:t xml:space="preserve"> </w:t>
      </w:r>
      <w:r w:rsidR="00006217">
        <w:rPr>
          <w:lang w:bidi="he-IL"/>
        </w:rPr>
        <w:t xml:space="preserve">in the </w:t>
      </w:r>
      <w:r w:rsidR="00006217">
        <w:rPr>
          <w:rFonts w:hint="cs"/>
          <w:rtl/>
          <w:lang w:bidi="he-IL"/>
        </w:rPr>
        <w:t>גמרא</w:t>
      </w:r>
      <w:r w:rsidR="00006217">
        <w:rPr>
          <w:lang w:bidi="he-IL"/>
        </w:rPr>
        <w:t xml:space="preserve">, on the </w:t>
      </w:r>
      <w:r w:rsidR="00006217">
        <w:rPr>
          <w:rFonts w:hint="cs"/>
          <w:rtl/>
          <w:lang w:bidi="he-IL"/>
        </w:rPr>
        <w:t>משנה</w:t>
      </w:r>
      <w:r w:rsidR="00006217">
        <w:rPr>
          <w:lang w:bidi="he-IL"/>
        </w:rPr>
        <w:t xml:space="preserve"> which reads </w:t>
      </w:r>
      <w:r>
        <w:rPr>
          <w:lang w:bidi="he-IL"/>
        </w:rPr>
        <w:t xml:space="preserve">that there are </w:t>
      </w:r>
      <w:r>
        <w:rPr>
          <w:b/>
          <w:bCs/>
          <w:lang w:bidi="he-IL"/>
        </w:rPr>
        <w:t xml:space="preserve">three </w:t>
      </w:r>
      <w:r>
        <w:rPr>
          <w:lang w:bidi="he-IL"/>
        </w:rPr>
        <w:t xml:space="preserve">different </w:t>
      </w:r>
      <w:r w:rsidRPr="006669A9">
        <w:rPr>
          <w:b/>
          <w:bCs/>
          <w:lang w:bidi="he-IL"/>
        </w:rPr>
        <w:t>countries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in relation </w:t>
      </w:r>
      <w:r w:rsidRPr="006669A9">
        <w:rPr>
          <w:b/>
          <w:bCs/>
          <w:lang w:bidi="he-IL"/>
        </w:rPr>
        <w:t>to</w:t>
      </w:r>
      <w:r>
        <w:rPr>
          <w:lang w:bidi="he-IL"/>
        </w:rPr>
        <w:t xml:space="preserve"> the laws of </w:t>
      </w:r>
      <w:r>
        <w:rPr>
          <w:rFonts w:hint="cs"/>
          <w:b/>
          <w:bCs/>
          <w:rtl/>
          <w:lang w:bidi="he-IL"/>
        </w:rPr>
        <w:t>חזקה</w:t>
      </w:r>
      <w:r>
        <w:rPr>
          <w:b/>
          <w:bCs/>
          <w:lang w:bidi="he-IL"/>
        </w:rPr>
        <w:t>.</w:t>
      </w:r>
      <w:r>
        <w:rPr>
          <w:lang w:bidi="he-IL"/>
        </w:rPr>
        <w:t xml:space="preserve"> </w:t>
      </w:r>
      <w:r w:rsidRPr="00A05BF9">
        <w:rPr>
          <w:sz w:val="24"/>
          <w:szCs w:val="24"/>
          <w:lang w:bidi="he-IL"/>
        </w:rPr>
        <w:t xml:space="preserve">We see that </w:t>
      </w:r>
      <w:r w:rsidRPr="00A05BF9">
        <w:rPr>
          <w:rFonts w:hint="cs"/>
          <w:sz w:val="24"/>
          <w:szCs w:val="24"/>
          <w:rtl/>
          <w:lang w:bidi="he-IL"/>
        </w:rPr>
        <w:t>ר"נ</w:t>
      </w:r>
      <w:r w:rsidRPr="00A05BF9">
        <w:rPr>
          <w:sz w:val="24"/>
          <w:szCs w:val="24"/>
          <w:lang w:bidi="he-IL"/>
        </w:rPr>
        <w:t xml:space="preserve"> clearly distinguishes between </w:t>
      </w:r>
      <w:r w:rsidRPr="00A05BF9">
        <w:rPr>
          <w:rFonts w:hint="cs"/>
          <w:sz w:val="24"/>
          <w:szCs w:val="24"/>
          <w:rtl/>
          <w:lang w:bidi="he-IL"/>
        </w:rPr>
        <w:t>קיום שטרות</w:t>
      </w:r>
      <w:r w:rsidRPr="00A05BF9">
        <w:rPr>
          <w:sz w:val="24"/>
          <w:szCs w:val="24"/>
          <w:lang w:bidi="he-IL"/>
        </w:rPr>
        <w:t xml:space="preserve"> (where three are required) and cases in general (where two are sufficient). The same may apply to </w:t>
      </w:r>
      <w:r w:rsidRPr="00A05BF9">
        <w:rPr>
          <w:rFonts w:hint="cs"/>
          <w:sz w:val="24"/>
          <w:szCs w:val="24"/>
          <w:rtl/>
          <w:lang w:bidi="he-IL"/>
        </w:rPr>
        <w:t>שמואל</w:t>
      </w:r>
      <w:r w:rsidRPr="00A05BF9">
        <w:rPr>
          <w:sz w:val="24"/>
          <w:szCs w:val="24"/>
          <w:lang w:bidi="he-IL"/>
        </w:rPr>
        <w:t>.</w:t>
      </w:r>
    </w:p>
    <w:p w:rsidR="00A05BF9" w:rsidRDefault="00A05BF9" w:rsidP="00E21B1B">
      <w:pPr>
        <w:spacing w:line="276" w:lineRule="auto"/>
        <w:jc w:val="both"/>
        <w:rPr>
          <w:sz w:val="24"/>
          <w:szCs w:val="24"/>
          <w:lang w:bidi="he-IL"/>
        </w:rPr>
      </w:pPr>
    </w:p>
    <w:p w:rsidR="00A05BF9" w:rsidRPr="00EA3057" w:rsidRDefault="00A05BF9" w:rsidP="00E21B1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EA3057">
        <w:rPr>
          <w:rFonts w:ascii="Copperplate Gothic Bold" w:hAnsi="Copperplate Gothic Bold"/>
          <w:u w:val="double"/>
          <w:lang w:bidi="he-IL"/>
        </w:rPr>
        <w:t>Summary</w:t>
      </w:r>
    </w:p>
    <w:p w:rsidR="00A05BF9" w:rsidRDefault="00A05BF9" w:rsidP="00E21B1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may maintain that </w:t>
      </w:r>
      <w:r>
        <w:rPr>
          <w:rFonts w:hint="cs"/>
          <w:rtl/>
          <w:lang w:bidi="he-IL"/>
        </w:rPr>
        <w:t>שנים שדנו דיניהם דין</w:t>
      </w:r>
      <w:r>
        <w:rPr>
          <w:lang w:bidi="he-IL"/>
        </w:rPr>
        <w:t xml:space="preserve"> and nevertheless require three by </w:t>
      </w:r>
      <w:r>
        <w:rPr>
          <w:rFonts w:hint="cs"/>
          <w:rtl/>
          <w:lang w:bidi="he-IL"/>
        </w:rPr>
        <w:t>קיום שטרות</w:t>
      </w:r>
      <w:r>
        <w:rPr>
          <w:lang w:bidi="he-IL"/>
        </w:rPr>
        <w:t>.</w:t>
      </w:r>
    </w:p>
    <w:p w:rsidR="00A05BF9" w:rsidRDefault="00A05BF9" w:rsidP="00E21B1B">
      <w:pPr>
        <w:spacing w:line="276" w:lineRule="auto"/>
        <w:jc w:val="both"/>
        <w:rPr>
          <w:sz w:val="24"/>
          <w:szCs w:val="24"/>
          <w:lang w:bidi="he-IL"/>
        </w:rPr>
      </w:pPr>
    </w:p>
    <w:p w:rsidR="00A05BF9" w:rsidRPr="00EA3057" w:rsidRDefault="00A05BF9" w:rsidP="00E21B1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EA3057">
        <w:rPr>
          <w:rFonts w:ascii="Copperplate Gothic Bold" w:hAnsi="Copperplate Gothic Bold"/>
          <w:u w:val="double"/>
          <w:lang w:bidi="he-IL"/>
        </w:rPr>
        <w:t>Thinking it over</w:t>
      </w:r>
    </w:p>
    <w:p w:rsidR="00A05BF9" w:rsidRDefault="00A05BF9" w:rsidP="00E21B1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It seems that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reluctant to assume that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maintains that </w:t>
      </w:r>
      <w:r>
        <w:rPr>
          <w:rFonts w:hint="cs"/>
          <w:rtl/>
          <w:lang w:bidi="he-IL"/>
        </w:rPr>
        <w:t>קיום שטרות בשנים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 בדיעבד</w:t>
      </w:r>
      <w:r>
        <w:rPr>
          <w:lang w:bidi="he-IL"/>
        </w:rPr>
        <w:t>.</w:t>
      </w:r>
      <w:r w:rsidR="00D50CD7">
        <w:rPr>
          <w:rStyle w:val="FootnoteReference"/>
          <w:lang w:bidi="he-IL"/>
        </w:rPr>
        <w:footnoteReference w:id="6"/>
      </w:r>
      <w:r>
        <w:rPr>
          <w:lang w:bidi="he-IL"/>
        </w:rPr>
        <w:t xml:space="preserve"> What is the reason?</w:t>
      </w:r>
    </w:p>
    <w:p w:rsidR="00A05BF9" w:rsidRDefault="00A05BF9" w:rsidP="00E21B1B">
      <w:pPr>
        <w:spacing w:line="276" w:lineRule="auto"/>
        <w:jc w:val="both"/>
        <w:rPr>
          <w:lang w:bidi="he-IL"/>
        </w:rPr>
      </w:pPr>
    </w:p>
    <w:p w:rsidR="00A05BF9" w:rsidRDefault="00A05BF9" w:rsidP="00E21B1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Why indeed can there be a difference between </w:t>
      </w:r>
      <w:r>
        <w:rPr>
          <w:rFonts w:hint="cs"/>
          <w:rtl/>
          <w:lang w:bidi="he-IL"/>
        </w:rPr>
        <w:t>קיום שטרות</w:t>
      </w:r>
      <w:r>
        <w:rPr>
          <w:lang w:bidi="he-IL"/>
        </w:rPr>
        <w:t xml:space="preserve"> (which requires three)</w:t>
      </w:r>
      <w:r w:rsidR="00D50CD7">
        <w:rPr>
          <w:rStyle w:val="FootnoteReference"/>
          <w:lang w:bidi="he-IL"/>
        </w:rPr>
        <w:footnoteReference w:id="7"/>
      </w:r>
      <w:r>
        <w:rPr>
          <w:lang w:bidi="he-IL"/>
        </w:rPr>
        <w:t xml:space="preserve"> and other cases (where two are sufficient </w:t>
      </w:r>
      <w:r>
        <w:rPr>
          <w:rFonts w:hint="cs"/>
          <w:rtl/>
          <w:lang w:bidi="he-IL"/>
        </w:rPr>
        <w:t>[בדיעבד]</w:t>
      </w:r>
      <w:r>
        <w:rPr>
          <w:lang w:bidi="he-IL"/>
        </w:rPr>
        <w:t>)?</w:t>
      </w:r>
      <w:r>
        <w:rPr>
          <w:rStyle w:val="FootnoteReference"/>
          <w:lang w:bidi="he-IL"/>
        </w:rPr>
        <w:footnoteReference w:id="8"/>
      </w:r>
    </w:p>
    <w:p w:rsidR="00BC3DC4" w:rsidRDefault="00BC3DC4" w:rsidP="00E21B1B">
      <w:pPr>
        <w:spacing w:line="276" w:lineRule="auto"/>
        <w:jc w:val="both"/>
        <w:rPr>
          <w:lang w:bidi="he-IL"/>
        </w:rPr>
      </w:pPr>
    </w:p>
    <w:p w:rsidR="00BC3DC4" w:rsidRPr="00A05BF9" w:rsidRDefault="00BC3DC4" w:rsidP="00E21B1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3. How does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derive that s</w:t>
      </w:r>
      <w:r>
        <w:rPr>
          <w:rFonts w:hint="cs"/>
          <w:rtl/>
          <w:lang w:bidi="he-IL"/>
        </w:rPr>
        <w:t>רב נחמן'</w:t>
      </w:r>
      <w:r>
        <w:rPr>
          <w:lang w:bidi="he-IL"/>
        </w:rPr>
        <w:t xml:space="preserve"> statement (in </w:t>
      </w:r>
      <w:r>
        <w:rPr>
          <w:rFonts w:hint="cs"/>
          <w:rtl/>
          <w:lang w:bidi="he-IL"/>
        </w:rPr>
        <w:t>ב"ב</w:t>
      </w:r>
      <w:r>
        <w:rPr>
          <w:lang w:bidi="he-IL"/>
        </w:rPr>
        <w:t xml:space="preserve">) that </w:t>
      </w:r>
      <w:r>
        <w:rPr>
          <w:rFonts w:hint="cs"/>
          <w:rtl/>
          <w:lang w:bidi="he-IL"/>
        </w:rPr>
        <w:t>קיום שטרות בשלשה</w:t>
      </w:r>
      <w:r>
        <w:rPr>
          <w:lang w:bidi="he-IL"/>
        </w:rPr>
        <w:t>,</w:t>
      </w:r>
      <w:r w:rsidR="00D50CD7">
        <w:rPr>
          <w:rStyle w:val="FootnoteReference"/>
          <w:lang w:bidi="he-IL"/>
        </w:rPr>
        <w:footnoteReference w:id="9"/>
      </w:r>
      <w:r>
        <w:rPr>
          <w:lang w:bidi="he-IL"/>
        </w:rPr>
        <w:t xml:space="preserve"> means even </w:t>
      </w:r>
      <w:r>
        <w:rPr>
          <w:rFonts w:hint="cs"/>
          <w:rtl/>
          <w:lang w:bidi="he-IL"/>
        </w:rPr>
        <w:t>בדיעבד</w:t>
      </w:r>
      <w:r>
        <w:rPr>
          <w:lang w:bidi="he-IL"/>
        </w:rPr>
        <w:t>?</w:t>
      </w:r>
    </w:p>
    <w:sectPr w:rsidR="00BC3DC4" w:rsidRPr="00A05BF9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41C" w:rsidRDefault="002E741C">
      <w:r>
        <w:separator/>
      </w:r>
    </w:p>
  </w:endnote>
  <w:endnote w:type="continuationSeparator" w:id="0">
    <w:p w:rsidR="002E741C" w:rsidRDefault="002E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742" w:rsidRDefault="00323742" w:rsidP="001A26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23742" w:rsidRDefault="003237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DCB" w:rsidRDefault="00A51DCB">
    <w:pPr>
      <w:pStyle w:val="Footer"/>
      <w:jc w:val="center"/>
      <w:rPr>
        <w:noProof/>
        <w:sz w:val="16"/>
        <w:szCs w:val="16"/>
      </w:rPr>
    </w:pPr>
    <w:r w:rsidRPr="00A51DCB">
      <w:rPr>
        <w:sz w:val="20"/>
        <w:szCs w:val="20"/>
      </w:rPr>
      <w:fldChar w:fldCharType="begin"/>
    </w:r>
    <w:r w:rsidRPr="00A51DCB">
      <w:rPr>
        <w:sz w:val="20"/>
        <w:szCs w:val="20"/>
      </w:rPr>
      <w:instrText xml:space="preserve"> PAGE   \* MERGEFORMAT </w:instrText>
    </w:r>
    <w:r w:rsidRPr="00A51DCB">
      <w:rPr>
        <w:sz w:val="20"/>
        <w:szCs w:val="20"/>
      </w:rPr>
      <w:fldChar w:fldCharType="separate"/>
    </w:r>
    <w:r w:rsidR="00EC2A2E">
      <w:rPr>
        <w:noProof/>
        <w:sz w:val="20"/>
        <w:szCs w:val="20"/>
      </w:rPr>
      <w:t>2</w:t>
    </w:r>
    <w:r w:rsidRPr="00A51DCB">
      <w:rPr>
        <w:noProof/>
        <w:sz w:val="20"/>
        <w:szCs w:val="20"/>
      </w:rPr>
      <w:fldChar w:fldCharType="end"/>
    </w:r>
  </w:p>
  <w:p w:rsidR="00A51DCB" w:rsidRPr="00A51DCB" w:rsidRDefault="00A51DCB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323742" w:rsidRPr="00323742" w:rsidRDefault="00323742" w:rsidP="00323742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41C" w:rsidRDefault="002E741C">
      <w:r>
        <w:separator/>
      </w:r>
    </w:p>
  </w:footnote>
  <w:footnote w:type="continuationSeparator" w:id="0">
    <w:p w:rsidR="002E741C" w:rsidRDefault="002E741C">
      <w:r>
        <w:continuationSeparator/>
      </w:r>
    </w:p>
  </w:footnote>
  <w:footnote w:id="1">
    <w:p w:rsidR="00DE7CE8" w:rsidRDefault="00DE7CE8" w:rsidP="00EA3057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term </w:t>
      </w:r>
      <w:r>
        <w:rPr>
          <w:rFonts w:hint="cs"/>
          <w:rtl/>
          <w:lang w:bidi="he-IL"/>
        </w:rPr>
        <w:t>פירוש</w:t>
      </w:r>
      <w:r>
        <w:rPr>
          <w:lang w:bidi="he-IL"/>
        </w:rPr>
        <w:t xml:space="preserve"> indicates that we are not to understand the text in its superficial meaning. In this case it precludes us from interpreting that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must maintain that </w:t>
      </w:r>
      <w:r>
        <w:rPr>
          <w:rFonts w:hint="cs"/>
          <w:rtl/>
          <w:lang w:bidi="he-IL"/>
        </w:rPr>
        <w:t>קיום שטרות בשנים</w:t>
      </w:r>
      <w:r>
        <w:rPr>
          <w:lang w:bidi="he-IL"/>
        </w:rPr>
        <w:t xml:space="preserve"> since he maintains </w:t>
      </w:r>
      <w:r>
        <w:rPr>
          <w:rFonts w:hint="cs"/>
          <w:rtl/>
          <w:lang w:bidi="he-IL"/>
        </w:rPr>
        <w:t>שנים שדנו דיניהם דין</w:t>
      </w:r>
      <w:r>
        <w:rPr>
          <w:lang w:bidi="he-IL"/>
        </w:rPr>
        <w:t xml:space="preserve">. </w:t>
      </w:r>
    </w:p>
  </w:footnote>
  <w:footnote w:id="2">
    <w:p w:rsidR="00EA3057" w:rsidRPr="00EA3057" w:rsidRDefault="00EA3057" w:rsidP="00EA3057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See ‘Thinking it over # 1.</w:t>
      </w:r>
    </w:p>
  </w:footnote>
  <w:footnote w:id="3">
    <w:p w:rsidR="00323742" w:rsidRDefault="00323742" w:rsidP="00EA305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 # 2.</w:t>
      </w:r>
    </w:p>
  </w:footnote>
  <w:footnote w:id="4">
    <w:p w:rsidR="00EA3057" w:rsidRDefault="00EA3057" w:rsidP="00EA3057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See ‘Thinking it over # 3.</w:t>
      </w:r>
    </w:p>
  </w:footnote>
  <w:footnote w:id="5">
    <w:p w:rsidR="00DE7CE8" w:rsidRDefault="00DE7CE8" w:rsidP="00D50CD7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 w:rsidR="00D50CD7">
        <w:t xml:space="preserve">The </w:t>
      </w:r>
      <w:r w:rsidR="00D50CD7">
        <w:rPr>
          <w:rFonts w:hint="cs"/>
          <w:rtl/>
          <w:lang w:bidi="he-IL"/>
        </w:rPr>
        <w:t>גמרא</w:t>
      </w:r>
      <w:r w:rsidR="00D50CD7">
        <w:rPr>
          <w:lang w:bidi="he-IL"/>
        </w:rPr>
        <w:t xml:space="preserve"> mentions there various rulings that </w:t>
      </w:r>
      <w:r w:rsidR="00D50CD7">
        <w:rPr>
          <w:rFonts w:hint="cs"/>
          <w:rtl/>
          <w:lang w:bidi="he-IL"/>
        </w:rPr>
        <w:t>רבא</w:t>
      </w:r>
      <w:r w:rsidR="00D50CD7">
        <w:rPr>
          <w:lang w:bidi="he-IL"/>
        </w:rPr>
        <w:t xml:space="preserve"> said in the name of </w:t>
      </w:r>
      <w:r w:rsidR="00D50CD7">
        <w:rPr>
          <w:rFonts w:hint="cs"/>
          <w:rtl/>
          <w:lang w:bidi="he-IL"/>
        </w:rPr>
        <w:t>ר"נ</w:t>
      </w:r>
      <w:r w:rsidR="00D50CD7">
        <w:rPr>
          <w:lang w:bidi="he-IL"/>
        </w:rPr>
        <w:t xml:space="preserve">; one of which is that </w:t>
      </w:r>
      <w:r w:rsidR="00D50CD7">
        <w:rPr>
          <w:rFonts w:hint="cs"/>
          <w:rtl/>
          <w:lang w:bidi="he-IL"/>
        </w:rPr>
        <w:t>קיום שטרות בשלשה</w:t>
      </w:r>
      <w:r w:rsidR="00D50CD7">
        <w:rPr>
          <w:lang w:bidi="he-IL"/>
        </w:rPr>
        <w:t xml:space="preserve">.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there </w:t>
      </w:r>
      <w:r>
        <w:rPr>
          <w:rFonts w:hint="cs"/>
          <w:rtl/>
          <w:lang w:bidi="he-IL"/>
        </w:rPr>
        <w:t>ד"ה קיום</w:t>
      </w:r>
      <w:r>
        <w:rPr>
          <w:lang w:bidi="he-IL"/>
        </w:rPr>
        <w:t xml:space="preserve">. </w:t>
      </w:r>
    </w:p>
  </w:footnote>
  <w:footnote w:id="6">
    <w:p w:rsidR="00D50CD7" w:rsidRDefault="00D50CD7" w:rsidP="00D50CD7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2.</w:t>
      </w:r>
    </w:p>
  </w:footnote>
  <w:footnote w:id="7">
    <w:p w:rsidR="00D50CD7" w:rsidRDefault="00D50CD7" w:rsidP="00D50CD7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3.</w:t>
      </w:r>
    </w:p>
  </w:footnote>
  <w:footnote w:id="8">
    <w:p w:rsidR="00DE7CE8" w:rsidRDefault="00DE7CE8" w:rsidP="00D50CD7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>.</w:t>
      </w:r>
    </w:p>
  </w:footnote>
  <w:footnote w:id="9">
    <w:p w:rsidR="00D50CD7" w:rsidRDefault="00D50CD7" w:rsidP="00D50CD7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742" w:rsidRPr="00323742" w:rsidRDefault="00323742" w:rsidP="00323742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כב,א תוס' ד"ה ודלמא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1D81"/>
    <w:rsid w:val="00006217"/>
    <w:rsid w:val="000F3F24"/>
    <w:rsid w:val="00157416"/>
    <w:rsid w:val="00184D2E"/>
    <w:rsid w:val="001A26F0"/>
    <w:rsid w:val="0020216B"/>
    <w:rsid w:val="00210A1E"/>
    <w:rsid w:val="00271D81"/>
    <w:rsid w:val="002E741C"/>
    <w:rsid w:val="00323742"/>
    <w:rsid w:val="003F6705"/>
    <w:rsid w:val="00561AFD"/>
    <w:rsid w:val="006669A9"/>
    <w:rsid w:val="007552E7"/>
    <w:rsid w:val="00816504"/>
    <w:rsid w:val="008874FF"/>
    <w:rsid w:val="0089054C"/>
    <w:rsid w:val="00945B78"/>
    <w:rsid w:val="00A05BF9"/>
    <w:rsid w:val="00A06822"/>
    <w:rsid w:val="00A51DCB"/>
    <w:rsid w:val="00BC3DC4"/>
    <w:rsid w:val="00D45F73"/>
    <w:rsid w:val="00D50CD7"/>
    <w:rsid w:val="00D54370"/>
    <w:rsid w:val="00D80DE2"/>
    <w:rsid w:val="00DE7CE8"/>
    <w:rsid w:val="00E21B1B"/>
    <w:rsid w:val="00EA3057"/>
    <w:rsid w:val="00EC2A2E"/>
    <w:rsid w:val="00F70D02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CABE74A-912F-4259-AD77-6B7020FC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FootnoteText">
    <w:name w:val="footnote text"/>
    <w:basedOn w:val="Normal"/>
    <w:semiHidden/>
    <w:rsid w:val="00F70D02"/>
    <w:rPr>
      <w:sz w:val="20"/>
      <w:szCs w:val="20"/>
    </w:rPr>
  </w:style>
  <w:style w:type="character" w:styleId="FootnoteReference">
    <w:name w:val="footnote reference"/>
    <w:semiHidden/>
    <w:rsid w:val="00F70D02"/>
    <w:rPr>
      <w:vertAlign w:val="superscript"/>
    </w:rPr>
  </w:style>
  <w:style w:type="paragraph" w:styleId="Header">
    <w:name w:val="header"/>
    <w:basedOn w:val="Normal"/>
    <w:rsid w:val="003237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2374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23742"/>
  </w:style>
  <w:style w:type="character" w:customStyle="1" w:styleId="FooterChar">
    <w:name w:val="Footer Char"/>
    <w:link w:val="Footer"/>
    <w:uiPriority w:val="99"/>
    <w:rsid w:val="00A51DCB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ודלמא רבנן דבי רב אשי כשמואל סבירא להו – </vt:lpstr>
    </vt:vector>
  </TitlesOfParts>
  <Company> 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ודלמא רבנן דבי רב אשי כשמואל סבירא להו – </dc:title>
  <dc:subject/>
  <dc:creator> </dc:creator>
  <cp:keywords/>
  <dc:description/>
  <cp:lastModifiedBy>Microsoft account</cp:lastModifiedBy>
  <cp:revision>2</cp:revision>
  <dcterms:created xsi:type="dcterms:W3CDTF">2022-04-05T10:52:00Z</dcterms:created>
  <dcterms:modified xsi:type="dcterms:W3CDTF">2022-04-05T10:52:00Z</dcterms:modified>
</cp:coreProperties>
</file>