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C6" w:rsidRDefault="0043619C" w:rsidP="008E55DE">
      <w:pPr>
        <w:pStyle w:val="NormalWeb"/>
        <w:bidi/>
        <w:spacing w:before="0" w:beforeAutospacing="0" w:after="0" w:afterAutospacing="0" w:line="276" w:lineRule="auto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 w:rsidRPr="00D731C6">
        <w:rPr>
          <w:rFonts w:hint="cs"/>
          <w:b/>
          <w:bCs/>
          <w:sz w:val="36"/>
          <w:szCs w:val="36"/>
          <w:rtl/>
        </w:rPr>
        <w:t>ואפילו</w:t>
      </w:r>
      <w:r>
        <w:rPr>
          <w:rFonts w:hint="cs"/>
          <w:rtl/>
        </w:rPr>
        <w:t xml:space="preserve"> </w:t>
      </w:r>
      <w:r w:rsidRPr="00D731C6">
        <w:rPr>
          <w:rFonts w:hint="cs"/>
          <w:b/>
          <w:bCs/>
          <w:sz w:val="32"/>
          <w:szCs w:val="32"/>
          <w:rtl/>
        </w:rPr>
        <w:t>הכי לא עבד שמואל עובדא בנפשיה</w:t>
      </w:r>
      <w:r w:rsidR="00D731C6">
        <w:rPr>
          <w:rFonts w:hint="cs"/>
          <w:b/>
          <w:bCs/>
          <w:sz w:val="32"/>
          <w:szCs w:val="32"/>
          <w:rtl/>
        </w:rPr>
        <w:t xml:space="preserve"> </w:t>
      </w:r>
      <w:r w:rsidR="00D731C6">
        <w:rPr>
          <w:b/>
          <w:bCs/>
          <w:sz w:val="32"/>
          <w:szCs w:val="32"/>
          <w:rtl/>
        </w:rPr>
        <w:t>–</w:t>
      </w:r>
    </w:p>
    <w:p w:rsidR="00D731C6" w:rsidRDefault="00D731C6" w:rsidP="008E55DE">
      <w:pPr>
        <w:pStyle w:val="NormalWeb"/>
        <w:spacing w:before="0" w:beforeAutospacing="0" w:after="0" w:afterAutospacing="0" w:line="276" w:lineRule="auto"/>
        <w:rPr>
          <w:rFonts w:hint="cs"/>
          <w:rtl/>
        </w:rPr>
      </w:pPr>
      <w:r>
        <w:rPr>
          <w:b/>
          <w:bCs/>
          <w:sz w:val="32"/>
          <w:szCs w:val="32"/>
        </w:rPr>
        <w:t xml:space="preserve">And nevertheless, </w:t>
      </w:r>
      <w:r>
        <w:rPr>
          <w:rFonts w:hint="cs"/>
          <w:b/>
          <w:bCs/>
          <w:sz w:val="32"/>
          <w:szCs w:val="32"/>
          <w:rtl/>
        </w:rPr>
        <w:t>שמואל</w:t>
      </w:r>
      <w:r>
        <w:rPr>
          <w:b/>
          <w:bCs/>
          <w:sz w:val="32"/>
          <w:szCs w:val="32"/>
        </w:rPr>
        <w:t xml:space="preserve"> did not practice this ruling for himself</w:t>
      </w:r>
      <w:r w:rsidR="0043619C">
        <w:rPr>
          <w:rFonts w:hint="cs"/>
          <w:rtl/>
        </w:rPr>
        <w:t xml:space="preserve"> </w:t>
      </w:r>
    </w:p>
    <w:p w:rsidR="00D731C6" w:rsidRDefault="00D731C6" w:rsidP="008E55DE">
      <w:pPr>
        <w:pStyle w:val="NormalWeb"/>
        <w:bidi/>
        <w:spacing w:before="0" w:beforeAutospacing="0" w:after="0" w:afterAutospacing="0" w:line="276" w:lineRule="auto"/>
        <w:rPr>
          <w:rFonts w:hint="cs"/>
          <w:rtl/>
        </w:rPr>
      </w:pPr>
    </w:p>
    <w:p w:rsidR="00D731C6" w:rsidRPr="00684961" w:rsidRDefault="007E10B8" w:rsidP="008E55DE">
      <w:pPr>
        <w:pStyle w:val="NormalWeb"/>
        <w:spacing w:before="0" w:beforeAutospacing="0" w:after="0" w:afterAutospacing="0" w:line="276" w:lineRule="auto"/>
        <w:rPr>
          <w:rFonts w:ascii="Copperplate Gothic Bold" w:hAnsi="Copperplate Gothic Bold"/>
          <w:sz w:val="28"/>
          <w:szCs w:val="28"/>
          <w:u w:val="double"/>
        </w:rPr>
      </w:pPr>
      <w:r w:rsidRPr="00684961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7E10B8" w:rsidRPr="007E10B8" w:rsidRDefault="007E10B8" w:rsidP="008E55DE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states that </w:t>
      </w:r>
      <w:r>
        <w:rPr>
          <w:rFonts w:hint="cs"/>
          <w:sz w:val="28"/>
          <w:szCs w:val="28"/>
          <w:rtl/>
        </w:rPr>
        <w:t>שמואל</w:t>
      </w:r>
      <w:r>
        <w:rPr>
          <w:sz w:val="28"/>
          <w:szCs w:val="28"/>
        </w:rPr>
        <w:t xml:space="preserve"> learnt from </w:t>
      </w:r>
      <w:r>
        <w:rPr>
          <w:rFonts w:hint="cs"/>
          <w:sz w:val="28"/>
          <w:szCs w:val="28"/>
          <w:rtl/>
        </w:rPr>
        <w:t>רב</w:t>
      </w:r>
      <w:r>
        <w:rPr>
          <w:sz w:val="28"/>
          <w:szCs w:val="28"/>
        </w:rPr>
        <w:t xml:space="preserve"> forty times the ruling that </w:t>
      </w:r>
      <w:r>
        <w:rPr>
          <w:rFonts w:hint="cs"/>
          <w:sz w:val="28"/>
          <w:szCs w:val="28"/>
          <w:rtl/>
        </w:rPr>
        <w:t>אם נתנה אמתלא לדבריה נאמנת</w:t>
      </w:r>
      <w:r>
        <w:rPr>
          <w:sz w:val="28"/>
          <w:szCs w:val="28"/>
        </w:rPr>
        <w:t xml:space="preserve">, and nevertheless </w:t>
      </w:r>
      <w:r>
        <w:rPr>
          <w:rFonts w:hint="cs"/>
          <w:sz w:val="28"/>
          <w:szCs w:val="28"/>
          <w:rtl/>
        </w:rPr>
        <w:t>שמואל</w:t>
      </w:r>
      <w:r>
        <w:rPr>
          <w:sz w:val="28"/>
          <w:szCs w:val="28"/>
        </w:rPr>
        <w:t xml:space="preserve"> was reluctant to fol</w:t>
      </w:r>
      <w:r w:rsidR="007B4602">
        <w:rPr>
          <w:sz w:val="28"/>
          <w:szCs w:val="28"/>
        </w:rPr>
        <w:t>low this leniency</w:t>
      </w:r>
      <w:r>
        <w:rPr>
          <w:sz w:val="28"/>
          <w:szCs w:val="28"/>
        </w:rPr>
        <w:t xml:space="preserve"> for himself. </w:t>
      </w:r>
      <w:r w:rsidR="00AD14D7">
        <w:rPr>
          <w:rFonts w:hint="cs"/>
          <w:sz w:val="28"/>
          <w:szCs w:val="28"/>
          <w:rtl/>
        </w:rPr>
        <w:t>תוספות</w:t>
      </w:r>
      <w:r w:rsidR="007B4602">
        <w:rPr>
          <w:sz w:val="28"/>
          <w:szCs w:val="28"/>
        </w:rPr>
        <w:t xml:space="preserve"> cites an actual example where this issue was relevant to </w:t>
      </w:r>
      <w:r w:rsidR="007B4602">
        <w:rPr>
          <w:rFonts w:hint="cs"/>
          <w:sz w:val="28"/>
          <w:szCs w:val="28"/>
          <w:rtl/>
        </w:rPr>
        <w:t>שמואל</w:t>
      </w:r>
      <w:r w:rsidR="007B4602">
        <w:rPr>
          <w:sz w:val="28"/>
          <w:szCs w:val="28"/>
        </w:rPr>
        <w:t xml:space="preserve"> personally.</w:t>
      </w:r>
      <w:r>
        <w:rPr>
          <w:sz w:val="28"/>
          <w:szCs w:val="28"/>
        </w:rPr>
        <w:t xml:space="preserve"> </w:t>
      </w:r>
    </w:p>
    <w:p w:rsidR="00D731C6" w:rsidRDefault="007B4602" w:rsidP="008E55DE">
      <w:pPr>
        <w:pStyle w:val="NormalWeb"/>
        <w:bidi/>
        <w:spacing w:before="0" w:beforeAutospacing="0" w:after="0" w:afterAutospacing="0" w:line="276" w:lineRule="auto"/>
        <w:jc w:val="center"/>
        <w:rPr>
          <w:rtl/>
        </w:rPr>
      </w:pPr>
      <w:r>
        <w:t>---------------</w:t>
      </w:r>
    </w:p>
    <w:p w:rsidR="00D731C6" w:rsidRPr="00684961" w:rsidRDefault="0043619C" w:rsidP="005F0440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684961">
        <w:rPr>
          <w:rFonts w:cs="David" w:hint="cs"/>
          <w:b/>
          <w:bCs/>
          <w:sz w:val="28"/>
          <w:szCs w:val="28"/>
          <w:rtl/>
        </w:rPr>
        <w:t>ר</w:t>
      </w:r>
      <w:r w:rsidR="00D731C6" w:rsidRPr="00684961">
        <w:rPr>
          <w:rFonts w:cs="David" w:hint="cs"/>
          <w:b/>
          <w:bCs/>
          <w:sz w:val="28"/>
          <w:szCs w:val="28"/>
          <w:rtl/>
        </w:rPr>
        <w:t>בינו חננאל</w:t>
      </w:r>
      <w:r w:rsidRPr="00684961">
        <w:rPr>
          <w:rFonts w:cs="David" w:hint="cs"/>
          <w:b/>
          <w:bCs/>
          <w:sz w:val="28"/>
          <w:szCs w:val="28"/>
          <w:rtl/>
        </w:rPr>
        <w:t xml:space="preserve"> הביא ירושלמי</w:t>
      </w:r>
      <w:r w:rsidR="00090D7C" w:rsidRPr="00684961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Pr="00684961">
        <w:rPr>
          <w:rFonts w:cs="David" w:hint="cs"/>
          <w:b/>
          <w:bCs/>
          <w:sz w:val="28"/>
          <w:szCs w:val="28"/>
          <w:rtl/>
        </w:rPr>
        <w:t xml:space="preserve"> שמואל בעא לאזדקוקי לאתתיה </w:t>
      </w:r>
      <w:r w:rsidR="005F0440">
        <w:rPr>
          <w:rFonts w:cs="David" w:hint="cs"/>
          <w:b/>
          <w:bCs/>
          <w:sz w:val="28"/>
          <w:szCs w:val="28"/>
          <w:rtl/>
        </w:rPr>
        <w:t>-</w:t>
      </w:r>
      <w:r w:rsidR="00D731C6" w:rsidRPr="00684961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090D7C" w:rsidRPr="00090D7C" w:rsidRDefault="00090D7C" w:rsidP="008E55D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ר"ח</w:t>
      </w:r>
      <w:r>
        <w:rPr>
          <w:b/>
          <w:bCs/>
          <w:sz w:val="28"/>
          <w:szCs w:val="28"/>
        </w:rPr>
        <w:t xml:space="preserve"> cited a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in </w:t>
      </w:r>
      <w:r>
        <w:rPr>
          <w:rFonts w:hint="cs"/>
          <w:sz w:val="28"/>
          <w:szCs w:val="28"/>
          <w:rtl/>
        </w:rPr>
        <w:t xml:space="preserve">תלמוד </w:t>
      </w:r>
      <w:r>
        <w:rPr>
          <w:rFonts w:hint="cs"/>
          <w:b/>
          <w:bCs/>
          <w:sz w:val="28"/>
          <w:szCs w:val="28"/>
          <w:rtl/>
        </w:rPr>
        <w:t>ירושלמי</w:t>
      </w:r>
      <w:r>
        <w:rPr>
          <w:b/>
          <w:bCs/>
          <w:sz w:val="28"/>
          <w:szCs w:val="28"/>
        </w:rPr>
        <w:t xml:space="preserve"> which state</w:t>
      </w:r>
      <w:r w:rsidR="007C193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; </w:t>
      </w:r>
      <w:r>
        <w:rPr>
          <w:rFonts w:hint="cs"/>
          <w:b/>
          <w:bCs/>
          <w:sz w:val="28"/>
          <w:szCs w:val="28"/>
          <w:rtl/>
        </w:rPr>
        <w:t>שמואל</w:t>
      </w:r>
      <w:r>
        <w:rPr>
          <w:b/>
          <w:bCs/>
          <w:sz w:val="28"/>
          <w:szCs w:val="28"/>
        </w:rPr>
        <w:t xml:space="preserve"> wanted to have relations with his wife -</w:t>
      </w:r>
    </w:p>
    <w:p w:rsidR="00684961" w:rsidRDefault="0043619C" w:rsidP="00684961">
      <w:pPr>
        <w:pStyle w:val="NormalWeb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684961">
        <w:rPr>
          <w:rFonts w:cs="David" w:hint="cs"/>
          <w:b/>
          <w:bCs/>
          <w:sz w:val="28"/>
          <w:szCs w:val="28"/>
          <w:rtl/>
        </w:rPr>
        <w:t>אמרה ליה טמאה</w:t>
      </w:r>
      <w:r w:rsidR="00684961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Pr="00684961">
        <w:rPr>
          <w:rFonts w:cs="David" w:hint="cs"/>
          <w:b/>
          <w:bCs/>
          <w:sz w:val="28"/>
          <w:szCs w:val="28"/>
          <w:rtl/>
        </w:rPr>
        <w:t xml:space="preserve"> אני ולמחר אמרה טהורה אני </w:t>
      </w:r>
      <w:r w:rsidR="005F0440">
        <w:rPr>
          <w:rFonts w:cs="David" w:hint="cs"/>
          <w:b/>
          <w:bCs/>
          <w:sz w:val="28"/>
          <w:szCs w:val="28"/>
          <w:rtl/>
        </w:rPr>
        <w:t>-</w:t>
      </w:r>
    </w:p>
    <w:p w:rsidR="00684961" w:rsidRDefault="00684961" w:rsidP="00684961">
      <w:pPr>
        <w:pStyle w:val="NormalWeb"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She said to him, ‘I am </w:t>
      </w:r>
      <w:r>
        <w:rPr>
          <w:rFonts w:hint="cs"/>
          <w:b/>
          <w:bCs/>
          <w:sz w:val="28"/>
          <w:szCs w:val="28"/>
          <w:rtl/>
        </w:rPr>
        <w:t>טמאה</w:t>
      </w:r>
      <w:r>
        <w:rPr>
          <w:b/>
          <w:bCs/>
          <w:sz w:val="28"/>
          <w:szCs w:val="28"/>
        </w:rPr>
        <w:t xml:space="preserve">’, and on the morrow she said, ‘I am </w:t>
      </w:r>
      <w:r>
        <w:rPr>
          <w:rFonts w:hint="cs"/>
          <w:b/>
          <w:bCs/>
          <w:sz w:val="28"/>
          <w:szCs w:val="28"/>
          <w:rtl/>
        </w:rPr>
        <w:t>טהורה</w:t>
      </w:r>
      <w:r>
        <w:rPr>
          <w:b/>
          <w:bCs/>
          <w:sz w:val="28"/>
          <w:szCs w:val="28"/>
        </w:rPr>
        <w:t>’ -</w:t>
      </w:r>
    </w:p>
    <w:p w:rsidR="00090D7C" w:rsidRPr="00684961" w:rsidRDefault="0043619C" w:rsidP="00684961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684961">
        <w:rPr>
          <w:rFonts w:cs="David" w:hint="cs"/>
          <w:b/>
          <w:bCs/>
          <w:sz w:val="28"/>
          <w:szCs w:val="28"/>
          <w:rtl/>
        </w:rPr>
        <w:t>אמר לה אתמול טמאה יומא דין טהורה</w:t>
      </w:r>
      <w:r w:rsidR="00684961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="00D731C6" w:rsidRPr="00684961">
        <w:rPr>
          <w:rFonts w:cs="David" w:hint="cs"/>
          <w:b/>
          <w:bCs/>
          <w:sz w:val="28"/>
          <w:szCs w:val="28"/>
          <w:rtl/>
        </w:rPr>
        <w:t xml:space="preserve"> </w:t>
      </w:r>
      <w:r w:rsidR="005F0440">
        <w:rPr>
          <w:rFonts w:cs="David" w:hint="cs"/>
          <w:b/>
          <w:bCs/>
          <w:sz w:val="28"/>
          <w:szCs w:val="28"/>
          <w:rtl/>
        </w:rPr>
        <w:t>-</w:t>
      </w:r>
    </w:p>
    <w:p w:rsidR="00090D7C" w:rsidRPr="00C561DA" w:rsidRDefault="00C561DA" w:rsidP="00684961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שמואל</w:t>
      </w:r>
      <w:r>
        <w:rPr>
          <w:sz w:val="28"/>
          <w:szCs w:val="28"/>
        </w:rPr>
        <w:t xml:space="preserve"> </w:t>
      </w:r>
      <w:r w:rsidRPr="00C561DA">
        <w:rPr>
          <w:b/>
          <w:bCs/>
          <w:sz w:val="28"/>
          <w:szCs w:val="28"/>
        </w:rPr>
        <w:t>said to her</w:t>
      </w:r>
      <w:r>
        <w:rPr>
          <w:b/>
          <w:bCs/>
          <w:sz w:val="28"/>
          <w:szCs w:val="28"/>
        </w:rPr>
        <w:t xml:space="preserve">, ‘yesterday </w:t>
      </w:r>
      <w:r>
        <w:rPr>
          <w:sz w:val="28"/>
          <w:szCs w:val="28"/>
        </w:rPr>
        <w:t xml:space="preserve">you were </w:t>
      </w:r>
      <w:r>
        <w:rPr>
          <w:rFonts w:hint="cs"/>
          <w:b/>
          <w:bCs/>
          <w:sz w:val="28"/>
          <w:szCs w:val="28"/>
          <w:rtl/>
        </w:rPr>
        <w:t>טמאה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this day </w:t>
      </w:r>
      <w:r>
        <w:rPr>
          <w:sz w:val="28"/>
          <w:szCs w:val="28"/>
        </w:rPr>
        <w:t xml:space="preserve">you are </w:t>
      </w:r>
      <w:r>
        <w:rPr>
          <w:rFonts w:hint="cs"/>
          <w:b/>
          <w:bCs/>
          <w:sz w:val="28"/>
          <w:szCs w:val="28"/>
          <w:rtl/>
        </w:rPr>
        <w:t>טהורה</w:t>
      </w:r>
      <w:r>
        <w:rPr>
          <w:b/>
          <w:bCs/>
          <w:sz w:val="28"/>
          <w:szCs w:val="28"/>
        </w:rPr>
        <w:t>’!</w:t>
      </w:r>
    </w:p>
    <w:p w:rsidR="00D731C6" w:rsidRPr="00293299" w:rsidRDefault="0043619C" w:rsidP="005F0440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293299">
        <w:rPr>
          <w:rFonts w:cs="David" w:hint="cs"/>
          <w:b/>
          <w:bCs/>
          <w:sz w:val="28"/>
          <w:szCs w:val="28"/>
          <w:rtl/>
        </w:rPr>
        <w:t>אמרה ליה אתמול לא הוות בי חילא כי ההיא</w:t>
      </w:r>
      <w:r w:rsidR="00090D7C" w:rsidRPr="00293299">
        <w:rPr>
          <w:rStyle w:val="FootnoteReference"/>
          <w:rFonts w:cs="David"/>
          <w:b/>
          <w:bCs/>
          <w:sz w:val="28"/>
          <w:szCs w:val="28"/>
          <w:rtl/>
        </w:rPr>
        <w:footnoteReference w:id="4"/>
      </w:r>
      <w:r w:rsidRPr="00293299">
        <w:rPr>
          <w:rFonts w:cs="David" w:hint="cs"/>
          <w:b/>
          <w:bCs/>
          <w:sz w:val="28"/>
          <w:szCs w:val="28"/>
          <w:rtl/>
        </w:rPr>
        <w:t xml:space="preserve"> שעתא </w:t>
      </w:r>
      <w:r w:rsidR="005F0440">
        <w:rPr>
          <w:rFonts w:cs="David" w:hint="cs"/>
          <w:b/>
          <w:bCs/>
          <w:sz w:val="28"/>
          <w:szCs w:val="28"/>
          <w:rtl/>
        </w:rPr>
        <w:t>-</w:t>
      </w:r>
      <w:r w:rsidR="00D731C6" w:rsidRPr="00293299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C561DA" w:rsidRPr="007B4602" w:rsidRDefault="00C561DA" w:rsidP="008E55DE">
      <w:pPr>
        <w:pStyle w:val="NormalWeb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She replied, ‘yesterday I had no strength at that time’. </w:t>
      </w:r>
      <w:r w:rsidRPr="007B4602">
        <w:rPr>
          <w:rFonts w:hint="cs"/>
          <w:rtl/>
        </w:rPr>
        <w:t>שמואל</w:t>
      </w:r>
      <w:r w:rsidRPr="007B4602">
        <w:t xml:space="preserve"> –</w:t>
      </w:r>
    </w:p>
    <w:p w:rsidR="0043619C" w:rsidRPr="00293299" w:rsidRDefault="0043619C" w:rsidP="005F0440">
      <w:pPr>
        <w:pStyle w:val="NormalWeb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293299">
        <w:rPr>
          <w:rFonts w:cs="David" w:hint="cs"/>
          <w:b/>
          <w:bCs/>
          <w:sz w:val="28"/>
          <w:szCs w:val="28"/>
          <w:rtl/>
        </w:rPr>
        <w:t>אתא שאיל לרב אמר</w:t>
      </w:r>
      <w:r w:rsidR="00D731C6" w:rsidRPr="00293299">
        <w:rPr>
          <w:rFonts w:cs="David" w:hint="cs"/>
          <w:b/>
          <w:bCs/>
          <w:sz w:val="28"/>
          <w:szCs w:val="28"/>
          <w:rtl/>
        </w:rPr>
        <w:t xml:space="preserve"> ליה אם נתנה אמתלא לדבריה נאמנת</w:t>
      </w:r>
      <w:r w:rsidR="005F0440">
        <w:rPr>
          <w:rFonts w:cs="David" w:hint="cs"/>
          <w:b/>
          <w:bCs/>
          <w:sz w:val="28"/>
          <w:szCs w:val="28"/>
          <w:rtl/>
        </w:rPr>
        <w:t>:</w:t>
      </w:r>
      <w:r w:rsidR="00293299" w:rsidRPr="00293299">
        <w:rPr>
          <w:rStyle w:val="FootnoteReference"/>
          <w:rFonts w:cs="David"/>
          <w:b/>
          <w:bCs/>
          <w:sz w:val="28"/>
          <w:szCs w:val="28"/>
          <w:rtl/>
        </w:rPr>
        <w:footnoteReference w:id="5"/>
      </w:r>
      <w:r w:rsidR="00D731C6" w:rsidRPr="00293299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D80DE2" w:rsidRDefault="007E10B8" w:rsidP="008E55DE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>c</w:t>
      </w:r>
      <w:r w:rsidR="00C561DA">
        <w:rPr>
          <w:b/>
          <w:bCs/>
        </w:rPr>
        <w:t xml:space="preserve">ame and asked </w:t>
      </w:r>
      <w:r w:rsidR="00C561DA">
        <w:rPr>
          <w:rFonts w:hint="cs"/>
          <w:b/>
          <w:bCs/>
          <w:rtl/>
          <w:lang w:bidi="he-IL"/>
        </w:rPr>
        <w:t>רב</w:t>
      </w:r>
      <w:r w:rsidR="00C561DA">
        <w:rPr>
          <w:b/>
          <w:bCs/>
          <w:lang w:bidi="he-IL"/>
        </w:rPr>
        <w:t xml:space="preserve"> </w:t>
      </w:r>
      <w:r w:rsidR="00C561DA">
        <w:rPr>
          <w:lang w:bidi="he-IL"/>
        </w:rPr>
        <w:t xml:space="preserve">(if she is permitted to him today). </w:t>
      </w:r>
      <w:r w:rsidR="00C561DA">
        <w:rPr>
          <w:rFonts w:hint="cs"/>
          <w:rtl/>
          <w:lang w:bidi="he-IL"/>
        </w:rPr>
        <w:t>רב</w:t>
      </w:r>
      <w:r w:rsidR="00C561DA">
        <w:rPr>
          <w:lang w:bidi="he-IL"/>
        </w:rPr>
        <w:t xml:space="preserve"> </w:t>
      </w:r>
      <w:r w:rsidR="003E15C8">
        <w:rPr>
          <w:b/>
          <w:bCs/>
          <w:lang w:bidi="he-IL"/>
        </w:rPr>
        <w:t xml:space="preserve">answered him, ‘if she provided an </w:t>
      </w:r>
      <w:r w:rsidR="003E15C8">
        <w:rPr>
          <w:rFonts w:hint="cs"/>
          <w:b/>
          <w:bCs/>
          <w:rtl/>
          <w:lang w:bidi="he-IL"/>
        </w:rPr>
        <w:t>אמתלא</w:t>
      </w:r>
      <w:r w:rsidR="003E15C8">
        <w:rPr>
          <w:b/>
          <w:bCs/>
          <w:lang w:bidi="he-IL"/>
        </w:rPr>
        <w:t xml:space="preserve"> to her statement, she is believed’</w:t>
      </w:r>
      <w:r w:rsidR="007C1933">
        <w:rPr>
          <w:b/>
          <w:bCs/>
          <w:lang w:bidi="he-IL"/>
        </w:rPr>
        <w:t>,</w:t>
      </w:r>
      <w:r w:rsidR="003E15C8">
        <w:rPr>
          <w:b/>
          <w:bCs/>
          <w:lang w:bidi="he-IL"/>
        </w:rPr>
        <w:t xml:space="preserve"> </w:t>
      </w:r>
      <w:r w:rsidR="007C1933" w:rsidRPr="007B4602">
        <w:rPr>
          <w:sz w:val="24"/>
          <w:szCs w:val="24"/>
          <w:lang w:bidi="he-IL"/>
        </w:rPr>
        <w:t>and therefore</w:t>
      </w:r>
      <w:r w:rsidRPr="007B4602">
        <w:rPr>
          <w:sz w:val="24"/>
          <w:szCs w:val="24"/>
          <w:lang w:bidi="he-IL"/>
        </w:rPr>
        <w:t xml:space="preserve"> she is</w:t>
      </w:r>
      <w:r w:rsidR="007C1933" w:rsidRPr="007B4602">
        <w:rPr>
          <w:sz w:val="24"/>
          <w:szCs w:val="24"/>
          <w:lang w:bidi="he-IL"/>
        </w:rPr>
        <w:t xml:space="preserve"> permitted to </w:t>
      </w:r>
      <w:r w:rsidR="007C1933" w:rsidRPr="007B4602">
        <w:rPr>
          <w:rFonts w:hint="cs"/>
          <w:sz w:val="24"/>
          <w:szCs w:val="24"/>
          <w:rtl/>
          <w:lang w:bidi="he-IL"/>
        </w:rPr>
        <w:t>שמואל</w:t>
      </w:r>
      <w:r w:rsidR="007C1933" w:rsidRPr="007B4602">
        <w:rPr>
          <w:sz w:val="24"/>
          <w:szCs w:val="24"/>
          <w:lang w:bidi="he-IL"/>
        </w:rPr>
        <w:t>.</w:t>
      </w:r>
      <w:r w:rsidR="00E97259">
        <w:rPr>
          <w:rStyle w:val="FootnoteReference"/>
          <w:sz w:val="24"/>
          <w:szCs w:val="24"/>
          <w:lang w:bidi="he-IL"/>
        </w:rPr>
        <w:footnoteReference w:id="6"/>
      </w:r>
    </w:p>
    <w:p w:rsidR="007B4602" w:rsidRDefault="007B4602" w:rsidP="008E55DE">
      <w:pPr>
        <w:spacing w:line="276" w:lineRule="auto"/>
        <w:jc w:val="both"/>
        <w:rPr>
          <w:sz w:val="24"/>
          <w:szCs w:val="24"/>
          <w:lang w:bidi="he-IL"/>
        </w:rPr>
      </w:pPr>
    </w:p>
    <w:p w:rsidR="007B4602" w:rsidRPr="00684961" w:rsidRDefault="007B4602" w:rsidP="008E55D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84961">
        <w:rPr>
          <w:rFonts w:ascii="Copperplate Gothic Bold" w:hAnsi="Copperplate Gothic Bold"/>
          <w:u w:val="double"/>
          <w:lang w:bidi="he-IL"/>
        </w:rPr>
        <w:t>Summary</w:t>
      </w:r>
    </w:p>
    <w:p w:rsidR="007B4602" w:rsidRDefault="007B4602" w:rsidP="008E55DE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consulted with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concerning a personal issue</w:t>
      </w:r>
      <w:r w:rsidR="000D1612">
        <w:rPr>
          <w:lang w:bidi="he-IL"/>
        </w:rPr>
        <w:t>,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ruled that </w:t>
      </w:r>
      <w:r>
        <w:rPr>
          <w:rFonts w:hint="cs"/>
          <w:rtl/>
          <w:lang w:bidi="he-IL"/>
        </w:rPr>
        <w:t>אם נתנה אמתלא לדבריה נאמנת</w:t>
      </w:r>
      <w:r>
        <w:rPr>
          <w:lang w:bidi="he-IL"/>
        </w:rPr>
        <w:t>.</w:t>
      </w:r>
    </w:p>
    <w:p w:rsidR="000D1612" w:rsidRPr="00684961" w:rsidRDefault="000D1612" w:rsidP="008E55D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84961">
        <w:rPr>
          <w:rFonts w:ascii="Copperplate Gothic Bold" w:hAnsi="Copperplate Gothic Bold"/>
          <w:u w:val="double"/>
          <w:lang w:bidi="he-IL"/>
        </w:rPr>
        <w:lastRenderedPageBreak/>
        <w:t>Thinking it over</w:t>
      </w:r>
    </w:p>
    <w:p w:rsidR="000D1612" w:rsidRPr="000D1612" w:rsidRDefault="008A32C2" w:rsidP="008E55D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What would be the conduct of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(who was </w:t>
      </w:r>
      <w:r>
        <w:rPr>
          <w:rFonts w:hint="cs"/>
          <w:rtl/>
          <w:lang w:bidi="he-IL"/>
        </w:rPr>
        <w:t>לא עבד עובדא בנפשיה</w:t>
      </w:r>
      <w:r>
        <w:rPr>
          <w:lang w:bidi="he-IL"/>
        </w:rPr>
        <w:t xml:space="preserve">), if she </w:t>
      </w:r>
      <w:r w:rsidR="005F0440">
        <w:rPr>
          <w:lang w:bidi="he-IL"/>
        </w:rPr>
        <w:t xml:space="preserve">initially </w:t>
      </w:r>
      <w:r>
        <w:rPr>
          <w:lang w:bidi="he-IL"/>
        </w:rPr>
        <w:t>claimed</w:t>
      </w:r>
      <w:r w:rsidR="005F0440">
        <w:rPr>
          <w:lang w:bidi="he-IL"/>
        </w:rPr>
        <w:t>,</w:t>
      </w:r>
      <w:r>
        <w:rPr>
          <w:lang w:bidi="he-IL"/>
        </w:rPr>
        <w:t xml:space="preserve"> </w:t>
      </w:r>
      <w:r w:rsidR="005F0440">
        <w:rPr>
          <w:lang w:bidi="he-IL"/>
        </w:rPr>
        <w:t>‘</w:t>
      </w:r>
      <w:r>
        <w:rPr>
          <w:lang w:bidi="he-IL"/>
        </w:rPr>
        <w:t xml:space="preserve">I am </w:t>
      </w:r>
      <w:r>
        <w:rPr>
          <w:rFonts w:hint="cs"/>
          <w:rtl/>
          <w:lang w:bidi="he-IL"/>
        </w:rPr>
        <w:t>טמאה</w:t>
      </w:r>
      <w:r>
        <w:rPr>
          <w:lang w:bidi="he-IL"/>
        </w:rPr>
        <w:t xml:space="preserve"> on account of a (long) past </w:t>
      </w:r>
      <w:r>
        <w:rPr>
          <w:rFonts w:hint="cs"/>
          <w:rtl/>
          <w:lang w:bidi="he-IL"/>
        </w:rPr>
        <w:t>נדות</w:t>
      </w:r>
      <w:r w:rsidR="005F0440">
        <w:rPr>
          <w:lang w:bidi="he-IL"/>
        </w:rPr>
        <w:t>’</w:t>
      </w:r>
      <w:r>
        <w:rPr>
          <w:lang w:bidi="he-IL"/>
        </w:rPr>
        <w:t xml:space="preserve">, and subsequently claimed (with a proper </w:t>
      </w:r>
      <w:r>
        <w:rPr>
          <w:rFonts w:hint="cs"/>
          <w:rtl/>
          <w:lang w:bidi="he-IL"/>
        </w:rPr>
        <w:t>אמתלא</w:t>
      </w:r>
      <w:r>
        <w:rPr>
          <w:lang w:bidi="he-IL"/>
        </w:rPr>
        <w:t>)</w:t>
      </w:r>
      <w:r w:rsidR="005F0440">
        <w:rPr>
          <w:lang w:bidi="he-IL"/>
        </w:rPr>
        <w:t>, ‘</w:t>
      </w:r>
      <w:r>
        <w:rPr>
          <w:lang w:bidi="he-IL"/>
        </w:rPr>
        <w:t xml:space="preserve">I was not a </w:t>
      </w:r>
      <w:r>
        <w:rPr>
          <w:rFonts w:hint="cs"/>
          <w:rtl/>
          <w:lang w:bidi="he-IL"/>
        </w:rPr>
        <w:t>נדה</w:t>
      </w:r>
      <w:r w:rsidR="005F0440">
        <w:rPr>
          <w:lang w:bidi="he-IL"/>
        </w:rPr>
        <w:t>’</w:t>
      </w:r>
      <w:r>
        <w:rPr>
          <w:lang w:bidi="he-IL"/>
        </w:rPr>
        <w:t xml:space="preserve">, in a case where she has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and could have claimed </w:t>
      </w:r>
      <w:r>
        <w:rPr>
          <w:rFonts w:hint="cs"/>
          <w:rtl/>
          <w:lang w:bidi="he-IL"/>
        </w:rPr>
        <w:t>טבלתי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7"/>
      </w:r>
    </w:p>
    <w:sectPr w:rsidR="000D1612" w:rsidRPr="000D161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3C6" w:rsidRDefault="005173C6">
      <w:r>
        <w:separator/>
      </w:r>
    </w:p>
  </w:endnote>
  <w:endnote w:type="continuationSeparator" w:id="0">
    <w:p w:rsidR="005173C6" w:rsidRDefault="0051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2D4" w:rsidRDefault="007372D4">
    <w:pPr>
      <w:pStyle w:val="Footer"/>
      <w:jc w:val="center"/>
      <w:rPr>
        <w:noProof/>
        <w:sz w:val="16"/>
        <w:szCs w:val="16"/>
      </w:rPr>
    </w:pPr>
    <w:r w:rsidRPr="007372D4">
      <w:rPr>
        <w:sz w:val="20"/>
        <w:szCs w:val="20"/>
      </w:rPr>
      <w:fldChar w:fldCharType="begin"/>
    </w:r>
    <w:r w:rsidRPr="007372D4">
      <w:rPr>
        <w:sz w:val="20"/>
        <w:szCs w:val="20"/>
      </w:rPr>
      <w:instrText xml:space="preserve"> PAGE   \* MERGEFORMAT </w:instrText>
    </w:r>
    <w:r w:rsidRPr="007372D4">
      <w:rPr>
        <w:sz w:val="20"/>
        <w:szCs w:val="20"/>
      </w:rPr>
      <w:fldChar w:fldCharType="separate"/>
    </w:r>
    <w:r w:rsidR="004264FE">
      <w:rPr>
        <w:noProof/>
        <w:sz w:val="20"/>
        <w:szCs w:val="20"/>
      </w:rPr>
      <w:t>2</w:t>
    </w:r>
    <w:r w:rsidRPr="007372D4">
      <w:rPr>
        <w:noProof/>
        <w:sz w:val="20"/>
        <w:szCs w:val="20"/>
      </w:rPr>
      <w:fldChar w:fldCharType="end"/>
    </w:r>
  </w:p>
  <w:p w:rsidR="007372D4" w:rsidRPr="007372D4" w:rsidRDefault="007372D4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ToosfosInEnglish.com</w:t>
    </w:r>
  </w:p>
  <w:p w:rsidR="00E97259" w:rsidRPr="0043619C" w:rsidRDefault="00E97259" w:rsidP="0043619C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3C6" w:rsidRDefault="005173C6">
      <w:r>
        <w:separator/>
      </w:r>
    </w:p>
  </w:footnote>
  <w:footnote w:type="continuationSeparator" w:id="0">
    <w:p w:rsidR="005173C6" w:rsidRDefault="005173C6">
      <w:r>
        <w:continuationSeparator/>
      </w:r>
    </w:p>
  </w:footnote>
  <w:footnote w:id="1">
    <w:p w:rsidR="00E97259" w:rsidRPr="00090D7C" w:rsidRDefault="00E97259" w:rsidP="0029329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כתובות פ"ב ה"ה</w:t>
      </w:r>
      <w:r>
        <w:rPr>
          <w:lang w:bidi="he-IL"/>
        </w:rPr>
        <w:t xml:space="preserve">, In our text on </w:t>
      </w:r>
      <w:r>
        <w:rPr>
          <w:rFonts w:hint="cs"/>
          <w:rtl/>
          <w:lang w:bidi="he-IL"/>
        </w:rPr>
        <w:t>דף יג,א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cites this story as an example of </w:t>
      </w:r>
      <w:r>
        <w:rPr>
          <w:rFonts w:hint="cs"/>
          <w:rtl/>
          <w:lang w:bidi="he-IL"/>
        </w:rPr>
        <w:t>'ואם נתנה אמתלא לדבריה נאמנת'</w:t>
      </w:r>
      <w:r>
        <w:rPr>
          <w:lang w:bidi="he-IL"/>
        </w:rPr>
        <w:t xml:space="preserve">. It would seem therefore that </w:t>
      </w:r>
      <w:r w:rsidR="005F0440">
        <w:rPr>
          <w:rFonts w:hint="cs"/>
          <w:rtl/>
          <w:lang w:bidi="he-IL"/>
        </w:rPr>
        <w:t>תוספות</w:t>
      </w:r>
      <w:r w:rsidR="005F0440">
        <w:rPr>
          <w:lang w:bidi="he-IL"/>
        </w:rPr>
        <w:t xml:space="preserve"> </w:t>
      </w:r>
      <w:r>
        <w:rPr>
          <w:lang w:bidi="he-IL"/>
        </w:rPr>
        <w:t xml:space="preserve">intent of citing this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is to question our s</w:t>
      </w:r>
      <w:r>
        <w:rPr>
          <w:rFonts w:hint="cs"/>
          <w:rtl/>
          <w:lang w:bidi="he-IL"/>
        </w:rPr>
        <w:t>גמרא'</w:t>
      </w:r>
      <w:r>
        <w:rPr>
          <w:lang w:bidi="he-IL"/>
        </w:rPr>
        <w:t xml:space="preserve"> contention that </w:t>
      </w:r>
      <w:r>
        <w:rPr>
          <w:rFonts w:hint="cs"/>
          <w:rtl/>
          <w:lang w:bidi="he-IL"/>
        </w:rPr>
        <w:t>'לא עבד שמואל עובדא בנפשיה'</w:t>
      </w:r>
      <w:r>
        <w:rPr>
          <w:lang w:bidi="he-IL"/>
        </w:rPr>
        <w:t xml:space="preserve">. See </w:t>
      </w:r>
      <w:r w:rsidR="00293299">
        <w:rPr>
          <w:lang w:bidi="he-IL"/>
        </w:rPr>
        <w:t>(</w:t>
      </w:r>
      <w:r>
        <w:rPr>
          <w:lang w:bidi="he-IL"/>
        </w:rPr>
        <w:t>however</w:t>
      </w:r>
      <w:r w:rsidR="00293299">
        <w:rPr>
          <w:lang w:bidi="he-IL"/>
        </w:rPr>
        <w:t>)</w:t>
      </w:r>
      <w:r>
        <w:rPr>
          <w:lang w:bidi="he-IL"/>
        </w:rPr>
        <w:t xml:space="preserve"> footnote # 5</w:t>
      </w:r>
      <w:r w:rsidR="00293299">
        <w:rPr>
          <w:lang w:bidi="he-IL"/>
        </w:rPr>
        <w:t xml:space="preserve"> &amp; 6</w:t>
      </w:r>
      <w:r>
        <w:rPr>
          <w:lang w:bidi="he-IL"/>
        </w:rPr>
        <w:t>.</w:t>
      </w:r>
    </w:p>
  </w:footnote>
  <w:footnote w:id="2">
    <w:p w:rsidR="00684961" w:rsidRDefault="00684961" w:rsidP="0029329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It would seem that she meant, ‘I became </w:t>
      </w: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נדה</w:t>
      </w:r>
      <w:r>
        <w:rPr>
          <w:lang w:bidi="he-IL"/>
        </w:rPr>
        <w:t xml:space="preserve"> today’. See: ‘Thinking it over’.</w:t>
      </w:r>
    </w:p>
  </w:footnote>
  <w:footnote w:id="3">
    <w:p w:rsidR="00684961" w:rsidRPr="00684961" w:rsidRDefault="00684961" w:rsidP="0029329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There is a requirement to wait (at least) seven days to become </w:t>
      </w:r>
      <w:r>
        <w:rPr>
          <w:rFonts w:hint="cs"/>
          <w:rtl/>
          <w:lang w:bidi="he-IL"/>
        </w:rPr>
        <w:t>טהורה</w:t>
      </w:r>
      <w:r>
        <w:rPr>
          <w:lang w:bidi="he-IL"/>
        </w:rPr>
        <w:t xml:space="preserve">. Or perhaps when she said </w:t>
      </w:r>
      <w:r>
        <w:rPr>
          <w:rFonts w:hint="cs"/>
          <w:rtl/>
          <w:lang w:bidi="he-IL"/>
        </w:rPr>
        <w:t>טהורה אני</w:t>
      </w:r>
      <w:r>
        <w:rPr>
          <w:lang w:bidi="he-IL"/>
        </w:rPr>
        <w:t xml:space="preserve"> she meant that she was never a </w:t>
      </w:r>
      <w:r>
        <w:rPr>
          <w:rFonts w:hint="cs"/>
          <w:rtl/>
          <w:lang w:bidi="he-IL"/>
        </w:rPr>
        <w:t>נדה</w:t>
      </w:r>
      <w:r>
        <w:rPr>
          <w:lang w:bidi="he-IL"/>
        </w:rPr>
        <w:t>.</w:t>
      </w:r>
    </w:p>
  </w:footnote>
  <w:footnote w:id="4">
    <w:p w:rsidR="00E97259" w:rsidRDefault="00E97259" w:rsidP="0029329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in our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היי שעתא</w:t>
      </w:r>
      <w:r>
        <w:rPr>
          <w:lang w:bidi="he-IL"/>
        </w:rPr>
        <w:t xml:space="preserve"> (not </w:t>
      </w:r>
      <w:r>
        <w:rPr>
          <w:rFonts w:hint="cs"/>
          <w:rtl/>
          <w:lang w:bidi="he-IL"/>
        </w:rPr>
        <w:t>כי ההיא</w:t>
      </w:r>
      <w:r>
        <w:rPr>
          <w:lang w:bidi="he-IL"/>
        </w:rPr>
        <w:t>).</w:t>
      </w:r>
    </w:p>
  </w:footnote>
  <w:footnote w:id="5">
    <w:p w:rsidR="00293299" w:rsidRPr="00293299" w:rsidRDefault="00293299" w:rsidP="007372D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If this is the case w</w:t>
      </w:r>
      <w:r w:rsidR="007372D4">
        <w:rPr>
          <w:lang w:bidi="he-IL"/>
        </w:rPr>
        <w:t>h</w:t>
      </w:r>
      <w:r>
        <w:rPr>
          <w:lang w:bidi="he-IL"/>
        </w:rPr>
        <w:t xml:space="preserve">ere we are to assume that </w:t>
      </w:r>
      <w:r>
        <w:rPr>
          <w:rFonts w:hint="cs"/>
          <w:rtl/>
          <w:lang w:bidi="he-IL"/>
        </w:rPr>
        <w:t>שמואל לא עבד עובדא בנפשיה</w:t>
      </w:r>
      <w:r>
        <w:rPr>
          <w:lang w:bidi="he-IL"/>
        </w:rPr>
        <w:t xml:space="preserve"> (see footnote # 1), perhaps the reason he did not accept her </w:t>
      </w:r>
      <w:r>
        <w:rPr>
          <w:rFonts w:hint="cs"/>
          <w:rtl/>
          <w:lang w:bidi="he-IL"/>
        </w:rPr>
        <w:t>אמתלא</w:t>
      </w:r>
      <w:r>
        <w:rPr>
          <w:lang w:bidi="he-IL"/>
        </w:rPr>
        <w:t xml:space="preserve"> (even though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ruled that </w:t>
      </w:r>
      <w:r>
        <w:rPr>
          <w:rFonts w:hint="cs"/>
          <w:rtl/>
          <w:lang w:bidi="he-IL"/>
        </w:rPr>
        <w:t>נאמנת</w:t>
      </w:r>
      <w:r>
        <w:rPr>
          <w:lang w:bidi="he-IL"/>
        </w:rPr>
        <w:t xml:space="preserve">) is because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assumed that it was a</w:t>
      </w:r>
      <w:r w:rsidR="007372D4">
        <w:rPr>
          <w:lang w:bidi="he-IL"/>
        </w:rPr>
        <w:t>n</w:t>
      </w:r>
      <w:r>
        <w:rPr>
          <w:lang w:bidi="he-IL"/>
        </w:rPr>
        <w:t xml:space="preserve"> </w:t>
      </w:r>
      <w:r w:rsidR="007372D4">
        <w:rPr>
          <w:lang w:bidi="he-IL"/>
        </w:rPr>
        <w:t>unconvincing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אמתלא</w:t>
      </w:r>
      <w:r>
        <w:rPr>
          <w:lang w:bidi="he-IL"/>
        </w:rPr>
        <w:t xml:space="preserve">, since she could have told him outright </w:t>
      </w:r>
      <w:r>
        <w:rPr>
          <w:rFonts w:hint="cs"/>
          <w:rtl/>
          <w:lang w:bidi="he-IL"/>
        </w:rPr>
        <w:t>לא הוות בי חילא</w:t>
      </w:r>
      <w:r>
        <w:rPr>
          <w:lang w:bidi="he-IL"/>
        </w:rPr>
        <w:t xml:space="preserve">, instead of stating </w:t>
      </w:r>
      <w:r>
        <w:rPr>
          <w:rFonts w:hint="cs"/>
          <w:rtl/>
          <w:lang w:bidi="he-IL"/>
        </w:rPr>
        <w:t>טמאה אני</w:t>
      </w:r>
      <w:r>
        <w:rPr>
          <w:lang w:bidi="he-IL"/>
        </w:rPr>
        <w:t xml:space="preserve">. </w:t>
      </w:r>
    </w:p>
  </w:footnote>
  <w:footnote w:id="6">
    <w:p w:rsidR="00E97259" w:rsidRDefault="00E97259" w:rsidP="0029329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אליהו רבה</w:t>
      </w:r>
      <w:r>
        <w:rPr>
          <w:lang w:bidi="he-IL"/>
        </w:rPr>
        <w:t xml:space="preserve"> who maintains that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a continuation from the previous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, to explain how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knew that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was asking whether an </w:t>
      </w:r>
      <w:r>
        <w:rPr>
          <w:rFonts w:hint="cs"/>
          <w:rtl/>
          <w:lang w:bidi="he-IL"/>
        </w:rPr>
        <w:t>אמתלא</w:t>
      </w:r>
      <w:r>
        <w:rPr>
          <w:lang w:bidi="he-IL"/>
        </w:rPr>
        <w:t xml:space="preserve"> is sufficient (and not if it is necessary). It is now evident from this story</w:t>
      </w:r>
      <w:r w:rsidR="000D1612">
        <w:rPr>
          <w:lang w:bidi="he-IL"/>
        </w:rPr>
        <w:t>,</w:t>
      </w:r>
      <w:r>
        <w:rPr>
          <w:lang w:bidi="he-IL"/>
        </w:rPr>
        <w:t xml:space="preserve"> where she gave an </w:t>
      </w:r>
      <w:r>
        <w:rPr>
          <w:rFonts w:hint="cs"/>
          <w:rtl/>
          <w:lang w:bidi="he-IL"/>
        </w:rPr>
        <w:t>אמתלא</w:t>
      </w:r>
      <w:r>
        <w:rPr>
          <w:lang w:bidi="he-IL"/>
        </w:rPr>
        <w:t xml:space="preserve">, and nevertheless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inquired whether it is sufficient. </w:t>
      </w:r>
      <w:r>
        <w:rPr>
          <w:rFonts w:hint="cs"/>
          <w:rtl/>
          <w:lang w:bidi="he-IL"/>
        </w:rPr>
        <w:t>עיי"ש עוד</w:t>
      </w:r>
      <w:r>
        <w:rPr>
          <w:lang w:bidi="he-IL"/>
        </w:rPr>
        <w:t>.</w:t>
      </w:r>
    </w:p>
  </w:footnote>
  <w:footnote w:id="7">
    <w:p w:rsidR="008A32C2" w:rsidRDefault="008A32C2" w:rsidP="0029329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259" w:rsidRPr="0043619C" w:rsidRDefault="00E97259" w:rsidP="0043619C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כב,ב תוס' ד"ה ואפילו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619C"/>
    <w:rsid w:val="00090D7C"/>
    <w:rsid w:val="000D1612"/>
    <w:rsid w:val="00184D2E"/>
    <w:rsid w:val="00200E75"/>
    <w:rsid w:val="0020216B"/>
    <w:rsid w:val="00210A1E"/>
    <w:rsid w:val="00293299"/>
    <w:rsid w:val="003E15C8"/>
    <w:rsid w:val="003F6705"/>
    <w:rsid w:val="004264FE"/>
    <w:rsid w:val="0043619C"/>
    <w:rsid w:val="00494874"/>
    <w:rsid w:val="005173C6"/>
    <w:rsid w:val="005F0440"/>
    <w:rsid w:val="00684961"/>
    <w:rsid w:val="007372D4"/>
    <w:rsid w:val="007552E7"/>
    <w:rsid w:val="007B4602"/>
    <w:rsid w:val="007C1933"/>
    <w:rsid w:val="007E10B8"/>
    <w:rsid w:val="00816504"/>
    <w:rsid w:val="0089054C"/>
    <w:rsid w:val="008A32C2"/>
    <w:rsid w:val="008E55DE"/>
    <w:rsid w:val="008F7B10"/>
    <w:rsid w:val="009C0F91"/>
    <w:rsid w:val="00AD14D7"/>
    <w:rsid w:val="00C561DA"/>
    <w:rsid w:val="00CF129F"/>
    <w:rsid w:val="00D54370"/>
    <w:rsid w:val="00D731C6"/>
    <w:rsid w:val="00D80DE2"/>
    <w:rsid w:val="00E1684B"/>
    <w:rsid w:val="00E9725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E06FFB-62A9-49D5-8D2D-6FF90241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43619C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Header">
    <w:name w:val="header"/>
    <w:basedOn w:val="Normal"/>
    <w:rsid w:val="004361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3619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90D7C"/>
    <w:rPr>
      <w:sz w:val="20"/>
      <w:szCs w:val="20"/>
    </w:rPr>
  </w:style>
  <w:style w:type="character" w:styleId="FootnoteReference">
    <w:name w:val="footnote reference"/>
    <w:semiHidden/>
    <w:rsid w:val="00090D7C"/>
    <w:rPr>
      <w:vertAlign w:val="superscript"/>
    </w:rPr>
  </w:style>
  <w:style w:type="character" w:customStyle="1" w:styleId="FooterChar">
    <w:name w:val="Footer Char"/>
    <w:link w:val="Footer"/>
    <w:uiPriority w:val="99"/>
    <w:rsid w:val="007372D4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ואפילו הכי לא עבד שמואל עובדא בנפשיה</vt:lpstr>
    </vt:vector>
  </TitlesOfParts>
  <Company> 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ואפילו הכי לא עבד שמואל עובדא בנפשיה</dc:title>
  <dc:subject/>
  <dc:creator> </dc:creator>
  <cp:keywords/>
  <dc:description/>
  <cp:lastModifiedBy>Microsoft account</cp:lastModifiedBy>
  <cp:revision>2</cp:revision>
  <dcterms:created xsi:type="dcterms:W3CDTF">2022-04-05T10:52:00Z</dcterms:created>
  <dcterms:modified xsi:type="dcterms:W3CDTF">2022-04-05T10:52:00Z</dcterms:modified>
</cp:coreProperties>
</file>