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07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rPr>
          <w:rFonts w:hint="cs"/>
          <w:rtl/>
        </w:rPr>
      </w:pPr>
      <w:bookmarkStart w:id="0" w:name="_GoBack"/>
      <w:bookmarkEnd w:id="0"/>
      <w:r w:rsidRPr="00337507">
        <w:rPr>
          <w:rFonts w:hint="cs"/>
          <w:b/>
          <w:bCs/>
          <w:sz w:val="36"/>
          <w:szCs w:val="36"/>
          <w:rtl/>
        </w:rPr>
        <w:t>כגון</w:t>
      </w:r>
      <w:r>
        <w:rPr>
          <w:rFonts w:hint="cs"/>
          <w:rtl/>
        </w:rPr>
        <w:t xml:space="preserve"> </w:t>
      </w:r>
      <w:r w:rsidRPr="00337507">
        <w:rPr>
          <w:rFonts w:hint="cs"/>
          <w:b/>
          <w:bCs/>
          <w:sz w:val="32"/>
          <w:szCs w:val="32"/>
          <w:rtl/>
        </w:rPr>
        <w:t>שניסת לאחד מעדיה</w:t>
      </w:r>
      <w:r>
        <w:rPr>
          <w:rFonts w:hint="cs"/>
          <w:rtl/>
        </w:rPr>
        <w:t xml:space="preserve"> </w:t>
      </w:r>
      <w:r w:rsidR="00E86CB9">
        <w:rPr>
          <w:rtl/>
        </w:rPr>
        <w:t>–</w:t>
      </w:r>
    </w:p>
    <w:p w:rsidR="00E86CB9" w:rsidRPr="00E86CB9" w:rsidRDefault="00E86CB9" w:rsidP="00442553">
      <w:pPr>
        <w:pStyle w:val="NormalWeb"/>
        <w:widowControl w:val="0"/>
        <w:spacing w:before="0" w:beforeAutospacing="0" w:after="0" w:afterAutospacing="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instance</w:t>
      </w:r>
      <w:r w:rsidR="00A00BA1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that she </w:t>
      </w:r>
      <w:r w:rsidR="007656AC">
        <w:rPr>
          <w:b/>
          <w:bCs/>
          <w:sz w:val="32"/>
          <w:szCs w:val="32"/>
        </w:rPr>
        <w:t xml:space="preserve">got </w:t>
      </w:r>
      <w:r>
        <w:rPr>
          <w:b/>
          <w:bCs/>
          <w:sz w:val="32"/>
          <w:szCs w:val="32"/>
        </w:rPr>
        <w:t>married to one of her witnesses</w:t>
      </w:r>
    </w:p>
    <w:p w:rsidR="00337507" w:rsidRPr="00A00BA1" w:rsidRDefault="00337507" w:rsidP="00442553">
      <w:pPr>
        <w:pStyle w:val="NormalWeb"/>
        <w:widowControl w:val="0"/>
        <w:bidi/>
        <w:spacing w:before="0" w:beforeAutospacing="0" w:after="0" w:afterAutospacing="0" w:line="276" w:lineRule="auto"/>
      </w:pPr>
    </w:p>
    <w:p w:rsidR="00337507" w:rsidRPr="00D72E30" w:rsidRDefault="00A00BA1" w:rsidP="00442553">
      <w:pPr>
        <w:pStyle w:val="NormalWeb"/>
        <w:widowControl w:val="0"/>
        <w:spacing w:before="0" w:beforeAutospacing="0" w:after="0" w:afterAutospacing="0" w:line="276" w:lineRule="auto"/>
        <w:rPr>
          <w:rFonts w:ascii="Copperplate Gothic Bold" w:hAnsi="Copperplate Gothic Bold"/>
          <w:sz w:val="28"/>
          <w:szCs w:val="28"/>
          <w:u w:val="double"/>
        </w:rPr>
      </w:pPr>
      <w:r w:rsidRPr="00D72E30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A00BA1" w:rsidRPr="00A00BA1" w:rsidRDefault="00A00BA1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states that in the case of </w:t>
      </w:r>
      <w:r>
        <w:rPr>
          <w:rFonts w:hint="cs"/>
          <w:sz w:val="28"/>
          <w:szCs w:val="28"/>
          <w:rtl/>
        </w:rPr>
        <w:t>תרי ותרי</w:t>
      </w:r>
      <w:r>
        <w:rPr>
          <w:sz w:val="28"/>
          <w:szCs w:val="28"/>
        </w:rPr>
        <w:t xml:space="preserve"> the rea</w:t>
      </w:r>
      <w:r w:rsidR="0048350D">
        <w:rPr>
          <w:sz w:val="28"/>
          <w:szCs w:val="28"/>
        </w:rPr>
        <w:t>son the woman may remain married</w:t>
      </w:r>
      <w:r>
        <w:rPr>
          <w:sz w:val="28"/>
          <w:szCs w:val="28"/>
        </w:rPr>
        <w:t xml:space="preserve"> is because she married one of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who testified that her husband died (and he is certain of it). The issue at hand</w:t>
      </w:r>
      <w:r w:rsidR="0048350D">
        <w:rPr>
          <w:sz w:val="28"/>
          <w:szCs w:val="28"/>
        </w:rPr>
        <w:t xml:space="preserve"> in this </w:t>
      </w:r>
      <w:r w:rsidR="0048350D"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is whether we should not be suspicious of a witness who claims that the husband died and then later marries his widow.</w:t>
      </w:r>
      <w:r w:rsidR="0048350D">
        <w:rPr>
          <w:sz w:val="28"/>
          <w:szCs w:val="28"/>
        </w:rPr>
        <w:t xml:space="preserve"> He may have an ulterior motive for his testimony. He should be prevented from marrying her</w:t>
      </w:r>
      <w:r w:rsidR="00FA4500">
        <w:rPr>
          <w:sz w:val="28"/>
          <w:szCs w:val="28"/>
        </w:rPr>
        <w:t>,</w:t>
      </w:r>
      <w:r w:rsidR="0048350D">
        <w:rPr>
          <w:sz w:val="28"/>
          <w:szCs w:val="28"/>
        </w:rPr>
        <w:t xml:space="preserve"> in order to preserve the dignity of his testimony.</w:t>
      </w:r>
    </w:p>
    <w:p w:rsidR="00A00BA1" w:rsidRPr="0048350D" w:rsidRDefault="0048350D" w:rsidP="00442553">
      <w:pPr>
        <w:pStyle w:val="NormalWeb"/>
        <w:widowControl w:val="0"/>
        <w:bidi/>
        <w:spacing w:before="0" w:beforeAutospacing="0" w:after="0" w:afterAutospacing="0" w:line="276" w:lineRule="auto"/>
        <w:jc w:val="center"/>
      </w:pPr>
      <w:r>
        <w:t>-----------------</w:t>
      </w:r>
    </w:p>
    <w:p w:rsidR="00337507" w:rsidRDefault="00E86CB9" w:rsidP="00442553">
      <w:pPr>
        <w:pStyle w:val="NormalWeb"/>
        <w:widowControl w:val="0"/>
        <w:spacing w:before="0" w:beforeAutospacing="0" w:after="0" w:afterAutospacing="0" w:line="276" w:lineRule="auto"/>
      </w:pPr>
      <w:r>
        <w:rPr>
          <w:rFonts w:hint="cs"/>
          <w:rtl/>
        </w:rPr>
        <w:t>תוספות</w:t>
      </w:r>
      <w:r>
        <w:t xml:space="preserve"> asks:</w:t>
      </w:r>
    </w:p>
    <w:p w:rsidR="00337507" w:rsidRPr="008A5FED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A5FED">
        <w:rPr>
          <w:rFonts w:cs="David" w:hint="cs"/>
          <w:b/>
          <w:bCs/>
          <w:sz w:val="28"/>
          <w:szCs w:val="28"/>
          <w:rtl/>
        </w:rPr>
        <w:t>והא דתנן בפ</w:t>
      </w:r>
      <w:r w:rsidR="00E86CB9" w:rsidRPr="008A5FED">
        <w:rPr>
          <w:rFonts w:cs="David" w:hint="cs"/>
          <w:b/>
          <w:bCs/>
          <w:sz w:val="28"/>
          <w:szCs w:val="28"/>
          <w:rtl/>
        </w:rPr>
        <w:t>רק</w:t>
      </w:r>
      <w:r w:rsidRPr="008A5FED">
        <w:rPr>
          <w:rFonts w:cs="David" w:hint="cs"/>
          <w:b/>
          <w:bCs/>
          <w:sz w:val="28"/>
          <w:szCs w:val="28"/>
          <w:rtl/>
        </w:rPr>
        <w:t xml:space="preserve"> שני דיבמות </w:t>
      </w:r>
      <w:r w:rsidRPr="008A5FED">
        <w:rPr>
          <w:rFonts w:cs="David" w:hint="cs"/>
          <w:b/>
          <w:bCs/>
          <w:sz w:val="20"/>
          <w:szCs w:val="20"/>
          <w:rtl/>
        </w:rPr>
        <w:t>(דף כה</w:t>
      </w:r>
      <w:r w:rsidR="00337507" w:rsidRPr="008A5FED">
        <w:rPr>
          <w:rFonts w:cs="David" w:hint="cs"/>
          <w:b/>
          <w:bCs/>
          <w:sz w:val="20"/>
          <w:szCs w:val="20"/>
          <w:rtl/>
        </w:rPr>
        <w:t>,א</w:t>
      </w:r>
      <w:r w:rsidRPr="008A5FED">
        <w:rPr>
          <w:rFonts w:cs="David" w:hint="cs"/>
          <w:b/>
          <w:bCs/>
          <w:sz w:val="20"/>
          <w:szCs w:val="20"/>
          <w:rtl/>
        </w:rPr>
        <w:t xml:space="preserve"> ושם)</w:t>
      </w:r>
      <w:r w:rsidRPr="008A5FED">
        <w:rPr>
          <w:rFonts w:cs="David" w:hint="cs"/>
          <w:b/>
          <w:bCs/>
          <w:sz w:val="28"/>
          <w:szCs w:val="28"/>
          <w:rtl/>
        </w:rPr>
        <w:t xml:space="preserve"> הרגנוהו לא ישא את אשתו </w:t>
      </w:r>
      <w:r w:rsidR="008A5FED">
        <w:rPr>
          <w:rFonts w:cs="David" w:hint="cs"/>
          <w:b/>
          <w:bCs/>
          <w:sz w:val="28"/>
          <w:szCs w:val="28"/>
          <w:rtl/>
        </w:rPr>
        <w:t>-</w:t>
      </w:r>
    </w:p>
    <w:p w:rsidR="00E869C1" w:rsidRPr="00E95B67" w:rsidRDefault="00E86CB9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that which we learnt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 xml:space="preserve"> in the second </w:t>
      </w:r>
      <w:r>
        <w:rPr>
          <w:rFonts w:hint="cs"/>
          <w:b/>
          <w:bCs/>
          <w:sz w:val="28"/>
          <w:szCs w:val="28"/>
          <w:rtl/>
        </w:rPr>
        <w:t>פרק</w:t>
      </w:r>
      <w:r>
        <w:rPr>
          <w:b/>
          <w:bCs/>
          <w:sz w:val="28"/>
          <w:szCs w:val="28"/>
        </w:rPr>
        <w:t xml:space="preserve"> of </w:t>
      </w:r>
      <w:r w:rsidR="0044451A">
        <w:rPr>
          <w:rFonts w:hint="cs"/>
          <w:sz w:val="28"/>
          <w:szCs w:val="28"/>
          <w:rtl/>
        </w:rPr>
        <w:t xml:space="preserve">מסכת </w:t>
      </w:r>
      <w:r>
        <w:rPr>
          <w:rFonts w:hint="cs"/>
          <w:b/>
          <w:bCs/>
          <w:sz w:val="28"/>
          <w:szCs w:val="28"/>
          <w:rtl/>
        </w:rPr>
        <w:t>יבמות</w:t>
      </w:r>
      <w:r>
        <w:rPr>
          <w:b/>
          <w:bCs/>
          <w:sz w:val="28"/>
          <w:szCs w:val="28"/>
        </w:rPr>
        <w:t>; ‘</w:t>
      </w:r>
      <w:r w:rsidR="00C30DE9">
        <w:rPr>
          <w:sz w:val="28"/>
          <w:szCs w:val="28"/>
        </w:rPr>
        <w:t xml:space="preserve">if a witness said, ‘he died, I killed him, or </w:t>
      </w:r>
      <w:r w:rsidRPr="006308E6">
        <w:rPr>
          <w:b/>
          <w:bCs/>
          <w:sz w:val="28"/>
          <w:szCs w:val="28"/>
          <w:u w:val="single"/>
        </w:rPr>
        <w:t>we</w:t>
      </w:r>
      <w:r>
        <w:rPr>
          <w:b/>
          <w:bCs/>
          <w:sz w:val="28"/>
          <w:szCs w:val="28"/>
        </w:rPr>
        <w:t xml:space="preserve"> killed him</w:t>
      </w:r>
      <w:r w:rsidR="00C30DE9">
        <w:rPr>
          <w:b/>
          <w:bCs/>
          <w:sz w:val="28"/>
          <w:szCs w:val="28"/>
        </w:rPr>
        <w:t>’</w:t>
      </w:r>
      <w:r>
        <w:rPr>
          <w:b/>
          <w:bCs/>
          <w:sz w:val="28"/>
          <w:szCs w:val="28"/>
        </w:rPr>
        <w:t xml:space="preserve">, </w:t>
      </w:r>
      <w:r w:rsidR="00C30DE9">
        <w:rPr>
          <w:sz w:val="28"/>
          <w:szCs w:val="28"/>
        </w:rPr>
        <w:t>this witness</w:t>
      </w:r>
      <w:r>
        <w:rPr>
          <w:b/>
          <w:bCs/>
          <w:sz w:val="28"/>
          <w:szCs w:val="28"/>
        </w:rPr>
        <w:t xml:space="preserve"> should not marry his wife</w:t>
      </w:r>
      <w:r w:rsidR="00C30DE9">
        <w:rPr>
          <w:b/>
          <w:bCs/>
          <w:sz w:val="28"/>
          <w:szCs w:val="28"/>
        </w:rPr>
        <w:t>’</w:t>
      </w:r>
      <w:r w:rsidR="00E869C1">
        <w:rPr>
          <w:b/>
          <w:bCs/>
          <w:sz w:val="28"/>
          <w:szCs w:val="28"/>
        </w:rPr>
        <w:t>.</w:t>
      </w:r>
      <w:r w:rsidR="00E869C1">
        <w:rPr>
          <w:sz w:val="28"/>
          <w:szCs w:val="28"/>
        </w:rPr>
        <w:t xml:space="preserve"> </w:t>
      </w:r>
      <w:r w:rsidR="00E869C1" w:rsidRPr="00E95B67">
        <w:t xml:space="preserve">It seems from that </w:t>
      </w:r>
      <w:r w:rsidR="00E869C1" w:rsidRPr="00E95B67">
        <w:rPr>
          <w:rFonts w:hint="cs"/>
          <w:rtl/>
        </w:rPr>
        <w:t>משנה</w:t>
      </w:r>
      <w:r w:rsidR="00E869C1" w:rsidRPr="00E95B67">
        <w:t xml:space="preserve"> that an </w:t>
      </w:r>
      <w:r w:rsidR="00E869C1" w:rsidRPr="00E95B67">
        <w:rPr>
          <w:rFonts w:hint="cs"/>
          <w:rtl/>
        </w:rPr>
        <w:t>עד</w:t>
      </w:r>
      <w:r w:rsidR="00E869C1" w:rsidRPr="00E95B67">
        <w:t xml:space="preserve"> who testified (together with other </w:t>
      </w:r>
      <w:r w:rsidR="00E869C1" w:rsidRPr="00E95B67">
        <w:rPr>
          <w:rFonts w:hint="cs"/>
          <w:rtl/>
        </w:rPr>
        <w:t>עדים [הרגנוהו]</w:t>
      </w:r>
      <w:r w:rsidR="00E869C1" w:rsidRPr="00E95B67">
        <w:t>) we killed him</w:t>
      </w:r>
      <w:r w:rsidR="00E364B4" w:rsidRPr="00E95B67">
        <w:t>,</w:t>
      </w:r>
      <w:r w:rsidR="00E869C1" w:rsidRPr="00E95B67">
        <w:t xml:space="preserve"> is not permitted to marry the widow</w:t>
      </w:r>
      <w:r w:rsidR="00E364B4" w:rsidRPr="00E95B67">
        <w:t xml:space="preserve"> (for it casts </w:t>
      </w:r>
      <w:r w:rsidR="00E44A7F">
        <w:t xml:space="preserve">an </w:t>
      </w:r>
      <w:r w:rsidR="00E364B4" w:rsidRPr="00E95B67">
        <w:t>aspersion on his testimony</w:t>
      </w:r>
      <w:r w:rsidR="0020392E" w:rsidRPr="00E95B67">
        <w:rPr>
          <w:rStyle w:val="FootnoteReference"/>
        </w:rPr>
        <w:footnoteReference w:id="1"/>
      </w:r>
      <w:r w:rsidR="00E364B4" w:rsidRPr="00E95B67">
        <w:t>)</w:t>
      </w:r>
      <w:r w:rsidR="00E869C1" w:rsidRPr="00E95B67">
        <w:t xml:space="preserve">, and here the </w:t>
      </w:r>
      <w:r w:rsidR="00E869C1" w:rsidRPr="00E95B67">
        <w:rPr>
          <w:rFonts w:hint="cs"/>
          <w:rtl/>
        </w:rPr>
        <w:t>גמרא</w:t>
      </w:r>
      <w:r w:rsidR="00E869C1" w:rsidRPr="00E95B67">
        <w:t xml:space="preserve"> states that she is permitted to marry the </w:t>
      </w:r>
      <w:r w:rsidR="00E869C1" w:rsidRPr="00E95B67">
        <w:rPr>
          <w:rFonts w:hint="cs"/>
          <w:rtl/>
        </w:rPr>
        <w:t>עד</w:t>
      </w:r>
      <w:r w:rsidR="00E869C1" w:rsidRPr="00E95B67">
        <w:t>!</w:t>
      </w:r>
    </w:p>
    <w:p w:rsidR="00E869C1" w:rsidRPr="00E95B67" w:rsidRDefault="00E869C1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E86CB9" w:rsidRPr="00E95B67" w:rsidRDefault="00E869C1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</w:rPr>
      </w:pPr>
      <w:r w:rsidRPr="00E95B67">
        <w:rPr>
          <w:rFonts w:hint="cs"/>
          <w:rtl/>
        </w:rPr>
        <w:t>תוספות</w:t>
      </w:r>
      <w:r w:rsidRPr="00E95B67">
        <w:t xml:space="preserve"> explains: </w:t>
      </w:r>
      <w:r w:rsidR="00E86CB9" w:rsidRPr="00E95B67">
        <w:rPr>
          <w:b/>
          <w:bCs/>
        </w:rPr>
        <w:t xml:space="preserve"> </w:t>
      </w:r>
    </w:p>
    <w:p w:rsidR="00337507" w:rsidRPr="008A5FED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8A5FED">
        <w:rPr>
          <w:rFonts w:cs="David" w:hint="cs"/>
          <w:b/>
          <w:bCs/>
          <w:sz w:val="28"/>
          <w:szCs w:val="28"/>
          <w:rtl/>
        </w:rPr>
        <w:t>לא ששנים מעידין כן דבשום מקום אין שנים חשודין</w:t>
      </w:r>
      <w:r w:rsidR="008A5FED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="008A5FED">
        <w:rPr>
          <w:rFonts w:cs="David" w:hint="cs"/>
          <w:b/>
          <w:bCs/>
          <w:sz w:val="28"/>
          <w:szCs w:val="28"/>
          <w:rtl/>
        </w:rPr>
        <w:t xml:space="preserve"> -</w:t>
      </w:r>
      <w:r w:rsidR="00337507" w:rsidRPr="008A5FED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E869C1" w:rsidRPr="00E95B67" w:rsidRDefault="00E869C1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sz w:val="28"/>
          <w:szCs w:val="28"/>
        </w:rPr>
        <w:t xml:space="preserve">The term </w:t>
      </w:r>
      <w:r>
        <w:rPr>
          <w:rFonts w:hint="cs"/>
          <w:sz w:val="28"/>
          <w:szCs w:val="28"/>
          <w:rtl/>
        </w:rPr>
        <w:t>הרגנוהו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does not mean </w:t>
      </w:r>
      <w:r>
        <w:rPr>
          <w:sz w:val="28"/>
          <w:szCs w:val="28"/>
        </w:rPr>
        <w:t xml:space="preserve">that </w:t>
      </w:r>
      <w:r>
        <w:rPr>
          <w:b/>
          <w:bCs/>
          <w:sz w:val="28"/>
          <w:szCs w:val="28"/>
        </w:rPr>
        <w:t xml:space="preserve">two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testified </w:t>
      </w:r>
      <w:r>
        <w:rPr>
          <w:sz w:val="28"/>
          <w:szCs w:val="28"/>
        </w:rPr>
        <w:t xml:space="preserve">that they killed him, </w:t>
      </w:r>
      <w:r w:rsidRPr="00E869C1">
        <w:rPr>
          <w:b/>
          <w:bCs/>
          <w:sz w:val="28"/>
          <w:szCs w:val="28"/>
        </w:rPr>
        <w:t xml:space="preserve">for in </w:t>
      </w:r>
      <w:r>
        <w:rPr>
          <w:b/>
          <w:bCs/>
          <w:sz w:val="28"/>
          <w:szCs w:val="28"/>
        </w:rPr>
        <w:t xml:space="preserve">no place are two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suspect</w:t>
      </w:r>
      <w:r w:rsidRPr="00E95B67">
        <w:rPr>
          <w:b/>
          <w:bCs/>
        </w:rPr>
        <w:t>.</w:t>
      </w:r>
      <w:r w:rsidRPr="00E95B67">
        <w:t xml:space="preserve"> If two </w:t>
      </w:r>
      <w:r w:rsidRPr="00E95B67">
        <w:rPr>
          <w:rFonts w:hint="cs"/>
          <w:rtl/>
        </w:rPr>
        <w:t>עדים</w:t>
      </w:r>
      <w:r w:rsidRPr="00E95B67">
        <w:t xml:space="preserve"> testified that they killed him, they would be believed</w:t>
      </w:r>
      <w:r w:rsidR="0048350D" w:rsidRPr="00E95B67">
        <w:t>,</w:t>
      </w:r>
      <w:r w:rsidRPr="00E95B67">
        <w:t xml:space="preserve"> and one of them would be permitted to marry the widow</w:t>
      </w:r>
      <w:r w:rsidR="008E0CED" w:rsidRPr="00E95B67">
        <w:rPr>
          <w:rStyle w:val="FootnoteReference"/>
        </w:rPr>
        <w:footnoteReference w:id="3"/>
      </w:r>
      <w:r w:rsidR="00E364B4" w:rsidRPr="00E95B67">
        <w:t xml:space="preserve"> </w:t>
      </w:r>
      <w:r w:rsidR="0048350D" w:rsidRPr="00E95B67">
        <w:t xml:space="preserve"> as our </w:t>
      </w:r>
      <w:r w:rsidR="0048350D" w:rsidRPr="00E95B67">
        <w:rPr>
          <w:rFonts w:hint="cs"/>
          <w:rtl/>
        </w:rPr>
        <w:t>גמרא</w:t>
      </w:r>
      <w:r w:rsidR="0048350D" w:rsidRPr="00E95B67">
        <w:t xml:space="preserve"> states </w:t>
      </w:r>
      <w:r w:rsidR="00E364B4" w:rsidRPr="00E95B67">
        <w:t xml:space="preserve">(rather the term </w:t>
      </w:r>
      <w:r w:rsidR="00E364B4" w:rsidRPr="00E95B67">
        <w:rPr>
          <w:rFonts w:hint="cs"/>
          <w:rtl/>
        </w:rPr>
        <w:t>הרגנוהו</w:t>
      </w:r>
      <w:r w:rsidR="00E364B4" w:rsidRPr="00E95B67">
        <w:t xml:space="preserve"> means something different</w:t>
      </w:r>
      <w:r w:rsidR="002A5344" w:rsidRPr="00E95B67">
        <w:t>,</w:t>
      </w:r>
      <w:r w:rsidR="00E364B4" w:rsidRPr="00E95B67">
        <w:t xml:space="preserve"> as </w:t>
      </w:r>
      <w:r w:rsidR="00E364B4" w:rsidRPr="00E95B67">
        <w:rPr>
          <w:rFonts w:hint="cs"/>
          <w:rtl/>
        </w:rPr>
        <w:t>תוספות</w:t>
      </w:r>
      <w:r w:rsidR="00E364B4" w:rsidRPr="00E95B67">
        <w:t xml:space="preserve"> will shortly explain</w:t>
      </w:r>
      <w:r w:rsidR="00F03F51" w:rsidRPr="00E95B67">
        <w:t>)</w:t>
      </w:r>
      <w:r w:rsidR="00E364B4" w:rsidRPr="00E95B67">
        <w:t>.</w:t>
      </w:r>
    </w:p>
    <w:p w:rsidR="00E364B4" w:rsidRPr="00E95B67" w:rsidRDefault="00E364B4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E364B4" w:rsidRPr="00E95B67" w:rsidRDefault="00E364B4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 w:rsidRPr="00E95B67">
        <w:rPr>
          <w:rFonts w:hint="cs"/>
          <w:rtl/>
        </w:rPr>
        <w:t>תוספות</w:t>
      </w:r>
      <w:r w:rsidRPr="00E95B67">
        <w:t xml:space="preserve"> will now prove that two </w:t>
      </w:r>
      <w:r w:rsidRPr="00E95B67">
        <w:rPr>
          <w:rFonts w:hint="cs"/>
          <w:rtl/>
        </w:rPr>
        <w:t>עדים</w:t>
      </w:r>
      <w:r w:rsidRPr="00E95B67">
        <w:t xml:space="preserve"> are never suspect:</w:t>
      </w:r>
    </w:p>
    <w:p w:rsidR="008A5FED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8A5FED">
        <w:rPr>
          <w:rFonts w:cs="David" w:hint="cs"/>
          <w:b/>
          <w:bCs/>
          <w:sz w:val="28"/>
          <w:szCs w:val="28"/>
          <w:rtl/>
        </w:rPr>
        <w:t>כדמוכח לקמן</w:t>
      </w:r>
      <w:r w:rsidR="00F03F51" w:rsidRPr="008A5FED">
        <w:rPr>
          <w:rStyle w:val="FootnoteReference"/>
          <w:rFonts w:cs="David"/>
          <w:b/>
          <w:bCs/>
          <w:sz w:val="28"/>
          <w:szCs w:val="28"/>
          <w:rtl/>
        </w:rPr>
        <w:footnoteReference w:id="4"/>
      </w:r>
      <w:r w:rsidRPr="008A5FED">
        <w:rPr>
          <w:rFonts w:cs="David" w:hint="cs"/>
          <w:b/>
          <w:bCs/>
          <w:sz w:val="28"/>
          <w:szCs w:val="28"/>
          <w:rtl/>
        </w:rPr>
        <w:t xml:space="preserve"> דאפילו למאן דחייש לגומלין </w:t>
      </w:r>
      <w:r w:rsidR="008A5FED">
        <w:rPr>
          <w:rFonts w:cs="David" w:hint="cs"/>
          <w:b/>
          <w:bCs/>
          <w:sz w:val="28"/>
          <w:szCs w:val="28"/>
          <w:rtl/>
        </w:rPr>
        <w:t>-</w:t>
      </w:r>
    </w:p>
    <w:p w:rsidR="008A5FED" w:rsidRDefault="008A5FED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As is evident later that even according to the opinion that maintains we </w:t>
      </w:r>
      <w:r>
        <w:rPr>
          <w:b/>
          <w:bCs/>
          <w:sz w:val="28"/>
          <w:szCs w:val="28"/>
        </w:rPr>
        <w:lastRenderedPageBreak/>
        <w:t xml:space="preserve">are concerned for reciprocity </w:t>
      </w:r>
      <w:r>
        <w:rPr>
          <w:sz w:val="28"/>
          <w:szCs w:val="28"/>
        </w:rPr>
        <w:t>(in a case of one witness)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nevertheless -</w:t>
      </w:r>
    </w:p>
    <w:p w:rsidR="00337507" w:rsidRPr="008A5FED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8A5FED">
        <w:rPr>
          <w:rFonts w:cs="David" w:hint="cs"/>
          <w:b/>
          <w:bCs/>
          <w:sz w:val="28"/>
          <w:szCs w:val="28"/>
          <w:rtl/>
        </w:rPr>
        <w:t xml:space="preserve">אם שנים מעידין על זה ושנים על זה נאמנין </w:t>
      </w:r>
      <w:r w:rsidR="00337507" w:rsidRPr="008A5FED">
        <w:rPr>
          <w:rFonts w:cs="David"/>
          <w:b/>
          <w:bCs/>
          <w:sz w:val="28"/>
          <w:szCs w:val="28"/>
          <w:rtl/>
        </w:rPr>
        <w:t>–</w:t>
      </w:r>
    </w:p>
    <w:p w:rsidR="002F72AF" w:rsidRDefault="00442553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>If</w:t>
      </w:r>
      <w:r w:rsidR="00F03F51">
        <w:rPr>
          <w:b/>
          <w:bCs/>
          <w:sz w:val="28"/>
          <w:szCs w:val="28"/>
        </w:rPr>
        <w:t xml:space="preserve"> two </w:t>
      </w:r>
      <w:r w:rsidR="00F03F51">
        <w:rPr>
          <w:sz w:val="28"/>
          <w:szCs w:val="28"/>
        </w:rPr>
        <w:t xml:space="preserve">witnesses </w:t>
      </w:r>
      <w:r w:rsidR="00F03F51">
        <w:rPr>
          <w:b/>
          <w:bCs/>
          <w:sz w:val="28"/>
          <w:szCs w:val="28"/>
        </w:rPr>
        <w:t xml:space="preserve">testify for one and two </w:t>
      </w:r>
      <w:r w:rsidR="00F03F51">
        <w:rPr>
          <w:sz w:val="28"/>
          <w:szCs w:val="28"/>
        </w:rPr>
        <w:t xml:space="preserve">witnesses testify </w:t>
      </w:r>
      <w:r w:rsidR="00ED342F">
        <w:rPr>
          <w:b/>
          <w:bCs/>
          <w:sz w:val="28"/>
          <w:szCs w:val="28"/>
        </w:rPr>
        <w:t xml:space="preserve">on the other, they are believed; </w:t>
      </w:r>
      <w:r w:rsidR="00ED342F" w:rsidRPr="00E95B67">
        <w:t>even if the first witness testifies on behalf of the second witness</w:t>
      </w:r>
      <w:r w:rsidR="002F72AF" w:rsidRPr="00E95B67">
        <w:t>,</w:t>
      </w:r>
      <w:r w:rsidR="00ED342F" w:rsidRPr="00E95B67">
        <w:t xml:space="preserve"> who in turn testifies on behalf of the first witness; as long as there are two witnesses testifying on behalf of those two</w:t>
      </w:r>
      <w:r w:rsidR="006308E6">
        <w:t xml:space="preserve"> they are believed</w:t>
      </w:r>
      <w:r w:rsidR="00ED342F" w:rsidRPr="00E95B67">
        <w:t>.</w:t>
      </w:r>
      <w:r w:rsidR="006308E6">
        <w:rPr>
          <w:rStyle w:val="FootnoteReference"/>
        </w:rPr>
        <w:footnoteReference w:id="5"/>
      </w:r>
    </w:p>
    <w:p w:rsidR="005C2E90" w:rsidRPr="00E95B67" w:rsidRDefault="005C2E90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F03F51" w:rsidRPr="00E95B67" w:rsidRDefault="002F72AF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  <w:rtl/>
        </w:rPr>
      </w:pPr>
      <w:r w:rsidRPr="00E95B67">
        <w:rPr>
          <w:rFonts w:hint="cs"/>
          <w:rtl/>
        </w:rPr>
        <w:t>תוספות</w:t>
      </w:r>
      <w:r w:rsidRPr="00E95B67">
        <w:t xml:space="preserve"> offers an additional proof that there is no suspicion of ulterior motives by two witnesses (where we can ascribe the </w:t>
      </w:r>
      <w:r w:rsidR="0044451A">
        <w:t xml:space="preserve">ulterior </w:t>
      </w:r>
      <w:r w:rsidRPr="00E95B67">
        <w:t>motive to only one)</w:t>
      </w:r>
      <w:r w:rsidR="00ED342F" w:rsidRPr="00E95B67">
        <w:rPr>
          <w:b/>
          <w:bCs/>
        </w:rPr>
        <w:t xml:space="preserve"> </w:t>
      </w:r>
      <w:r w:rsidR="00F03F51" w:rsidRPr="00E95B67">
        <w:rPr>
          <w:b/>
          <w:bCs/>
        </w:rPr>
        <w:t xml:space="preserve"> </w:t>
      </w:r>
    </w:p>
    <w:p w:rsidR="00337507" w:rsidRPr="009F3303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9F3303">
        <w:rPr>
          <w:rFonts w:cs="David" w:hint="cs"/>
          <w:b/>
          <w:bCs/>
          <w:sz w:val="28"/>
          <w:szCs w:val="28"/>
          <w:rtl/>
        </w:rPr>
        <w:t>וכן מוכח נמי בפ</w:t>
      </w:r>
      <w:r w:rsidR="00337507" w:rsidRPr="009F3303">
        <w:rPr>
          <w:rFonts w:cs="David" w:hint="cs"/>
          <w:b/>
          <w:bCs/>
          <w:sz w:val="28"/>
          <w:szCs w:val="28"/>
          <w:rtl/>
        </w:rPr>
        <w:t xml:space="preserve">רק </w:t>
      </w:r>
      <w:r w:rsidRPr="009F3303">
        <w:rPr>
          <w:rFonts w:cs="David" w:hint="cs"/>
          <w:b/>
          <w:bCs/>
          <w:sz w:val="28"/>
          <w:szCs w:val="28"/>
          <w:rtl/>
        </w:rPr>
        <w:t>ב</w:t>
      </w:r>
      <w:r w:rsidR="00337507" w:rsidRPr="009F3303">
        <w:rPr>
          <w:rFonts w:cs="David" w:hint="cs"/>
          <w:b/>
          <w:bCs/>
          <w:sz w:val="28"/>
          <w:szCs w:val="28"/>
          <w:rtl/>
        </w:rPr>
        <w:t>'</w:t>
      </w:r>
      <w:r w:rsidRPr="009F3303">
        <w:rPr>
          <w:rFonts w:cs="David" w:hint="cs"/>
          <w:b/>
          <w:bCs/>
          <w:sz w:val="28"/>
          <w:szCs w:val="28"/>
          <w:rtl/>
        </w:rPr>
        <w:t xml:space="preserve"> דיבמות </w:t>
      </w:r>
      <w:r w:rsidR="00337507" w:rsidRPr="009F3303">
        <w:rPr>
          <w:rFonts w:cs="David" w:hint="cs"/>
          <w:b/>
          <w:bCs/>
          <w:sz w:val="20"/>
          <w:szCs w:val="20"/>
          <w:rtl/>
        </w:rPr>
        <w:t>(ג"ז שם ע"ב</w:t>
      </w:r>
      <w:r w:rsidRPr="009F3303">
        <w:rPr>
          <w:rFonts w:cs="David" w:hint="cs"/>
          <w:b/>
          <w:bCs/>
          <w:sz w:val="20"/>
          <w:szCs w:val="20"/>
          <w:rtl/>
        </w:rPr>
        <w:t>)</w:t>
      </w:r>
      <w:r w:rsidRPr="009F3303">
        <w:rPr>
          <w:rFonts w:cs="David" w:hint="cs"/>
          <w:b/>
          <w:bCs/>
          <w:sz w:val="28"/>
          <w:szCs w:val="28"/>
          <w:rtl/>
        </w:rPr>
        <w:t xml:space="preserve"> דתנן התם</w:t>
      </w:r>
      <w:r w:rsidR="00E86CB9" w:rsidRPr="009F3303">
        <w:rPr>
          <w:rFonts w:cs="David" w:hint="cs"/>
          <w:b/>
          <w:bCs/>
          <w:sz w:val="28"/>
          <w:szCs w:val="28"/>
          <w:rtl/>
        </w:rPr>
        <w:t xml:space="preserve"> </w:t>
      </w:r>
      <w:r w:rsidR="002F72AF" w:rsidRPr="009F3303">
        <w:rPr>
          <w:rFonts w:cs="David"/>
          <w:b/>
          <w:bCs/>
          <w:sz w:val="28"/>
          <w:szCs w:val="28"/>
          <w:rtl/>
        </w:rPr>
        <w:t>–</w:t>
      </w:r>
      <w:r w:rsidRPr="009F3303">
        <w:rPr>
          <w:rFonts w:cs="David" w:hint="cs"/>
          <w:b/>
          <w:bCs/>
          <w:sz w:val="28"/>
          <w:szCs w:val="28"/>
          <w:rtl/>
        </w:rPr>
        <w:t xml:space="preserve"> </w:t>
      </w:r>
    </w:p>
    <w:p w:rsidR="002F72AF" w:rsidRPr="00E95B67" w:rsidRDefault="00C12597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</w:rPr>
      </w:pPr>
      <w:r>
        <w:rPr>
          <w:rFonts w:cs="Aharoni"/>
          <w:b/>
          <w:bCs/>
          <w:sz w:val="28"/>
          <w:szCs w:val="28"/>
        </w:rPr>
        <w:t xml:space="preserve">And it is also so evident in the second </w:t>
      </w:r>
      <w:r>
        <w:rPr>
          <w:rFonts w:hint="cs"/>
          <w:b/>
          <w:bCs/>
          <w:sz w:val="28"/>
          <w:szCs w:val="28"/>
          <w:rtl/>
        </w:rPr>
        <w:t>פרק</w:t>
      </w:r>
      <w:r>
        <w:rPr>
          <w:b/>
          <w:bCs/>
          <w:sz w:val="28"/>
          <w:szCs w:val="28"/>
        </w:rPr>
        <w:t xml:space="preserve"> of </w:t>
      </w:r>
      <w:r w:rsidR="0044451A">
        <w:rPr>
          <w:rFonts w:hint="cs"/>
          <w:sz w:val="28"/>
          <w:szCs w:val="28"/>
          <w:rtl/>
        </w:rPr>
        <w:t xml:space="preserve">מסכת </w:t>
      </w:r>
      <w:r>
        <w:rPr>
          <w:rFonts w:hint="cs"/>
          <w:b/>
          <w:bCs/>
          <w:sz w:val="28"/>
          <w:szCs w:val="28"/>
          <w:rtl/>
        </w:rPr>
        <w:t>יבמות</w:t>
      </w:r>
      <w:r>
        <w:rPr>
          <w:b/>
          <w:bCs/>
          <w:sz w:val="28"/>
          <w:szCs w:val="28"/>
        </w:rPr>
        <w:t xml:space="preserve"> where we learnt there in a </w:t>
      </w:r>
      <w:r>
        <w:rPr>
          <w:rFonts w:hint="cs"/>
          <w:b/>
          <w:bCs/>
          <w:sz w:val="28"/>
          <w:szCs w:val="28"/>
          <w:rtl/>
        </w:rPr>
        <w:t>משנה</w:t>
      </w:r>
      <w:r>
        <w:rPr>
          <w:b/>
          <w:bCs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95B67">
        <w:t>if a woman</w:t>
      </w:r>
      <w:r w:rsidR="00E95B67">
        <w:t xml:space="preserve">, </w:t>
      </w:r>
      <w:r w:rsidRPr="00E95B67">
        <w:t xml:space="preserve">who is a </w:t>
      </w:r>
      <w:r w:rsidRPr="00E95B67">
        <w:rPr>
          <w:rFonts w:hint="cs"/>
          <w:rtl/>
        </w:rPr>
        <w:t>קטנה</w:t>
      </w:r>
      <w:r w:rsidRPr="00E95B67">
        <w:rPr>
          <w:b/>
          <w:bCs/>
        </w:rPr>
        <w:t xml:space="preserve"> -</w:t>
      </w:r>
    </w:p>
    <w:p w:rsidR="00337507" w:rsidRPr="009F3303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9F3303">
        <w:rPr>
          <w:rFonts w:cs="David" w:hint="cs"/>
          <w:b/>
          <w:bCs/>
          <w:sz w:val="28"/>
          <w:szCs w:val="28"/>
          <w:rtl/>
        </w:rPr>
        <w:t>מיאנה</w:t>
      </w:r>
      <w:r w:rsidR="009F3303">
        <w:rPr>
          <w:rStyle w:val="FootnoteReference"/>
          <w:rFonts w:cs="David"/>
          <w:b/>
          <w:bCs/>
          <w:sz w:val="28"/>
          <w:szCs w:val="28"/>
          <w:rtl/>
        </w:rPr>
        <w:footnoteReference w:id="6"/>
      </w:r>
      <w:r w:rsidRPr="009F3303">
        <w:rPr>
          <w:rFonts w:cs="David" w:hint="cs"/>
          <w:b/>
          <w:bCs/>
          <w:sz w:val="28"/>
          <w:szCs w:val="28"/>
          <w:rtl/>
        </w:rPr>
        <w:t xml:space="preserve"> או שחלצה בפניו ישאנה מפני שהוא ב</w:t>
      </w:r>
      <w:r w:rsidR="00337507" w:rsidRPr="009F3303">
        <w:rPr>
          <w:rFonts w:cs="David" w:hint="cs"/>
          <w:b/>
          <w:bCs/>
          <w:sz w:val="28"/>
          <w:szCs w:val="28"/>
          <w:rtl/>
        </w:rPr>
        <w:t xml:space="preserve">ית </w:t>
      </w:r>
      <w:r w:rsidRPr="009F3303">
        <w:rPr>
          <w:rFonts w:cs="David" w:hint="cs"/>
          <w:b/>
          <w:bCs/>
          <w:sz w:val="28"/>
          <w:szCs w:val="28"/>
          <w:rtl/>
        </w:rPr>
        <w:t>ד</w:t>
      </w:r>
      <w:r w:rsidR="00337507" w:rsidRPr="009F3303">
        <w:rPr>
          <w:rFonts w:cs="David" w:hint="cs"/>
          <w:b/>
          <w:bCs/>
          <w:sz w:val="28"/>
          <w:szCs w:val="28"/>
          <w:rtl/>
        </w:rPr>
        <w:t>ין</w:t>
      </w:r>
      <w:r w:rsidRPr="009F3303">
        <w:rPr>
          <w:rFonts w:cs="David" w:hint="cs"/>
          <w:b/>
          <w:bCs/>
          <w:sz w:val="28"/>
          <w:szCs w:val="28"/>
          <w:rtl/>
        </w:rPr>
        <w:t xml:space="preserve"> </w:t>
      </w:r>
      <w:r w:rsidR="00337507" w:rsidRPr="009F3303">
        <w:rPr>
          <w:rFonts w:cs="David"/>
          <w:b/>
          <w:bCs/>
          <w:sz w:val="28"/>
          <w:szCs w:val="28"/>
          <w:rtl/>
        </w:rPr>
        <w:t>–</w:t>
      </w:r>
    </w:p>
    <w:p w:rsidR="00C12597" w:rsidRPr="00C12597" w:rsidRDefault="00C12597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b/>
          <w:bCs/>
          <w:sz w:val="28"/>
          <w:szCs w:val="28"/>
        </w:rPr>
      </w:pPr>
      <w:r>
        <w:rPr>
          <w:rFonts w:cs="Aharoni"/>
          <w:b/>
          <w:bCs/>
          <w:sz w:val="28"/>
          <w:szCs w:val="28"/>
        </w:rPr>
        <w:t xml:space="preserve">‘rejected’ </w:t>
      </w:r>
      <w:r>
        <w:rPr>
          <w:rFonts w:cs="Aharoni"/>
          <w:sz w:val="28"/>
          <w:szCs w:val="28"/>
        </w:rPr>
        <w:t xml:space="preserve">her husband </w:t>
      </w:r>
      <w:r>
        <w:rPr>
          <w:rFonts w:cs="Aharoni"/>
          <w:b/>
          <w:bCs/>
          <w:sz w:val="28"/>
          <w:szCs w:val="28"/>
        </w:rPr>
        <w:t xml:space="preserve">or </w:t>
      </w:r>
      <w:r>
        <w:rPr>
          <w:rFonts w:cs="Aharoni"/>
          <w:sz w:val="28"/>
          <w:szCs w:val="28"/>
        </w:rPr>
        <w:t xml:space="preserve">(a woman who was a </w:t>
      </w:r>
      <w:r w:rsidRPr="00C12597">
        <w:rPr>
          <w:rFonts w:hint="cs"/>
          <w:sz w:val="28"/>
          <w:szCs w:val="28"/>
          <w:rtl/>
        </w:rPr>
        <w:t>גדולה</w:t>
      </w:r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performed </w:t>
      </w:r>
      <w:r>
        <w:rPr>
          <w:rFonts w:hint="cs"/>
          <w:b/>
          <w:bCs/>
          <w:sz w:val="28"/>
          <w:szCs w:val="28"/>
          <w:rtl/>
        </w:rPr>
        <w:t>חליצה</w:t>
      </w:r>
      <w:r>
        <w:rPr>
          <w:b/>
          <w:bCs/>
          <w:sz w:val="28"/>
          <w:szCs w:val="28"/>
        </w:rPr>
        <w:t xml:space="preserve"> in the presence </w:t>
      </w:r>
      <w:r>
        <w:rPr>
          <w:sz w:val="28"/>
          <w:szCs w:val="28"/>
        </w:rPr>
        <w:t xml:space="preserve">of a </w:t>
      </w:r>
      <w:r>
        <w:rPr>
          <w:rFonts w:hint="cs"/>
          <w:sz w:val="28"/>
          <w:szCs w:val="28"/>
          <w:rtl/>
        </w:rPr>
        <w:t>דיין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he may marry her, because he </w:t>
      </w:r>
      <w:r>
        <w:rPr>
          <w:sz w:val="28"/>
          <w:szCs w:val="28"/>
        </w:rPr>
        <w:t xml:space="preserve">was part of a </w:t>
      </w:r>
      <w:r>
        <w:rPr>
          <w:rFonts w:hint="cs"/>
          <w:b/>
          <w:bCs/>
          <w:sz w:val="28"/>
          <w:szCs w:val="28"/>
          <w:rtl/>
        </w:rPr>
        <w:t>בי"ד</w:t>
      </w:r>
      <w:r w:rsidR="00442553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 </w:t>
      </w:r>
    </w:p>
    <w:p w:rsidR="00337507" w:rsidRPr="009F3303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9F3303">
        <w:rPr>
          <w:rFonts w:cs="David" w:hint="cs"/>
          <w:b/>
          <w:bCs/>
          <w:sz w:val="28"/>
          <w:szCs w:val="28"/>
          <w:rtl/>
        </w:rPr>
        <w:t>ודייק בגמרא טעמא דב</w:t>
      </w:r>
      <w:r w:rsidR="00337507" w:rsidRPr="009F3303">
        <w:rPr>
          <w:rFonts w:cs="David" w:hint="cs"/>
          <w:b/>
          <w:bCs/>
          <w:sz w:val="28"/>
          <w:szCs w:val="28"/>
          <w:rtl/>
        </w:rPr>
        <w:t xml:space="preserve">ית </w:t>
      </w:r>
      <w:r w:rsidRPr="009F3303">
        <w:rPr>
          <w:rFonts w:cs="David" w:hint="cs"/>
          <w:b/>
          <w:bCs/>
          <w:sz w:val="28"/>
          <w:szCs w:val="28"/>
          <w:rtl/>
        </w:rPr>
        <w:t>ד</w:t>
      </w:r>
      <w:r w:rsidR="00337507" w:rsidRPr="009F3303">
        <w:rPr>
          <w:rFonts w:cs="David" w:hint="cs"/>
          <w:b/>
          <w:bCs/>
          <w:sz w:val="28"/>
          <w:szCs w:val="28"/>
          <w:rtl/>
        </w:rPr>
        <w:t>ין</w:t>
      </w:r>
      <w:r w:rsidRPr="009F3303">
        <w:rPr>
          <w:rFonts w:cs="David" w:hint="cs"/>
          <w:b/>
          <w:bCs/>
          <w:sz w:val="28"/>
          <w:szCs w:val="28"/>
          <w:rtl/>
        </w:rPr>
        <w:t xml:space="preserve"> הא בתרי לא </w:t>
      </w:r>
      <w:r w:rsidR="00337507" w:rsidRPr="009F3303">
        <w:rPr>
          <w:rFonts w:cs="David"/>
          <w:b/>
          <w:bCs/>
          <w:sz w:val="28"/>
          <w:szCs w:val="28"/>
          <w:rtl/>
        </w:rPr>
        <w:t>–</w:t>
      </w:r>
    </w:p>
    <w:p w:rsidR="00284B83" w:rsidRPr="00E95B67" w:rsidRDefault="00284B83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And the </w:t>
      </w:r>
      <w:r>
        <w:rPr>
          <w:rFonts w:hint="cs"/>
          <w:b/>
          <w:bCs/>
          <w:sz w:val="28"/>
          <w:szCs w:val="28"/>
          <w:rtl/>
        </w:rPr>
        <w:t>גמרא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there </w:t>
      </w:r>
      <w:r>
        <w:rPr>
          <w:b/>
          <w:bCs/>
          <w:sz w:val="28"/>
          <w:szCs w:val="28"/>
        </w:rPr>
        <w:t xml:space="preserve">infers </w:t>
      </w:r>
      <w:r>
        <w:rPr>
          <w:sz w:val="28"/>
          <w:szCs w:val="28"/>
        </w:rPr>
        <w:t xml:space="preserve">from the </w:t>
      </w:r>
      <w:r>
        <w:rPr>
          <w:rFonts w:hint="cs"/>
          <w:sz w:val="28"/>
          <w:szCs w:val="28"/>
          <w:rtl/>
        </w:rPr>
        <w:t>משנה</w:t>
      </w:r>
      <w:r>
        <w:rPr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the reason </w:t>
      </w: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דיין</w:t>
      </w:r>
      <w:r>
        <w:rPr>
          <w:sz w:val="28"/>
          <w:szCs w:val="28"/>
        </w:rPr>
        <w:t xml:space="preserve"> may marry her is because he is part </w:t>
      </w:r>
      <w:r>
        <w:rPr>
          <w:b/>
          <w:bCs/>
          <w:sz w:val="28"/>
          <w:szCs w:val="28"/>
        </w:rPr>
        <w:t xml:space="preserve">of a </w:t>
      </w:r>
      <w:r>
        <w:rPr>
          <w:rFonts w:hint="cs"/>
          <w:b/>
          <w:bCs/>
          <w:sz w:val="28"/>
          <w:szCs w:val="28"/>
          <w:rtl/>
        </w:rPr>
        <w:t>בי"ד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three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; </w:t>
      </w:r>
      <w:r>
        <w:rPr>
          <w:b/>
          <w:bCs/>
          <w:sz w:val="28"/>
          <w:szCs w:val="28"/>
        </w:rPr>
        <w:t xml:space="preserve">however if </w:t>
      </w:r>
      <w:r>
        <w:rPr>
          <w:sz w:val="28"/>
          <w:szCs w:val="28"/>
        </w:rPr>
        <w:t xml:space="preserve">there were only </w:t>
      </w:r>
      <w:r>
        <w:rPr>
          <w:b/>
          <w:bCs/>
          <w:sz w:val="28"/>
          <w:szCs w:val="28"/>
        </w:rPr>
        <w:t xml:space="preserve">two </w:t>
      </w:r>
      <w:r>
        <w:rPr>
          <w:rFonts w:hint="cs"/>
          <w:sz w:val="28"/>
          <w:szCs w:val="28"/>
          <w:rtl/>
        </w:rPr>
        <w:t>דיינים</w:t>
      </w:r>
      <w:r>
        <w:rPr>
          <w:sz w:val="28"/>
          <w:szCs w:val="28"/>
        </w:rPr>
        <w:t xml:space="preserve"> present he would </w:t>
      </w:r>
      <w:r>
        <w:rPr>
          <w:b/>
          <w:bCs/>
          <w:sz w:val="28"/>
          <w:szCs w:val="28"/>
        </w:rPr>
        <w:t xml:space="preserve">not </w:t>
      </w:r>
      <w:r w:rsidRPr="00E95B67">
        <w:t xml:space="preserve">be permitted to marry her (for it would seem suspect). The </w:t>
      </w:r>
      <w:r w:rsidRPr="00E95B67">
        <w:rPr>
          <w:rFonts w:hint="cs"/>
          <w:rtl/>
        </w:rPr>
        <w:t>גמרא</w:t>
      </w:r>
      <w:r w:rsidRPr="00E95B67">
        <w:t xml:space="preserve"> there asks -</w:t>
      </w:r>
    </w:p>
    <w:p w:rsidR="009F3303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9F3303">
        <w:rPr>
          <w:rFonts w:cs="David" w:hint="cs"/>
          <w:b/>
          <w:bCs/>
          <w:sz w:val="28"/>
          <w:szCs w:val="28"/>
          <w:rtl/>
        </w:rPr>
        <w:t>מאי שנא מהא דתנן</w:t>
      </w:r>
      <w:r w:rsidR="009F3303">
        <w:rPr>
          <w:rStyle w:val="FootnoteReference"/>
          <w:rFonts w:cs="David"/>
          <w:b/>
          <w:bCs/>
          <w:sz w:val="28"/>
          <w:szCs w:val="28"/>
          <w:rtl/>
        </w:rPr>
        <w:footnoteReference w:id="7"/>
      </w:r>
      <w:r w:rsidRPr="009F3303">
        <w:rPr>
          <w:rFonts w:cs="David" w:hint="cs"/>
          <w:b/>
          <w:bCs/>
          <w:sz w:val="28"/>
          <w:szCs w:val="28"/>
          <w:rtl/>
        </w:rPr>
        <w:t xml:space="preserve"> </w:t>
      </w:r>
      <w:r w:rsidR="009F3303">
        <w:rPr>
          <w:rFonts w:cs="David"/>
          <w:b/>
          <w:bCs/>
          <w:sz w:val="28"/>
          <w:szCs w:val="28"/>
          <w:rtl/>
        </w:rPr>
        <w:t>–</w:t>
      </w:r>
    </w:p>
    <w:p w:rsidR="009F3303" w:rsidRDefault="009F3303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Why this is different from that which we learnt in a </w:t>
      </w:r>
      <w:r>
        <w:rPr>
          <w:rFonts w:hint="cs"/>
          <w:b/>
          <w:bCs/>
          <w:sz w:val="28"/>
          <w:szCs w:val="28"/>
          <w:rtl/>
        </w:rPr>
        <w:t>(משנה) [ברייתא]</w:t>
      </w:r>
      <w:r>
        <w:rPr>
          <w:b/>
          <w:bCs/>
          <w:sz w:val="28"/>
          <w:szCs w:val="28"/>
        </w:rPr>
        <w:t xml:space="preserve"> -</w:t>
      </w:r>
    </w:p>
    <w:p w:rsidR="00284B83" w:rsidRPr="009F3303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hint="cs"/>
          <w:b/>
          <w:bCs/>
          <w:sz w:val="28"/>
          <w:szCs w:val="28"/>
          <w:rtl/>
        </w:rPr>
      </w:pPr>
      <w:r w:rsidRPr="009F3303">
        <w:rPr>
          <w:rFonts w:cs="David" w:hint="cs"/>
          <w:b/>
          <w:bCs/>
          <w:sz w:val="28"/>
          <w:szCs w:val="28"/>
          <w:rtl/>
        </w:rPr>
        <w:t>עדים החתומים על שדה מקח או על גט אשה לא חשו חכמים לדבר זה</w:t>
      </w:r>
      <w:r w:rsidR="009F3303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284B83" w:rsidRPr="00E95B67" w:rsidRDefault="009F3303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b/>
          <w:bCs/>
          <w:sz w:val="28"/>
          <w:szCs w:val="28"/>
        </w:rPr>
        <w:t>Witnesses</w:t>
      </w:r>
      <w:r w:rsidR="00B913C6">
        <w:rPr>
          <w:b/>
          <w:bCs/>
          <w:sz w:val="28"/>
          <w:szCs w:val="28"/>
        </w:rPr>
        <w:t xml:space="preserve"> who signs on a sale of a field or on a </w:t>
      </w:r>
      <w:r w:rsidR="00B913C6">
        <w:rPr>
          <w:rFonts w:hint="cs"/>
          <w:b/>
          <w:bCs/>
          <w:sz w:val="28"/>
          <w:szCs w:val="28"/>
          <w:rtl/>
        </w:rPr>
        <w:t>גט אשה</w:t>
      </w:r>
      <w:r w:rsidR="00B913C6">
        <w:rPr>
          <w:b/>
          <w:bCs/>
          <w:sz w:val="28"/>
          <w:szCs w:val="28"/>
        </w:rPr>
        <w:t xml:space="preserve">, the </w:t>
      </w:r>
      <w:r w:rsidR="00B913C6">
        <w:rPr>
          <w:rFonts w:hint="cs"/>
          <w:b/>
          <w:bCs/>
          <w:sz w:val="28"/>
          <w:szCs w:val="28"/>
          <w:rtl/>
        </w:rPr>
        <w:t>חכמים</w:t>
      </w:r>
      <w:r w:rsidR="00B913C6">
        <w:rPr>
          <w:b/>
          <w:bCs/>
          <w:sz w:val="28"/>
          <w:szCs w:val="28"/>
        </w:rPr>
        <w:t xml:space="preserve"> were not concerned for this matter </w:t>
      </w:r>
      <w:r w:rsidR="00B913C6" w:rsidRPr="00E95B67">
        <w:t>of suspicion of ulterior motives</w:t>
      </w:r>
      <w:r w:rsidR="00690337" w:rsidRPr="00E95B67">
        <w:t>.</w:t>
      </w:r>
      <w:r w:rsidR="00690337" w:rsidRPr="00E95B67">
        <w:rPr>
          <w:rStyle w:val="FootnoteReference"/>
        </w:rPr>
        <w:footnoteReference w:id="8"/>
      </w:r>
      <w:r w:rsidR="009B53E9" w:rsidRPr="00E95B67">
        <w:t xml:space="preserve"> The question </w:t>
      </w:r>
      <w:r w:rsidR="00E44A7F" w:rsidRPr="00E95B67">
        <w:t>is</w:t>
      </w:r>
      <w:r w:rsidR="009B53E9" w:rsidRPr="00E95B67">
        <w:t xml:space="preserve"> why is </w:t>
      </w:r>
      <w:r w:rsidR="009B53E9" w:rsidRPr="00E95B67">
        <w:rPr>
          <w:rFonts w:hint="cs"/>
          <w:rtl/>
        </w:rPr>
        <w:t>מיאון וחליצה</w:t>
      </w:r>
      <w:r w:rsidR="009B53E9" w:rsidRPr="00E95B67">
        <w:t xml:space="preserve"> different that two are not sufficient, and we require three. The </w:t>
      </w:r>
      <w:r w:rsidR="009B53E9" w:rsidRPr="00E95B67">
        <w:rPr>
          <w:rFonts w:hint="cs"/>
          <w:rtl/>
        </w:rPr>
        <w:t>גמרא</w:t>
      </w:r>
      <w:r w:rsidR="009B53E9" w:rsidRPr="00E95B67">
        <w:t xml:space="preserve"> there answers that two are always sufficient to remove concern of suspicion; the reason the </w:t>
      </w:r>
      <w:r w:rsidR="009B53E9" w:rsidRPr="00E95B67">
        <w:rPr>
          <w:rFonts w:hint="cs"/>
          <w:rtl/>
        </w:rPr>
        <w:t>משנה</w:t>
      </w:r>
      <w:r w:rsidR="009B53E9" w:rsidRPr="00E95B67">
        <w:t xml:space="preserve"> states </w:t>
      </w:r>
      <w:r w:rsidR="009B53E9" w:rsidRPr="00E95B67">
        <w:rPr>
          <w:rFonts w:hint="cs"/>
          <w:rtl/>
        </w:rPr>
        <w:t>מפני שהוא בי"ד</w:t>
      </w:r>
      <w:r w:rsidR="009B53E9" w:rsidRPr="00E95B67">
        <w:t xml:space="preserve"> is because the </w:t>
      </w:r>
      <w:r w:rsidR="009B53E9" w:rsidRPr="00E95B67">
        <w:rPr>
          <w:rFonts w:hint="cs"/>
          <w:rtl/>
        </w:rPr>
        <w:t>משנה</w:t>
      </w:r>
      <w:r w:rsidR="009B53E9" w:rsidRPr="00E95B67">
        <w:t xml:space="preserve"> -</w:t>
      </w:r>
    </w:p>
    <w:p w:rsidR="00337507" w:rsidRPr="009F3303" w:rsidRDefault="00CF7C42" w:rsidP="00442553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9F3303">
        <w:rPr>
          <w:rFonts w:cs="David" w:hint="cs"/>
          <w:b/>
          <w:bCs/>
          <w:sz w:val="28"/>
          <w:szCs w:val="28"/>
          <w:rtl/>
        </w:rPr>
        <w:t>היא גופה קמשמע לן לאפוקי ממ</w:t>
      </w:r>
      <w:r w:rsidR="00337507" w:rsidRPr="009F3303">
        <w:rPr>
          <w:rFonts w:cs="David" w:hint="cs"/>
          <w:b/>
          <w:bCs/>
          <w:sz w:val="28"/>
          <w:szCs w:val="28"/>
          <w:rtl/>
        </w:rPr>
        <w:t xml:space="preserve">אן </w:t>
      </w:r>
      <w:r w:rsidRPr="009F3303">
        <w:rPr>
          <w:rFonts w:cs="David" w:hint="cs"/>
          <w:b/>
          <w:bCs/>
          <w:sz w:val="28"/>
          <w:szCs w:val="28"/>
          <w:rtl/>
        </w:rPr>
        <w:t>ד</w:t>
      </w:r>
      <w:r w:rsidR="00337507" w:rsidRPr="009F3303">
        <w:rPr>
          <w:rFonts w:cs="David" w:hint="cs"/>
          <w:b/>
          <w:bCs/>
          <w:sz w:val="28"/>
          <w:szCs w:val="28"/>
          <w:rtl/>
        </w:rPr>
        <w:t>אמר</w:t>
      </w:r>
      <w:r w:rsidRPr="009F3303">
        <w:rPr>
          <w:rFonts w:cs="David" w:hint="cs"/>
          <w:b/>
          <w:bCs/>
          <w:sz w:val="28"/>
          <w:szCs w:val="28"/>
          <w:rtl/>
        </w:rPr>
        <w:t xml:space="preserve"> מיאון בשנים </w:t>
      </w:r>
      <w:r w:rsidR="00337507" w:rsidRPr="009F3303">
        <w:rPr>
          <w:rFonts w:cs="David"/>
          <w:b/>
          <w:bCs/>
          <w:sz w:val="28"/>
          <w:szCs w:val="28"/>
          <w:rtl/>
        </w:rPr>
        <w:t>–</w:t>
      </w:r>
    </w:p>
    <w:p w:rsidR="009B53E9" w:rsidRDefault="009B53E9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Is teaching us this </w:t>
      </w:r>
      <w:r>
        <w:rPr>
          <w:rFonts w:cs="Aharoni"/>
          <w:sz w:val="28"/>
          <w:szCs w:val="28"/>
        </w:rPr>
        <w:t xml:space="preserve">rule </w:t>
      </w:r>
      <w:r>
        <w:rPr>
          <w:rFonts w:cs="Aharoni"/>
          <w:b/>
          <w:bCs/>
          <w:sz w:val="28"/>
          <w:szCs w:val="28"/>
        </w:rPr>
        <w:t xml:space="preserve">itself </w:t>
      </w:r>
      <w:r>
        <w:rPr>
          <w:rFonts w:cs="Aharoni"/>
          <w:sz w:val="28"/>
          <w:szCs w:val="28"/>
        </w:rPr>
        <w:t xml:space="preserve">that three are required for </w:t>
      </w:r>
      <w:r w:rsidR="009C51F5">
        <w:rPr>
          <w:rFonts w:hint="cs"/>
          <w:sz w:val="28"/>
          <w:szCs w:val="28"/>
          <w:rtl/>
        </w:rPr>
        <w:t>מיאון</w:t>
      </w:r>
      <w:r w:rsidR="009C51F5">
        <w:rPr>
          <w:sz w:val="28"/>
          <w:szCs w:val="28"/>
        </w:rPr>
        <w:t xml:space="preserve">; </w:t>
      </w:r>
      <w:r w:rsidR="009C51F5">
        <w:rPr>
          <w:b/>
          <w:bCs/>
          <w:sz w:val="28"/>
          <w:szCs w:val="28"/>
        </w:rPr>
        <w:t xml:space="preserve">to exclude from the opinion that maintains </w:t>
      </w:r>
      <w:r w:rsidR="009C51F5" w:rsidRPr="00E95B67">
        <w:t xml:space="preserve">that </w:t>
      </w:r>
      <w:r w:rsidR="009C51F5" w:rsidRPr="00E44A7F">
        <w:rPr>
          <w:rFonts w:hint="cs"/>
          <w:b/>
          <w:bCs/>
          <w:sz w:val="28"/>
          <w:szCs w:val="28"/>
          <w:rtl/>
        </w:rPr>
        <w:t>מיאון</w:t>
      </w:r>
      <w:r w:rsidR="009C51F5" w:rsidRPr="00E44A7F">
        <w:rPr>
          <w:b/>
          <w:bCs/>
          <w:sz w:val="28"/>
          <w:szCs w:val="28"/>
        </w:rPr>
        <w:t xml:space="preserve"> </w:t>
      </w:r>
      <w:r w:rsidR="009C51F5" w:rsidRPr="00E44A7F">
        <w:rPr>
          <w:sz w:val="28"/>
          <w:szCs w:val="28"/>
        </w:rPr>
        <w:t xml:space="preserve">can be performed in the presence </w:t>
      </w:r>
      <w:r w:rsidR="009C51F5" w:rsidRPr="00E44A7F">
        <w:rPr>
          <w:sz w:val="28"/>
          <w:szCs w:val="28"/>
        </w:rPr>
        <w:lastRenderedPageBreak/>
        <w:t xml:space="preserve">of only </w:t>
      </w:r>
      <w:r w:rsidR="009C51F5" w:rsidRPr="00E44A7F">
        <w:rPr>
          <w:b/>
          <w:bCs/>
          <w:sz w:val="28"/>
          <w:szCs w:val="28"/>
        </w:rPr>
        <w:t xml:space="preserve">two </w:t>
      </w:r>
      <w:r w:rsidR="009C51F5" w:rsidRPr="00E95B67">
        <w:rPr>
          <w:rFonts w:hint="cs"/>
          <w:rtl/>
        </w:rPr>
        <w:t>דיינים</w:t>
      </w:r>
      <w:r w:rsidR="009C51F5" w:rsidRPr="00E95B67">
        <w:t xml:space="preserve">. It is evident from this </w:t>
      </w:r>
      <w:r w:rsidR="009C51F5" w:rsidRPr="00E95B67">
        <w:rPr>
          <w:rFonts w:hint="cs"/>
          <w:rtl/>
        </w:rPr>
        <w:t>גמרא</w:t>
      </w:r>
      <w:r w:rsidR="009C51F5" w:rsidRPr="00E95B67">
        <w:t xml:space="preserve"> as well that there is no concern if there are two </w:t>
      </w:r>
      <w:r w:rsidR="009C51F5" w:rsidRPr="00E95B67">
        <w:rPr>
          <w:rFonts w:hint="cs"/>
          <w:rtl/>
        </w:rPr>
        <w:t>עדים</w:t>
      </w:r>
      <w:r w:rsidR="009C51F5" w:rsidRPr="00E95B67">
        <w:t xml:space="preserve">. The question remains why </w:t>
      </w:r>
      <w:r w:rsidR="00C21CB6" w:rsidRPr="00E95B67">
        <w:t>it says</w:t>
      </w:r>
      <w:r w:rsidR="008F7B05" w:rsidRPr="00E95B67">
        <w:t xml:space="preserve"> that by </w:t>
      </w:r>
      <w:r w:rsidR="008F7B05" w:rsidRPr="00E95B67">
        <w:rPr>
          <w:rFonts w:hint="cs"/>
          <w:rtl/>
        </w:rPr>
        <w:t>הרגנוהו לא ישא את אשתו</w:t>
      </w:r>
      <w:r w:rsidR="008F7B05" w:rsidRPr="00E95B67">
        <w:t>.</w:t>
      </w:r>
    </w:p>
    <w:p w:rsidR="00FC500B" w:rsidRPr="00E95B67" w:rsidRDefault="00FC500B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</w:p>
    <w:p w:rsidR="008F7B05" w:rsidRPr="00442553" w:rsidRDefault="008F7B05" w:rsidP="00442553">
      <w:pPr>
        <w:pStyle w:val="NormalWeb"/>
        <w:widowControl w:val="0"/>
        <w:spacing w:before="0" w:beforeAutospacing="0" w:after="0" w:afterAutospacing="0" w:line="276" w:lineRule="auto"/>
        <w:jc w:val="both"/>
        <w:rPr>
          <w:spacing w:val="-2"/>
        </w:rPr>
      </w:pPr>
      <w:r w:rsidRPr="00442553">
        <w:rPr>
          <w:rFonts w:hint="cs"/>
          <w:spacing w:val="-2"/>
          <w:rtl/>
        </w:rPr>
        <w:t>תוספות</w:t>
      </w:r>
      <w:r w:rsidRPr="00442553">
        <w:rPr>
          <w:spacing w:val="-2"/>
        </w:rPr>
        <w:t xml:space="preserve"> answers that the meaning of </w:t>
      </w:r>
      <w:r w:rsidRPr="00442553">
        <w:rPr>
          <w:rFonts w:hint="cs"/>
          <w:spacing w:val="-2"/>
          <w:rtl/>
        </w:rPr>
        <w:t>הרגנוהו</w:t>
      </w:r>
      <w:r w:rsidRPr="00442553">
        <w:rPr>
          <w:spacing w:val="-2"/>
        </w:rPr>
        <w:t xml:space="preserve"> is not that </w:t>
      </w:r>
      <w:r w:rsidRPr="00442553">
        <w:rPr>
          <w:rFonts w:hint="cs"/>
          <w:spacing w:val="-2"/>
          <w:rtl/>
        </w:rPr>
        <w:t>עדים</w:t>
      </w:r>
      <w:r w:rsidRPr="00442553">
        <w:rPr>
          <w:spacing w:val="-2"/>
        </w:rPr>
        <w:t xml:space="preserve"> are testifying that we killed him</w:t>
      </w:r>
      <w:r w:rsidR="00442553" w:rsidRPr="00442553">
        <w:rPr>
          <w:spacing w:val="-2"/>
        </w:rPr>
        <w:t xml:space="preserve"> -</w:t>
      </w:r>
      <w:r w:rsidRPr="00442553">
        <w:rPr>
          <w:spacing w:val="-2"/>
        </w:rPr>
        <w:t xml:space="preserve"> </w:t>
      </w:r>
    </w:p>
    <w:p w:rsidR="00CF7C42" w:rsidRPr="009F3303" w:rsidRDefault="00CF7C42" w:rsidP="0044451A">
      <w:pPr>
        <w:pStyle w:val="NormalWeb"/>
        <w:widowControl w:val="0"/>
        <w:bidi/>
        <w:spacing w:before="0" w:beforeAutospacing="0" w:after="0" w:afterAutospacing="0" w:line="276" w:lineRule="auto"/>
        <w:jc w:val="both"/>
        <w:rPr>
          <w:rFonts w:cs="David"/>
          <w:b/>
          <w:bCs/>
          <w:sz w:val="28"/>
          <w:szCs w:val="28"/>
        </w:rPr>
      </w:pPr>
      <w:r w:rsidRPr="009F3303">
        <w:rPr>
          <w:rFonts w:cs="David" w:hint="cs"/>
          <w:b/>
          <w:bCs/>
          <w:sz w:val="28"/>
          <w:szCs w:val="28"/>
          <w:rtl/>
        </w:rPr>
        <w:t>אלא כלומר שהרגו עם אנשים הרבה</w:t>
      </w:r>
      <w:r w:rsidR="0044451A">
        <w:rPr>
          <w:rFonts w:cs="David" w:hint="cs"/>
          <w:b/>
          <w:bCs/>
          <w:sz w:val="28"/>
          <w:szCs w:val="28"/>
          <w:rtl/>
        </w:rPr>
        <w:t>:</w:t>
      </w:r>
    </w:p>
    <w:p w:rsidR="008F7B05" w:rsidRPr="00E95B67" w:rsidRDefault="008F7B05" w:rsidP="00442553">
      <w:pPr>
        <w:pStyle w:val="NormalWeb"/>
        <w:widowControl w:val="0"/>
        <w:spacing w:before="0" w:beforeAutospacing="0" w:after="0" w:afterAutospacing="0" w:line="276" w:lineRule="auto"/>
        <w:jc w:val="both"/>
      </w:pPr>
      <w:r>
        <w:rPr>
          <w:rFonts w:cs="Aharoni"/>
          <w:b/>
          <w:bCs/>
          <w:sz w:val="28"/>
          <w:szCs w:val="28"/>
        </w:rPr>
        <w:t xml:space="preserve">But rather it means </w:t>
      </w:r>
      <w:r>
        <w:rPr>
          <w:rFonts w:cs="Aharoni"/>
          <w:sz w:val="28"/>
          <w:szCs w:val="28"/>
        </w:rPr>
        <w:t xml:space="preserve">that one </w:t>
      </w:r>
      <w:r>
        <w:rPr>
          <w:rFonts w:hint="cs"/>
          <w:sz w:val="28"/>
          <w:szCs w:val="28"/>
          <w:rtl/>
        </w:rPr>
        <w:t>עד</w:t>
      </w:r>
      <w:r>
        <w:rPr>
          <w:sz w:val="28"/>
          <w:szCs w:val="28"/>
        </w:rPr>
        <w:t xml:space="preserve"> is testifying that </w:t>
      </w:r>
      <w:r>
        <w:rPr>
          <w:b/>
          <w:bCs/>
          <w:sz w:val="28"/>
          <w:szCs w:val="28"/>
        </w:rPr>
        <w:t>he killed him together with many people;</w:t>
      </w:r>
      <w:r>
        <w:rPr>
          <w:sz w:val="28"/>
          <w:szCs w:val="28"/>
        </w:rPr>
        <w:t xml:space="preserve"> </w:t>
      </w:r>
      <w:r w:rsidRPr="00E95B67">
        <w:t xml:space="preserve">the </w:t>
      </w:r>
      <w:r w:rsidRPr="00E95B67">
        <w:rPr>
          <w:rFonts w:hint="cs"/>
          <w:rtl/>
        </w:rPr>
        <w:t>עד</w:t>
      </w:r>
      <w:r w:rsidRPr="00E95B67">
        <w:t xml:space="preserve"> with many others killed her husband. Since there is only one </w:t>
      </w:r>
      <w:r w:rsidRPr="00E95B67">
        <w:rPr>
          <w:rFonts w:hint="cs"/>
          <w:rtl/>
        </w:rPr>
        <w:t>עד</w:t>
      </w:r>
      <w:r w:rsidRPr="00E95B67">
        <w:t xml:space="preserve"> who is</w:t>
      </w:r>
      <w:r w:rsidR="005906D3" w:rsidRPr="00E95B67">
        <w:t xml:space="preserve"> testifying concerning the death</w:t>
      </w:r>
      <w:r w:rsidR="00E44A7F">
        <w:t>,</w:t>
      </w:r>
      <w:r w:rsidR="005906D3" w:rsidRPr="00E95B67">
        <w:t xml:space="preserve"> and no one is supporting him, therefore there is a suspicion of an ulterior motive, and he may not marry the widow.</w:t>
      </w:r>
      <w:r w:rsidRPr="00E95B67">
        <w:t xml:space="preserve"> </w:t>
      </w:r>
    </w:p>
    <w:p w:rsidR="00D80DE2" w:rsidRDefault="00D80DE2" w:rsidP="00442553">
      <w:pPr>
        <w:widowControl w:val="0"/>
        <w:bidi/>
        <w:spacing w:line="276" w:lineRule="auto"/>
        <w:rPr>
          <w:sz w:val="24"/>
          <w:szCs w:val="24"/>
        </w:rPr>
      </w:pPr>
    </w:p>
    <w:p w:rsidR="00E95B67" w:rsidRPr="00D72E30" w:rsidRDefault="00E95B67" w:rsidP="00442553">
      <w:pPr>
        <w:widowControl w:val="0"/>
        <w:spacing w:line="276" w:lineRule="auto"/>
        <w:rPr>
          <w:rFonts w:ascii="Copperplate Gothic Bold" w:hAnsi="Copperplate Gothic Bold"/>
          <w:u w:val="double"/>
        </w:rPr>
      </w:pPr>
      <w:r w:rsidRPr="00D72E30">
        <w:rPr>
          <w:rFonts w:ascii="Copperplate Gothic Bold" w:hAnsi="Copperplate Gothic Bold"/>
          <w:u w:val="double"/>
        </w:rPr>
        <w:t>Summary</w:t>
      </w:r>
    </w:p>
    <w:p w:rsidR="00E95B67" w:rsidRDefault="00E95B67" w:rsidP="00442553">
      <w:pPr>
        <w:widowControl w:val="0"/>
        <w:spacing w:line="276" w:lineRule="auto"/>
        <w:rPr>
          <w:rFonts w:hint="cs"/>
          <w:rtl/>
          <w:lang w:bidi="he-IL"/>
        </w:rPr>
      </w:pPr>
      <w:r>
        <w:t xml:space="preserve">There is no </w:t>
      </w:r>
      <w:r>
        <w:rPr>
          <w:rFonts w:hint="cs"/>
          <w:rtl/>
          <w:lang w:bidi="he-IL"/>
        </w:rPr>
        <w:t>חשד</w:t>
      </w:r>
      <w:r>
        <w:rPr>
          <w:lang w:bidi="he-IL"/>
        </w:rPr>
        <w:t xml:space="preserve"> on an </w:t>
      </w:r>
      <w:r>
        <w:rPr>
          <w:rFonts w:hint="cs"/>
          <w:rtl/>
          <w:lang w:bidi="he-IL"/>
        </w:rPr>
        <w:t>עד אחד</w:t>
      </w:r>
      <w:r>
        <w:rPr>
          <w:lang w:bidi="he-IL"/>
        </w:rPr>
        <w:t xml:space="preserve">, when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</w:t>
      </w:r>
      <w:r>
        <w:rPr>
          <w:rFonts w:hint="cs"/>
          <w:rtl/>
          <w:lang w:bidi="he-IL"/>
        </w:rPr>
        <w:t>מעיד</w:t>
      </w:r>
      <w:r>
        <w:rPr>
          <w:lang w:bidi="he-IL"/>
        </w:rPr>
        <w:t>.</w:t>
      </w:r>
    </w:p>
    <w:p w:rsidR="00D72E30" w:rsidRPr="009F3303" w:rsidRDefault="00D72E30" w:rsidP="00442553">
      <w:pPr>
        <w:widowControl w:val="0"/>
        <w:spacing w:line="276" w:lineRule="auto"/>
        <w:rPr>
          <w:sz w:val="24"/>
          <w:szCs w:val="24"/>
          <w:lang w:bidi="he-IL"/>
        </w:rPr>
      </w:pPr>
    </w:p>
    <w:p w:rsidR="00E95B67" w:rsidRPr="00D72E30" w:rsidRDefault="00E95B67" w:rsidP="00442553">
      <w:pPr>
        <w:widowControl w:val="0"/>
        <w:spacing w:line="276" w:lineRule="auto"/>
        <w:rPr>
          <w:rFonts w:ascii="Copperplate Gothic Bold" w:hAnsi="Copperplate Gothic Bold"/>
          <w:u w:val="double"/>
          <w:lang w:bidi="he-IL"/>
        </w:rPr>
      </w:pPr>
      <w:r w:rsidRPr="00D72E30">
        <w:rPr>
          <w:rFonts w:ascii="Copperplate Gothic Bold" w:hAnsi="Copperplate Gothic Bold"/>
          <w:u w:val="double"/>
          <w:lang w:bidi="he-IL"/>
        </w:rPr>
        <w:t>Thinking it over</w:t>
      </w:r>
    </w:p>
    <w:p w:rsidR="00E95B67" w:rsidRDefault="00097314" w:rsidP="00442553">
      <w:pPr>
        <w:widowControl w:val="0"/>
        <w:spacing w:line="276" w:lineRule="auto"/>
        <w:jc w:val="both"/>
        <w:rPr>
          <w:rFonts w:hint="cs"/>
          <w:rtl/>
          <w:lang w:bidi="he-IL"/>
        </w:rPr>
      </w:pPr>
      <w:r>
        <w:rPr>
          <w:lang w:bidi="he-IL"/>
        </w:rPr>
        <w:t xml:space="preserve">1. </w:t>
      </w:r>
      <w:r w:rsidR="005C2E90">
        <w:rPr>
          <w:lang w:bidi="he-IL"/>
        </w:rPr>
        <w:t xml:space="preserve">When two </w:t>
      </w:r>
      <w:r w:rsidR="005C2E90">
        <w:rPr>
          <w:rFonts w:hint="cs"/>
          <w:rtl/>
          <w:lang w:bidi="he-IL"/>
        </w:rPr>
        <w:t>עדים</w:t>
      </w:r>
      <w:r w:rsidR="005C2E90">
        <w:rPr>
          <w:lang w:bidi="he-IL"/>
        </w:rPr>
        <w:t xml:space="preserve"> testify that someone died, one of them is permitted to marry the widow.</w:t>
      </w:r>
      <w:r w:rsidR="006308E6">
        <w:rPr>
          <w:rStyle w:val="FootnoteReference"/>
          <w:lang w:bidi="he-IL"/>
        </w:rPr>
        <w:footnoteReference w:id="9"/>
      </w:r>
      <w:r w:rsidR="005C2E90">
        <w:rPr>
          <w:lang w:bidi="he-IL"/>
        </w:rPr>
        <w:t xml:space="preserve"> Is this because that even without the testimony of the marrying </w:t>
      </w:r>
      <w:r w:rsidR="005C2E90">
        <w:rPr>
          <w:rFonts w:hint="cs"/>
          <w:rtl/>
          <w:lang w:bidi="he-IL"/>
        </w:rPr>
        <w:t>עד</w:t>
      </w:r>
      <w:r w:rsidR="005C2E90">
        <w:rPr>
          <w:lang w:bidi="he-IL"/>
        </w:rPr>
        <w:t xml:space="preserve">, there is still one </w:t>
      </w:r>
      <w:r w:rsidR="005C2E90">
        <w:rPr>
          <w:rFonts w:hint="cs"/>
          <w:rtl/>
          <w:lang w:bidi="he-IL"/>
        </w:rPr>
        <w:t>עד</w:t>
      </w:r>
      <w:r w:rsidR="005C2E90">
        <w:rPr>
          <w:lang w:bidi="he-IL"/>
        </w:rPr>
        <w:t xml:space="preserve"> who is testifying that the husband died (and by </w:t>
      </w:r>
      <w:r w:rsidR="005C2E90">
        <w:rPr>
          <w:rFonts w:hint="cs"/>
          <w:rtl/>
          <w:lang w:bidi="he-IL"/>
        </w:rPr>
        <w:t>עיגונא</w:t>
      </w:r>
      <w:r w:rsidR="005C2E90">
        <w:rPr>
          <w:lang w:bidi="he-IL"/>
        </w:rPr>
        <w:t xml:space="preserve"> one </w:t>
      </w:r>
      <w:r w:rsidR="005C2E90">
        <w:rPr>
          <w:rFonts w:hint="cs"/>
          <w:rtl/>
          <w:lang w:bidi="he-IL"/>
        </w:rPr>
        <w:t>עד</w:t>
      </w:r>
      <w:r w:rsidR="005C2E90">
        <w:rPr>
          <w:lang w:bidi="he-IL"/>
        </w:rPr>
        <w:t xml:space="preserve"> is sufficient), or do we say that he may remarry because there are two </w:t>
      </w:r>
      <w:r w:rsidR="005C2E90">
        <w:rPr>
          <w:rFonts w:hint="cs"/>
          <w:rtl/>
          <w:lang w:bidi="he-IL"/>
        </w:rPr>
        <w:t>עדים</w:t>
      </w:r>
      <w:r w:rsidR="005C2E90">
        <w:rPr>
          <w:lang w:bidi="he-IL"/>
        </w:rPr>
        <w:t xml:space="preserve"> (including the marrying </w:t>
      </w:r>
      <w:r w:rsidR="005C2E90">
        <w:rPr>
          <w:rFonts w:hint="cs"/>
          <w:rtl/>
          <w:lang w:bidi="he-IL"/>
        </w:rPr>
        <w:t>עד</w:t>
      </w:r>
      <w:r w:rsidR="005C2E90">
        <w:rPr>
          <w:lang w:bidi="he-IL"/>
        </w:rPr>
        <w:t>) who testify that the husband is dead?</w:t>
      </w:r>
      <w:r w:rsidR="005C2E90">
        <w:rPr>
          <w:rStyle w:val="FootnoteReference"/>
          <w:lang w:bidi="he-IL"/>
        </w:rPr>
        <w:footnoteReference w:id="10"/>
      </w:r>
    </w:p>
    <w:p w:rsidR="00097314" w:rsidRDefault="00097314" w:rsidP="00442553">
      <w:pPr>
        <w:widowControl w:val="0"/>
        <w:spacing w:line="276" w:lineRule="auto"/>
        <w:jc w:val="both"/>
        <w:rPr>
          <w:rFonts w:hint="cs"/>
          <w:rtl/>
          <w:lang w:bidi="he-IL"/>
        </w:rPr>
      </w:pPr>
    </w:p>
    <w:p w:rsidR="00097314" w:rsidRPr="00E95B67" w:rsidRDefault="00097314" w:rsidP="00442553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2. How can we even assume that if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testified that the husband is dead</w:t>
      </w:r>
      <w:r w:rsidR="008A5FED">
        <w:rPr>
          <w:lang w:bidi="he-IL"/>
        </w:rPr>
        <w:t>,</w:t>
      </w:r>
      <w:r>
        <w:rPr>
          <w:lang w:bidi="he-IL"/>
        </w:rPr>
        <w:t xml:space="preserve"> </w:t>
      </w:r>
      <w:r w:rsidR="008A5FED">
        <w:rPr>
          <w:lang w:bidi="he-IL"/>
        </w:rPr>
        <w:t>n</w:t>
      </w:r>
      <w:r>
        <w:rPr>
          <w:lang w:bidi="he-IL"/>
        </w:rPr>
        <w:t>either of them is permitted to marry the wife</w:t>
      </w:r>
      <w:r w:rsidR="008A5FED">
        <w:rPr>
          <w:lang w:bidi="he-IL"/>
        </w:rPr>
        <w:t>;</w:t>
      </w:r>
      <w:r w:rsidR="008A5FED">
        <w:rPr>
          <w:rStyle w:val="FootnoteReference"/>
          <w:lang w:bidi="he-IL"/>
        </w:rPr>
        <w:footnoteReference w:id="11"/>
      </w:r>
      <w:r>
        <w:rPr>
          <w:lang w:bidi="he-IL"/>
        </w:rPr>
        <w:t xml:space="preserve"> since she is permitted to marry based on the testimony of only one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, the other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may marry her because she is no longer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, based on the testimony of the other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>?!</w:t>
      </w:r>
      <w:r>
        <w:rPr>
          <w:rStyle w:val="FootnoteReference"/>
          <w:lang w:bidi="he-IL"/>
        </w:rPr>
        <w:footnoteReference w:id="12"/>
      </w:r>
    </w:p>
    <w:sectPr w:rsidR="00097314" w:rsidRPr="00E95B67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9E2" w:rsidRDefault="005219E2">
      <w:r>
        <w:separator/>
      </w:r>
    </w:p>
  </w:endnote>
  <w:endnote w:type="continuationSeparator" w:id="0">
    <w:p w:rsidR="005219E2" w:rsidRDefault="0052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90" w:rsidRDefault="005E0A90" w:rsidP="002D07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0A90" w:rsidRDefault="005E0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E30" w:rsidRDefault="00D72E30">
    <w:pPr>
      <w:pStyle w:val="Footer"/>
      <w:jc w:val="center"/>
      <w:rPr>
        <w:noProof/>
        <w:sz w:val="16"/>
        <w:szCs w:val="16"/>
      </w:rPr>
    </w:pPr>
    <w:r w:rsidRPr="00D72E30">
      <w:rPr>
        <w:sz w:val="20"/>
        <w:szCs w:val="20"/>
      </w:rPr>
      <w:fldChar w:fldCharType="begin"/>
    </w:r>
    <w:r w:rsidRPr="00D72E30">
      <w:rPr>
        <w:sz w:val="20"/>
        <w:szCs w:val="20"/>
      </w:rPr>
      <w:instrText xml:space="preserve"> PAGE   \* MERGEFORMAT </w:instrText>
    </w:r>
    <w:r w:rsidRPr="00D72E30">
      <w:rPr>
        <w:sz w:val="20"/>
        <w:szCs w:val="20"/>
      </w:rPr>
      <w:fldChar w:fldCharType="separate"/>
    </w:r>
    <w:r w:rsidR="00303238">
      <w:rPr>
        <w:noProof/>
        <w:sz w:val="20"/>
        <w:szCs w:val="20"/>
      </w:rPr>
      <w:t>3</w:t>
    </w:r>
    <w:r w:rsidRPr="00D72E30">
      <w:rPr>
        <w:noProof/>
        <w:sz w:val="20"/>
        <w:szCs w:val="20"/>
      </w:rPr>
      <w:fldChar w:fldCharType="end"/>
    </w:r>
  </w:p>
  <w:p w:rsidR="00D72E30" w:rsidRPr="00D72E30" w:rsidRDefault="00D72E30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ToosfosInEnglish.com</w:t>
    </w:r>
  </w:p>
  <w:p w:rsidR="005E0A90" w:rsidRPr="005C2E90" w:rsidRDefault="005E0A90" w:rsidP="005C2E90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9E2" w:rsidRDefault="005219E2">
      <w:r>
        <w:separator/>
      </w:r>
    </w:p>
  </w:footnote>
  <w:footnote w:type="continuationSeparator" w:id="0">
    <w:p w:rsidR="005219E2" w:rsidRDefault="005219E2">
      <w:r>
        <w:continuationSeparator/>
      </w:r>
    </w:p>
  </w:footnote>
  <w:footnote w:id="1">
    <w:p w:rsidR="005E0A90" w:rsidRDefault="005E0A90" w:rsidP="00442553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There is a concern that he is testifying that the husband died in order to marry his </w:t>
      </w:r>
      <w:r w:rsidR="00D72E30">
        <w:t xml:space="preserve">purported </w:t>
      </w:r>
      <w:r>
        <w:t>widow.</w:t>
      </w:r>
    </w:p>
  </w:footnote>
  <w:footnote w:id="2">
    <w:p w:rsidR="008A5FED" w:rsidRDefault="008A5FED" w:rsidP="00442553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This is referring </w:t>
      </w:r>
      <w:r w:rsidR="006308E6">
        <w:t xml:space="preserve">to a case </w:t>
      </w:r>
      <w:r>
        <w:t xml:space="preserve">where (only) one of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may be suspect of ulterior motives. </w:t>
      </w:r>
      <w:r>
        <w:t xml:space="preserve">It is obvious that if we can ascribe ulterior motives to both witnesses that they are </w:t>
      </w:r>
      <w:r>
        <w:rPr>
          <w:rFonts w:hint="cs"/>
          <w:rtl/>
          <w:lang w:bidi="he-IL"/>
        </w:rPr>
        <w:t>פסול לעדות</w:t>
      </w:r>
      <w:r>
        <w:rPr>
          <w:lang w:bidi="he-IL"/>
        </w:rPr>
        <w:t xml:space="preserve">, for they are </w:t>
      </w:r>
      <w:r>
        <w:rPr>
          <w:rFonts w:hint="cs"/>
          <w:rtl/>
          <w:lang w:bidi="he-IL"/>
        </w:rPr>
        <w:t>נוגעין בעדותן</w:t>
      </w:r>
      <w:r>
        <w:rPr>
          <w:lang w:bidi="he-IL"/>
        </w:rPr>
        <w:t xml:space="preserve">. </w:t>
      </w:r>
    </w:p>
  </w:footnote>
  <w:footnote w:id="3">
    <w:p w:rsidR="005E0A90" w:rsidRDefault="005E0A90" w:rsidP="0044255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a rule that </w:t>
      </w:r>
      <w:r>
        <w:rPr>
          <w:rFonts w:hint="cs"/>
          <w:rtl/>
          <w:lang w:bidi="he-IL"/>
        </w:rPr>
        <w:t>אין אדם חוטא ולא לו</w:t>
      </w:r>
      <w:r>
        <w:rPr>
          <w:lang w:bidi="he-IL"/>
        </w:rPr>
        <w:t xml:space="preserve">; a person does not sin unless it benefits him. Only one person can marry this widow. We do not suspect that two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lied in order that one of them should marry the widow. See ‘Thinking it over’</w:t>
      </w:r>
      <w:r w:rsidR="00097314">
        <w:rPr>
          <w:lang w:bidi="he-IL"/>
        </w:rPr>
        <w:t xml:space="preserve"> # 1 &amp; 2</w:t>
      </w:r>
      <w:r>
        <w:rPr>
          <w:lang w:bidi="he-IL"/>
        </w:rPr>
        <w:t>.</w:t>
      </w:r>
    </w:p>
  </w:footnote>
  <w:footnote w:id="4">
    <w:p w:rsidR="005E0A90" w:rsidRDefault="005E0A90" w:rsidP="0044255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כד,א</w:t>
      </w:r>
      <w:r>
        <w:rPr>
          <w:lang w:bidi="he-IL"/>
        </w:rPr>
        <w:t>.</w:t>
      </w:r>
    </w:p>
  </w:footnote>
  <w:footnote w:id="5">
    <w:p w:rsidR="006308E6" w:rsidRDefault="006308E6" w:rsidP="006308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ראובן ושמעון</w:t>
      </w:r>
      <w:r>
        <w:rPr>
          <w:lang w:bidi="he-IL"/>
        </w:rPr>
        <w:t xml:space="preserve"> testify the </w:t>
      </w:r>
      <w:r>
        <w:rPr>
          <w:rFonts w:hint="cs"/>
          <w:rtl/>
          <w:lang w:bidi="he-IL"/>
        </w:rPr>
        <w:t>לוי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לוי ושמעון</w:t>
      </w:r>
      <w:r>
        <w:rPr>
          <w:lang w:bidi="he-IL"/>
        </w:rPr>
        <w:t xml:space="preserve"> testify that </w:t>
      </w:r>
      <w:r>
        <w:rPr>
          <w:rFonts w:hint="cs"/>
          <w:rtl/>
          <w:lang w:bidi="he-IL"/>
        </w:rPr>
        <w:t>ראובן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כשר</w:t>
      </w:r>
      <w:r>
        <w:rPr>
          <w:lang w:bidi="he-IL"/>
        </w:rPr>
        <w:t xml:space="preserve">, they are believed for </w:t>
      </w:r>
      <w:r>
        <w:rPr>
          <w:rFonts w:hint="cs"/>
          <w:rtl/>
          <w:lang w:bidi="he-IL"/>
        </w:rPr>
        <w:t>שמעון</w:t>
      </w:r>
      <w:r>
        <w:rPr>
          <w:lang w:bidi="he-IL"/>
        </w:rPr>
        <w:t xml:space="preserve"> has no benefit from this </w:t>
      </w:r>
      <w:r>
        <w:rPr>
          <w:rFonts w:hint="cs"/>
          <w:rtl/>
          <w:lang w:bidi="he-IL"/>
        </w:rPr>
        <w:t>עדות</w:t>
      </w:r>
      <w:r>
        <w:rPr>
          <w:lang w:bidi="he-IL"/>
        </w:rPr>
        <w:t>; no one is testifying on his behalf.</w:t>
      </w:r>
    </w:p>
  </w:footnote>
  <w:footnote w:id="6">
    <w:p w:rsidR="009F3303" w:rsidRDefault="009F3303" w:rsidP="006308E6">
      <w:pPr>
        <w:pStyle w:val="FootnoteText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A girl who is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 and has no father may be married off </w:t>
      </w:r>
      <w:r>
        <w:rPr>
          <w:rFonts w:hint="cs"/>
          <w:rtl/>
          <w:lang w:bidi="he-IL"/>
        </w:rPr>
        <w:t>(מדרבנן)</w:t>
      </w:r>
      <w:r>
        <w:rPr>
          <w:lang w:bidi="he-IL"/>
        </w:rPr>
        <w:t xml:space="preserve"> by her brothers or mother. However she has the option of rejecting her husband (as long as she is a </w:t>
      </w:r>
      <w:r>
        <w:rPr>
          <w:rFonts w:hint="cs"/>
          <w:rtl/>
          <w:lang w:bidi="he-IL"/>
        </w:rPr>
        <w:t>קטנה</w:t>
      </w:r>
      <w:r>
        <w:rPr>
          <w:lang w:bidi="he-IL"/>
        </w:rPr>
        <w:t xml:space="preserve">). This rejection process is called </w:t>
      </w:r>
      <w:r>
        <w:rPr>
          <w:rFonts w:hint="cs"/>
          <w:rtl/>
          <w:lang w:bidi="he-IL"/>
        </w:rPr>
        <w:t>'מיאון'</w:t>
      </w:r>
      <w:r>
        <w:rPr>
          <w:lang w:bidi="he-IL"/>
        </w:rPr>
        <w:t>.</w:t>
      </w:r>
    </w:p>
  </w:footnote>
  <w:footnote w:id="7">
    <w:p w:rsidR="009F3303" w:rsidRPr="009F3303" w:rsidRDefault="009F3303" w:rsidP="00442553">
      <w:pPr>
        <w:pStyle w:val="FootnoteText"/>
        <w:spacing w:line="264" w:lineRule="auto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גיטין סז,א</w:t>
      </w:r>
      <w:r>
        <w:rPr>
          <w:lang w:bidi="he-IL"/>
        </w:rPr>
        <w:t xml:space="preserve">. The gloss in </w:t>
      </w:r>
      <w:r>
        <w:rPr>
          <w:rFonts w:hint="cs"/>
          <w:rtl/>
          <w:lang w:bidi="he-IL"/>
        </w:rPr>
        <w:t>יבמות</w:t>
      </w:r>
      <w:r>
        <w:rPr>
          <w:lang w:bidi="he-IL"/>
        </w:rPr>
        <w:t xml:space="preserve"> notes that it is a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>.</w:t>
      </w:r>
    </w:p>
  </w:footnote>
  <w:footnote w:id="8">
    <w:p w:rsidR="005E0A90" w:rsidRDefault="005E0A90" w:rsidP="00442553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Perhaps one of the witnesses wants to ultimately buy this field from the purchaser on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, or he wants to marry the divorcee. We reject this concern, and permit an </w:t>
      </w:r>
      <w:r>
        <w:rPr>
          <w:rFonts w:hint="cs"/>
          <w:rtl/>
          <w:lang w:bidi="he-IL"/>
        </w:rPr>
        <w:t>עד</w:t>
      </w:r>
      <w:r>
        <w:rPr>
          <w:lang w:bidi="he-IL"/>
        </w:rPr>
        <w:t xml:space="preserve"> to buy the field or to marry the </w:t>
      </w:r>
      <w:r>
        <w:rPr>
          <w:rFonts w:hint="cs"/>
          <w:rtl/>
          <w:lang w:bidi="he-IL"/>
        </w:rPr>
        <w:t>גרושה</w:t>
      </w:r>
      <w:r>
        <w:rPr>
          <w:lang w:bidi="he-IL"/>
        </w:rPr>
        <w:t>.</w:t>
      </w:r>
    </w:p>
  </w:footnote>
  <w:footnote w:id="9">
    <w:p w:rsidR="006308E6" w:rsidRDefault="006308E6" w:rsidP="006308E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0">
    <w:p w:rsidR="005E0A90" w:rsidRDefault="005E0A90" w:rsidP="006308E6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משכנות הרועים אות תרנה</w:t>
      </w:r>
      <w:r>
        <w:rPr>
          <w:lang w:bidi="he-IL"/>
        </w:rPr>
        <w:t>.</w:t>
      </w:r>
    </w:p>
  </w:footnote>
  <w:footnote w:id="11">
    <w:p w:rsidR="008A5FED" w:rsidRDefault="008A5FED" w:rsidP="006308E6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3.</w:t>
      </w:r>
    </w:p>
  </w:footnote>
  <w:footnote w:id="12">
    <w:p w:rsidR="00097314" w:rsidRDefault="00097314" w:rsidP="006308E6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בית יעקב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רע"א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A90" w:rsidRPr="005C2E90" w:rsidRDefault="005E0A90" w:rsidP="005C2E90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כב,ב תוס' ד"ה כגון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7C42"/>
    <w:rsid w:val="00097314"/>
    <w:rsid w:val="000E5A9D"/>
    <w:rsid w:val="0018488D"/>
    <w:rsid w:val="00184D2E"/>
    <w:rsid w:val="0020216B"/>
    <w:rsid w:val="0020392E"/>
    <w:rsid w:val="00210A1E"/>
    <w:rsid w:val="00284B83"/>
    <w:rsid w:val="002A5344"/>
    <w:rsid w:val="002D0775"/>
    <w:rsid w:val="002F72AF"/>
    <w:rsid w:val="00303238"/>
    <w:rsid w:val="00337507"/>
    <w:rsid w:val="003F6705"/>
    <w:rsid w:val="00442553"/>
    <w:rsid w:val="0044451A"/>
    <w:rsid w:val="0048350D"/>
    <w:rsid w:val="004D2D21"/>
    <w:rsid w:val="005219E2"/>
    <w:rsid w:val="00525DAE"/>
    <w:rsid w:val="005906D3"/>
    <w:rsid w:val="005C2E90"/>
    <w:rsid w:val="005E0A90"/>
    <w:rsid w:val="006308E6"/>
    <w:rsid w:val="00690337"/>
    <w:rsid w:val="00726152"/>
    <w:rsid w:val="007552E7"/>
    <w:rsid w:val="007656AC"/>
    <w:rsid w:val="00816504"/>
    <w:rsid w:val="0089054C"/>
    <w:rsid w:val="008A5FED"/>
    <w:rsid w:val="008E0CED"/>
    <w:rsid w:val="008F7B05"/>
    <w:rsid w:val="00992456"/>
    <w:rsid w:val="009B53E9"/>
    <w:rsid w:val="009C51F5"/>
    <w:rsid w:val="009F3303"/>
    <w:rsid w:val="00A00BA1"/>
    <w:rsid w:val="00B913C6"/>
    <w:rsid w:val="00C12597"/>
    <w:rsid w:val="00C21CB6"/>
    <w:rsid w:val="00C30DE9"/>
    <w:rsid w:val="00CF7C42"/>
    <w:rsid w:val="00D049F4"/>
    <w:rsid w:val="00D54370"/>
    <w:rsid w:val="00D72E30"/>
    <w:rsid w:val="00D80DE2"/>
    <w:rsid w:val="00E364B4"/>
    <w:rsid w:val="00E44A7F"/>
    <w:rsid w:val="00E869C1"/>
    <w:rsid w:val="00E86CB9"/>
    <w:rsid w:val="00E95B67"/>
    <w:rsid w:val="00ED342F"/>
    <w:rsid w:val="00F03F51"/>
    <w:rsid w:val="00FA4500"/>
    <w:rsid w:val="00FC500B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2C8F4E-14EF-4DE7-9A85-C85F3FB0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rginnote">
    <w:name w:val="margin note"/>
    <w:basedOn w:val="Normal"/>
    <w:autoRedefine/>
    <w:rsid w:val="00816504"/>
    <w:pPr>
      <w:jc w:val="both"/>
    </w:pPr>
    <w:rPr>
      <w:rFonts w:cs="David"/>
      <w:i/>
      <w:iCs/>
      <w:sz w:val="20"/>
      <w:szCs w:val="20"/>
      <w:lang w:bidi="he-IL"/>
    </w:rPr>
  </w:style>
  <w:style w:type="paragraph" w:styleId="NormalWeb">
    <w:name w:val="Normal (Web)"/>
    <w:basedOn w:val="Normal"/>
    <w:rsid w:val="00CF7C42"/>
    <w:pPr>
      <w:spacing w:before="100" w:beforeAutospacing="1" w:after="100" w:afterAutospacing="1"/>
    </w:pPr>
    <w:rPr>
      <w:sz w:val="24"/>
      <w:szCs w:val="24"/>
      <w:lang w:bidi="he-IL"/>
    </w:rPr>
  </w:style>
  <w:style w:type="paragraph" w:styleId="FootnoteText">
    <w:name w:val="footnote text"/>
    <w:basedOn w:val="Normal"/>
    <w:semiHidden/>
    <w:rsid w:val="0020392E"/>
    <w:rPr>
      <w:sz w:val="20"/>
      <w:szCs w:val="20"/>
    </w:rPr>
  </w:style>
  <w:style w:type="character" w:styleId="FootnoteReference">
    <w:name w:val="footnote reference"/>
    <w:semiHidden/>
    <w:rsid w:val="0020392E"/>
    <w:rPr>
      <w:vertAlign w:val="superscript"/>
    </w:rPr>
  </w:style>
  <w:style w:type="paragraph" w:styleId="Footer">
    <w:name w:val="footer"/>
    <w:basedOn w:val="Normal"/>
    <w:link w:val="FooterChar"/>
    <w:uiPriority w:val="99"/>
    <w:rsid w:val="005C2E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C2E90"/>
  </w:style>
  <w:style w:type="paragraph" w:styleId="Header">
    <w:name w:val="header"/>
    <w:basedOn w:val="Normal"/>
    <w:rsid w:val="005C2E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72E30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כגון שניסת לאחד מעדיה</vt:lpstr>
    </vt:vector>
  </TitlesOfParts>
  <Company> </Company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כגון שניסת לאחד מעדיה</dc:title>
  <dc:subject/>
  <dc:creator> </dc:creator>
  <cp:keywords/>
  <dc:description/>
  <cp:lastModifiedBy>Microsoft account</cp:lastModifiedBy>
  <cp:revision>2</cp:revision>
  <cp:lastPrinted>2008-12-15T18:44:00Z</cp:lastPrinted>
  <dcterms:created xsi:type="dcterms:W3CDTF">2022-04-05T10:52:00Z</dcterms:created>
  <dcterms:modified xsi:type="dcterms:W3CDTF">2022-04-05T10:52:00Z</dcterms:modified>
</cp:coreProperties>
</file>