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3B" w:rsidRDefault="006C2037" w:rsidP="0066209A">
      <w:pPr>
        <w:widowControl w:val="0"/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 w:rsidRPr="0027183B">
        <w:rPr>
          <w:rFonts w:hint="cs"/>
          <w:b/>
          <w:bCs/>
          <w:sz w:val="36"/>
          <w:szCs w:val="36"/>
          <w:rtl/>
        </w:rPr>
        <w:t>מאן</w:t>
      </w:r>
      <w:r>
        <w:rPr>
          <w:rFonts w:hint="cs"/>
          <w:rtl/>
        </w:rPr>
        <w:t xml:space="preserve"> </w:t>
      </w:r>
      <w:r w:rsidRPr="0027183B">
        <w:rPr>
          <w:rFonts w:hint="cs"/>
          <w:b/>
          <w:bCs/>
          <w:sz w:val="32"/>
          <w:szCs w:val="32"/>
          <w:rtl/>
        </w:rPr>
        <w:t>דמתני לה ארישא כל שכן אסיפא</w:t>
      </w:r>
      <w:r w:rsidR="0027183B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27183B">
        <w:rPr>
          <w:b/>
          <w:bCs/>
          <w:sz w:val="32"/>
          <w:szCs w:val="32"/>
          <w:rtl/>
          <w:lang w:bidi="he-IL"/>
        </w:rPr>
        <w:t>–</w:t>
      </w:r>
    </w:p>
    <w:p w:rsidR="0027183B" w:rsidRPr="0027183B" w:rsidRDefault="0027183B" w:rsidP="0066209A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rFonts w:hint="cs"/>
          <w:b/>
          <w:bCs/>
          <w:sz w:val="32"/>
          <w:szCs w:val="32"/>
          <w:lang w:bidi="he-IL"/>
        </w:rPr>
        <w:t>H</w:t>
      </w:r>
      <w:r>
        <w:rPr>
          <w:b/>
          <w:bCs/>
          <w:sz w:val="32"/>
          <w:szCs w:val="32"/>
          <w:lang w:bidi="he-IL"/>
        </w:rPr>
        <w:t xml:space="preserve">e, who applies it to the </w:t>
      </w:r>
      <w:r>
        <w:rPr>
          <w:rFonts w:hint="cs"/>
          <w:b/>
          <w:bCs/>
          <w:sz w:val="32"/>
          <w:szCs w:val="32"/>
          <w:rtl/>
          <w:lang w:bidi="he-IL"/>
        </w:rPr>
        <w:t>רישא</w:t>
      </w:r>
      <w:r>
        <w:rPr>
          <w:b/>
          <w:bCs/>
          <w:sz w:val="32"/>
          <w:szCs w:val="32"/>
          <w:lang w:bidi="he-IL"/>
        </w:rPr>
        <w:t xml:space="preserve">, certainly </w:t>
      </w:r>
      <w:r>
        <w:rPr>
          <w:sz w:val="32"/>
          <w:szCs w:val="32"/>
          <w:lang w:bidi="he-IL"/>
        </w:rPr>
        <w:t xml:space="preserve">applies it </w:t>
      </w:r>
      <w:r>
        <w:rPr>
          <w:b/>
          <w:bCs/>
          <w:sz w:val="32"/>
          <w:szCs w:val="32"/>
          <w:lang w:bidi="he-IL"/>
        </w:rPr>
        <w:t xml:space="preserve">to the </w:t>
      </w:r>
      <w:r>
        <w:rPr>
          <w:rFonts w:hint="cs"/>
          <w:b/>
          <w:bCs/>
          <w:sz w:val="32"/>
          <w:szCs w:val="32"/>
          <w:rtl/>
          <w:lang w:bidi="he-IL"/>
        </w:rPr>
        <w:t>סיפא</w:t>
      </w:r>
    </w:p>
    <w:p w:rsidR="0027183B" w:rsidRDefault="0027183B" w:rsidP="0066209A">
      <w:pPr>
        <w:widowControl w:val="0"/>
        <w:bidi/>
        <w:spacing w:line="276" w:lineRule="auto"/>
        <w:jc w:val="both"/>
        <w:rPr>
          <w:b/>
          <w:bCs/>
          <w:sz w:val="24"/>
          <w:szCs w:val="24"/>
        </w:rPr>
      </w:pPr>
    </w:p>
    <w:p w:rsidR="0027183B" w:rsidRPr="00645C55" w:rsidRDefault="00EE6614" w:rsidP="0066209A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</w:rPr>
      </w:pPr>
      <w:r w:rsidRPr="00645C55">
        <w:rPr>
          <w:rFonts w:ascii="Copperplate Gothic Bold" w:hAnsi="Copperplate Gothic Bold"/>
          <w:u w:val="double"/>
        </w:rPr>
        <w:t>Overview</w:t>
      </w:r>
    </w:p>
    <w:p w:rsidR="00EE6614" w:rsidRPr="00EE6614" w:rsidRDefault="00EE6614" w:rsidP="0066209A">
      <w:pPr>
        <w:widowControl w:val="0"/>
        <w:spacing w:line="276" w:lineRule="auto"/>
        <w:jc w:val="both"/>
        <w:rPr>
          <w:lang w:bidi="he-IL"/>
        </w:rPr>
      </w:pPr>
      <w: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stated two case</w:t>
      </w:r>
      <w:r w:rsidR="00BD0670">
        <w:rPr>
          <w:lang w:bidi="he-IL"/>
        </w:rPr>
        <w:t>s</w:t>
      </w:r>
      <w:r w:rsidR="00C26BDD">
        <w:rPr>
          <w:lang w:bidi="he-IL"/>
        </w:rPr>
        <w:t>,</w:t>
      </w:r>
      <w:r>
        <w:rPr>
          <w:lang w:bidi="he-IL"/>
        </w:rPr>
        <w:t xml:space="preserve"> </w:t>
      </w:r>
      <w:r w:rsidR="007266D2">
        <w:rPr>
          <w:lang w:bidi="he-IL"/>
        </w:rPr>
        <w:t xml:space="preserve">one </w:t>
      </w:r>
      <w:r>
        <w:rPr>
          <w:lang w:bidi="he-IL"/>
        </w:rPr>
        <w:t xml:space="preserve">by an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 xml:space="preserve"> and</w:t>
      </w:r>
      <w:r w:rsidR="00AD304A">
        <w:rPr>
          <w:lang w:bidi="he-IL"/>
        </w:rPr>
        <w:t xml:space="preserve"> </w:t>
      </w:r>
      <w:r w:rsidR="007266D2">
        <w:rPr>
          <w:lang w:bidi="he-IL"/>
        </w:rPr>
        <w:t xml:space="preserve">one </w:t>
      </w:r>
      <w:r w:rsidR="00AD304A">
        <w:rPr>
          <w:lang w:bidi="he-IL"/>
        </w:rPr>
        <w:t>by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שבויה</w:t>
      </w:r>
      <w:r w:rsidR="00BD0670">
        <w:rPr>
          <w:lang w:bidi="he-IL"/>
        </w:rPr>
        <w:t>, that if the woma</w:t>
      </w:r>
      <w:r>
        <w:rPr>
          <w:lang w:bidi="he-IL"/>
        </w:rPr>
        <w:t xml:space="preserve">n testified (and there were no </w:t>
      </w:r>
      <w:r>
        <w:rPr>
          <w:rFonts w:hint="cs"/>
          <w:rtl/>
          <w:lang w:bidi="he-IL"/>
        </w:rPr>
        <w:t>עדים</w:t>
      </w:r>
      <w:r w:rsidR="00BD0670">
        <w:rPr>
          <w:lang w:bidi="he-IL"/>
        </w:rPr>
        <w:t>) that she was</w:t>
      </w:r>
      <w:r>
        <w:rPr>
          <w:lang w:bidi="he-IL"/>
        </w:rPr>
        <w:t xml:space="preserve"> </w:t>
      </w:r>
      <w:r w:rsidR="00BD0670">
        <w:rPr>
          <w:lang w:bidi="he-IL"/>
        </w:rPr>
        <w:t xml:space="preserve">married and divorced, or </w:t>
      </w:r>
      <w:r w:rsidR="00BD0670">
        <w:rPr>
          <w:rFonts w:hint="cs"/>
          <w:rtl/>
          <w:lang w:bidi="he-IL"/>
        </w:rPr>
        <w:t>נשבית</w:t>
      </w:r>
      <w:r w:rsidR="00C26BDD">
        <w:rPr>
          <w:rFonts w:hint="cs"/>
          <w:rtl/>
          <w:lang w:bidi="he-IL"/>
        </w:rPr>
        <w:t>י</w:t>
      </w:r>
      <w:r w:rsidR="00BD0670">
        <w:rPr>
          <w:rFonts w:hint="cs"/>
          <w:rtl/>
          <w:lang w:bidi="he-IL"/>
        </w:rPr>
        <w:t xml:space="preserve"> וטהורה</w:t>
      </w:r>
      <w:r w:rsidR="00BD0670">
        <w:rPr>
          <w:lang w:bidi="he-IL"/>
        </w:rPr>
        <w:t xml:space="preserve"> she is believed [but not if there are </w:t>
      </w:r>
      <w:r w:rsidR="00BD0670">
        <w:rPr>
          <w:rFonts w:hint="cs"/>
          <w:rtl/>
          <w:lang w:bidi="he-IL"/>
        </w:rPr>
        <w:t>עדים</w:t>
      </w:r>
      <w:r w:rsidR="00BD0670">
        <w:rPr>
          <w:lang w:bidi="he-IL"/>
        </w:rPr>
        <w:t xml:space="preserve"> that she was married or </w:t>
      </w:r>
      <w:r w:rsidR="00BD0670">
        <w:rPr>
          <w:rFonts w:hint="cs"/>
          <w:rtl/>
          <w:lang w:bidi="he-IL"/>
        </w:rPr>
        <w:t>נשבית</w:t>
      </w:r>
      <w:r w:rsidR="00BD0670">
        <w:rPr>
          <w:lang w:bidi="he-IL"/>
        </w:rPr>
        <w:t xml:space="preserve">]. The </w:t>
      </w:r>
      <w:r w:rsidR="00BD0670">
        <w:rPr>
          <w:rFonts w:hint="cs"/>
          <w:rtl/>
          <w:lang w:bidi="he-IL"/>
        </w:rPr>
        <w:t>משנה</w:t>
      </w:r>
      <w:r w:rsidR="00BD0670">
        <w:rPr>
          <w:lang w:bidi="he-IL"/>
        </w:rPr>
        <w:t xml:space="preserve"> concludes that if the </w:t>
      </w:r>
      <w:r w:rsidR="00BD0670">
        <w:rPr>
          <w:rFonts w:hint="cs"/>
          <w:rtl/>
          <w:lang w:bidi="he-IL"/>
        </w:rPr>
        <w:t>עדים</w:t>
      </w:r>
      <w:r w:rsidR="00483C8E">
        <w:rPr>
          <w:lang w:bidi="he-IL"/>
        </w:rPr>
        <w:t xml:space="preserve"> came </w:t>
      </w:r>
      <w:r w:rsidR="00BD0670">
        <w:rPr>
          <w:lang w:bidi="he-IL"/>
        </w:rPr>
        <w:t>after she remarried</w:t>
      </w:r>
      <w:r w:rsidR="00483C8E">
        <w:rPr>
          <w:lang w:bidi="he-IL"/>
        </w:rPr>
        <w:t>,</w:t>
      </w:r>
      <w:r w:rsidR="00BD0670">
        <w:rPr>
          <w:lang w:bidi="he-IL"/>
        </w:rPr>
        <w:t xml:space="preserve"> the rule is </w:t>
      </w:r>
      <w:r w:rsidR="00BD0670">
        <w:rPr>
          <w:rFonts w:hint="cs"/>
          <w:rtl/>
          <w:lang w:bidi="he-IL"/>
        </w:rPr>
        <w:t>לא תצא</w:t>
      </w:r>
      <w:r w:rsidR="00BD0670">
        <w:rPr>
          <w:lang w:bidi="he-IL"/>
        </w:rPr>
        <w:t xml:space="preserve">. It is not clear if this rule applies to both cases (of </w:t>
      </w:r>
      <w:r w:rsidR="00BD0670">
        <w:rPr>
          <w:rFonts w:hint="cs"/>
          <w:rtl/>
          <w:lang w:bidi="he-IL"/>
        </w:rPr>
        <w:t>א"א</w:t>
      </w:r>
      <w:r w:rsidR="00BD0670">
        <w:rPr>
          <w:lang w:bidi="he-IL"/>
        </w:rPr>
        <w:t xml:space="preserve"> and </w:t>
      </w:r>
      <w:r w:rsidR="00BD0670">
        <w:rPr>
          <w:rFonts w:hint="cs"/>
          <w:rtl/>
          <w:lang w:bidi="he-IL"/>
        </w:rPr>
        <w:t>שבויה</w:t>
      </w:r>
      <w:r w:rsidR="00BD0670">
        <w:rPr>
          <w:lang w:bidi="he-IL"/>
        </w:rPr>
        <w:t xml:space="preserve"> or not). The </w:t>
      </w:r>
      <w:r w:rsidR="00BD0670">
        <w:rPr>
          <w:rFonts w:hint="cs"/>
          <w:rtl/>
          <w:lang w:bidi="he-IL"/>
        </w:rPr>
        <w:t>גמרא</w:t>
      </w:r>
      <w:r w:rsidR="00BD0670">
        <w:rPr>
          <w:lang w:bidi="he-IL"/>
        </w:rPr>
        <w:t xml:space="preserve"> states </w:t>
      </w:r>
      <w:r w:rsidR="00483C8E">
        <w:rPr>
          <w:lang w:bidi="he-IL"/>
        </w:rPr>
        <w:t>that whoever maintains that thi</w:t>
      </w:r>
      <w:r w:rsidR="00BD0670">
        <w:rPr>
          <w:lang w:bidi="he-IL"/>
        </w:rPr>
        <w:t xml:space="preserve">s rule of </w:t>
      </w:r>
      <w:r w:rsidR="00BD0670">
        <w:rPr>
          <w:rFonts w:hint="cs"/>
          <w:rtl/>
          <w:lang w:bidi="he-IL"/>
        </w:rPr>
        <w:t>לא תצא</w:t>
      </w:r>
      <w:r w:rsidR="00BD0670">
        <w:rPr>
          <w:lang w:bidi="he-IL"/>
        </w:rPr>
        <w:t xml:space="preserve"> applies by </w:t>
      </w:r>
      <w:r w:rsidR="00BD0670">
        <w:rPr>
          <w:rFonts w:hint="cs"/>
          <w:rtl/>
          <w:lang w:bidi="he-IL"/>
        </w:rPr>
        <w:t>א"א</w:t>
      </w:r>
      <w:r w:rsidR="00BD0670">
        <w:rPr>
          <w:lang w:bidi="he-IL"/>
        </w:rPr>
        <w:t xml:space="preserve"> will certainly maintain that it applies by </w:t>
      </w:r>
      <w:r w:rsidR="00BD0670">
        <w:rPr>
          <w:rFonts w:hint="cs"/>
          <w:rtl/>
          <w:lang w:bidi="he-IL"/>
        </w:rPr>
        <w:t>שבויה</w:t>
      </w:r>
      <w:r w:rsidR="00BD0670">
        <w:rPr>
          <w:lang w:bidi="he-IL"/>
        </w:rPr>
        <w:t xml:space="preserve">, for by a </w:t>
      </w:r>
      <w:r w:rsidR="00BD0670">
        <w:rPr>
          <w:rFonts w:hint="cs"/>
          <w:rtl/>
          <w:lang w:bidi="he-IL"/>
        </w:rPr>
        <w:t>שבויה</w:t>
      </w:r>
      <w:r w:rsidR="00BD0670">
        <w:rPr>
          <w:lang w:bidi="he-IL"/>
        </w:rPr>
        <w:t xml:space="preserve"> (where the entire prohibition of a </w:t>
      </w:r>
      <w:r w:rsidR="00BD0670">
        <w:rPr>
          <w:rFonts w:hint="cs"/>
          <w:rtl/>
          <w:lang w:bidi="he-IL"/>
        </w:rPr>
        <w:t>שבויה</w:t>
      </w:r>
      <w:r w:rsidR="00BD0670">
        <w:rPr>
          <w:lang w:bidi="he-IL"/>
        </w:rPr>
        <w:t xml:space="preserve"> to a </w:t>
      </w:r>
      <w:r w:rsidR="00BD0670">
        <w:rPr>
          <w:rFonts w:hint="cs"/>
          <w:rtl/>
          <w:lang w:bidi="he-IL"/>
        </w:rPr>
        <w:t>כהן</w:t>
      </w:r>
      <w:r w:rsidR="00BD0670">
        <w:rPr>
          <w:lang w:bidi="he-IL"/>
        </w:rPr>
        <w:t xml:space="preserve"> is </w:t>
      </w:r>
      <w:r w:rsidR="00BD0670">
        <w:rPr>
          <w:rFonts w:hint="cs"/>
          <w:rtl/>
          <w:lang w:bidi="he-IL"/>
        </w:rPr>
        <w:t>מדרבנן</w:t>
      </w:r>
      <w:r w:rsidR="00BD0670">
        <w:rPr>
          <w:lang w:bidi="he-IL"/>
        </w:rPr>
        <w:t xml:space="preserve">), the </w:t>
      </w:r>
      <w:r w:rsidR="00BD0670">
        <w:rPr>
          <w:rFonts w:hint="cs"/>
          <w:rtl/>
          <w:lang w:bidi="he-IL"/>
        </w:rPr>
        <w:t>חכמים</w:t>
      </w:r>
      <w:r w:rsidR="00BD0670">
        <w:rPr>
          <w:lang w:bidi="he-IL"/>
        </w:rPr>
        <w:t xml:space="preserve"> were lenient.</w:t>
      </w:r>
      <w:r w:rsidR="00483C8E">
        <w:rPr>
          <w:lang w:bidi="he-IL"/>
        </w:rPr>
        <w:t xml:space="preserve"> </w:t>
      </w:r>
      <w:r w:rsidR="00483C8E">
        <w:rPr>
          <w:rFonts w:hint="cs"/>
          <w:rtl/>
          <w:lang w:bidi="he-IL"/>
        </w:rPr>
        <w:t>תוספות</w:t>
      </w:r>
      <w:r w:rsidR="00483C8E">
        <w:rPr>
          <w:lang w:bidi="he-IL"/>
        </w:rPr>
        <w:t xml:space="preserve"> challenges this assumption that the ruling of </w:t>
      </w:r>
      <w:r w:rsidR="00483C8E">
        <w:rPr>
          <w:rFonts w:hint="cs"/>
          <w:rtl/>
          <w:lang w:bidi="he-IL"/>
        </w:rPr>
        <w:t>אם משנשאת באו עדים לא תצא</w:t>
      </w:r>
      <w:r w:rsidR="00483C8E">
        <w:rPr>
          <w:lang w:bidi="he-IL"/>
        </w:rPr>
        <w:t xml:space="preserve"> applies to the </w:t>
      </w:r>
      <w:r w:rsidR="00483C8E">
        <w:rPr>
          <w:rFonts w:hint="cs"/>
          <w:rtl/>
          <w:lang w:bidi="he-IL"/>
        </w:rPr>
        <w:t>סיפא</w:t>
      </w:r>
      <w:r w:rsidR="00483C8E">
        <w:rPr>
          <w:lang w:bidi="he-IL"/>
        </w:rPr>
        <w:t xml:space="preserve"> (of </w:t>
      </w:r>
      <w:r w:rsidR="00483C8E">
        <w:rPr>
          <w:rFonts w:hint="cs"/>
          <w:rtl/>
          <w:lang w:bidi="he-IL"/>
        </w:rPr>
        <w:t>שבויה</w:t>
      </w:r>
      <w:r w:rsidR="00483C8E">
        <w:rPr>
          <w:lang w:bidi="he-IL"/>
        </w:rPr>
        <w:t xml:space="preserve">) if it applies to the </w:t>
      </w:r>
      <w:r w:rsidR="00483C8E">
        <w:rPr>
          <w:rFonts w:hint="cs"/>
          <w:rtl/>
          <w:lang w:bidi="he-IL"/>
        </w:rPr>
        <w:t>רישא</w:t>
      </w:r>
      <w:r w:rsidR="00483C8E">
        <w:rPr>
          <w:lang w:bidi="he-IL"/>
        </w:rPr>
        <w:t xml:space="preserve"> (of </w:t>
      </w:r>
      <w:r w:rsidR="00483C8E">
        <w:rPr>
          <w:rFonts w:hint="cs"/>
          <w:rtl/>
          <w:lang w:bidi="he-IL"/>
        </w:rPr>
        <w:t>א"א</w:t>
      </w:r>
      <w:r w:rsidR="00483C8E">
        <w:rPr>
          <w:lang w:bidi="he-IL"/>
        </w:rPr>
        <w:t>).</w:t>
      </w:r>
      <w:r w:rsidR="00BD0670">
        <w:rPr>
          <w:lang w:bidi="he-IL"/>
        </w:rPr>
        <w:t xml:space="preserve"> </w:t>
      </w:r>
      <w:r w:rsidR="00C26BDD">
        <w:rPr>
          <w:lang w:bidi="he-IL"/>
        </w:rPr>
        <w:t xml:space="preserve">Perhaps in the case of </w:t>
      </w:r>
      <w:r w:rsidR="00C26BDD">
        <w:rPr>
          <w:rFonts w:hint="cs"/>
          <w:rtl/>
          <w:lang w:bidi="he-IL"/>
        </w:rPr>
        <w:t>שבויה</w:t>
      </w:r>
      <w:r w:rsidR="00C26BDD">
        <w:rPr>
          <w:lang w:bidi="he-IL"/>
        </w:rPr>
        <w:t xml:space="preserve"> we are even more lenient that by </w:t>
      </w:r>
      <w:r w:rsidR="00C26BDD">
        <w:rPr>
          <w:rFonts w:hint="cs"/>
          <w:rtl/>
          <w:lang w:bidi="he-IL"/>
        </w:rPr>
        <w:t>א"א</w:t>
      </w:r>
      <w:r w:rsidR="00C26BDD">
        <w:rPr>
          <w:lang w:bidi="he-IL"/>
        </w:rPr>
        <w:t>.</w:t>
      </w:r>
    </w:p>
    <w:p w:rsidR="0027183B" w:rsidRPr="00C26BDD" w:rsidRDefault="00C26BDD" w:rsidP="0066209A">
      <w:pPr>
        <w:widowControl w:val="0"/>
        <w:spacing w:line="276" w:lineRule="auto"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</w:t>
      </w:r>
    </w:p>
    <w:p w:rsidR="00056AAA" w:rsidRPr="00056AAA" w:rsidRDefault="00056AAA" w:rsidP="0066209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66209A" w:rsidRDefault="006C2037" w:rsidP="0066209A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6209A">
        <w:rPr>
          <w:rFonts w:cs="David" w:hint="cs"/>
          <w:b/>
          <w:bCs/>
          <w:rtl/>
        </w:rPr>
        <w:t>וא</w:t>
      </w:r>
      <w:r w:rsidR="0027183B" w:rsidRPr="0066209A">
        <w:rPr>
          <w:rFonts w:cs="David" w:hint="cs"/>
          <w:b/>
          <w:bCs/>
          <w:rtl/>
          <w:lang w:bidi="he-IL"/>
        </w:rPr>
        <w:t xml:space="preserve">ם </w:t>
      </w:r>
      <w:r w:rsidRPr="0066209A">
        <w:rPr>
          <w:rFonts w:cs="David" w:hint="cs"/>
          <w:b/>
          <w:bCs/>
          <w:rtl/>
        </w:rPr>
        <w:t>ת</w:t>
      </w:r>
      <w:r w:rsidR="0027183B" w:rsidRPr="0066209A">
        <w:rPr>
          <w:rFonts w:cs="David" w:hint="cs"/>
          <w:b/>
          <w:bCs/>
          <w:rtl/>
          <w:lang w:bidi="he-IL"/>
        </w:rPr>
        <w:t>אמר</w:t>
      </w:r>
      <w:r w:rsidRPr="0066209A">
        <w:rPr>
          <w:rFonts w:cs="David" w:hint="cs"/>
          <w:b/>
          <w:bCs/>
          <w:rtl/>
        </w:rPr>
        <w:t xml:space="preserve"> מנא ליה </w:t>
      </w:r>
      <w:r w:rsidR="0066209A">
        <w:rPr>
          <w:rFonts w:cs="David" w:hint="cs"/>
          <w:b/>
          <w:bCs/>
          <w:rtl/>
          <w:lang w:bidi="he-IL"/>
        </w:rPr>
        <w:t>-</w:t>
      </w:r>
    </w:p>
    <w:p w:rsidR="0066209A" w:rsidRPr="0066209A" w:rsidRDefault="0066209A" w:rsidP="0066209A">
      <w:pPr>
        <w:widowControl w:val="0"/>
        <w:spacing w:line="276" w:lineRule="auto"/>
        <w:jc w:val="both"/>
        <w:rPr>
          <w:rFonts w:cs="David"/>
          <w:b/>
          <w:bCs/>
          <w:sz w:val="24"/>
          <w:szCs w:val="24"/>
          <w:lang w:bidi="he-IL"/>
        </w:rPr>
      </w:pPr>
      <w:r>
        <w:rPr>
          <w:b/>
          <w:bCs/>
        </w:rPr>
        <w:t xml:space="preserve">And if you will ask, how does </w:t>
      </w:r>
      <w: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assume </w:t>
      </w:r>
      <w:r w:rsidRPr="0066209A">
        <w:rPr>
          <w:sz w:val="24"/>
          <w:szCs w:val="24"/>
          <w:lang w:bidi="he-IL"/>
        </w:rPr>
        <w:t xml:space="preserve">that </w:t>
      </w:r>
      <w:r w:rsidRPr="0066209A">
        <w:rPr>
          <w:rFonts w:hint="cs"/>
          <w:sz w:val="24"/>
          <w:szCs w:val="24"/>
          <w:rtl/>
          <w:lang w:bidi="he-IL"/>
        </w:rPr>
        <w:t>מאן דמתני ארישא כ"ש אסיפא</w:t>
      </w:r>
      <w:r>
        <w:rPr>
          <w:sz w:val="24"/>
          <w:szCs w:val="24"/>
          <w:lang w:bidi="he-IL"/>
        </w:rPr>
        <w:t xml:space="preserve"> -</w:t>
      </w:r>
    </w:p>
    <w:p w:rsidR="00056AAA" w:rsidRPr="0066209A" w:rsidRDefault="006C2037" w:rsidP="0066209A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6209A">
        <w:rPr>
          <w:rFonts w:cs="David" w:hint="cs"/>
          <w:b/>
          <w:bCs/>
          <w:rtl/>
        </w:rPr>
        <w:t>דלמא אסיפא לא מצי קאי</w:t>
      </w:r>
      <w:r w:rsidR="0066209A">
        <w:rPr>
          <w:rStyle w:val="FootnoteReference"/>
          <w:rFonts w:cs="David"/>
          <w:b/>
          <w:bCs/>
          <w:rtl/>
        </w:rPr>
        <w:footnoteReference w:id="1"/>
      </w:r>
      <w:r w:rsidRPr="0066209A">
        <w:rPr>
          <w:rFonts w:cs="David" w:hint="cs"/>
          <w:b/>
          <w:bCs/>
          <w:rtl/>
        </w:rPr>
        <w:t xml:space="preserve"> דאפי</w:t>
      </w:r>
      <w:r w:rsidR="0027183B" w:rsidRPr="0066209A">
        <w:rPr>
          <w:rFonts w:cs="David" w:hint="cs"/>
          <w:b/>
          <w:bCs/>
          <w:rtl/>
          <w:lang w:bidi="he-IL"/>
        </w:rPr>
        <w:t>לו</w:t>
      </w:r>
      <w:r w:rsidRPr="0066209A">
        <w:rPr>
          <w:rFonts w:cs="David" w:hint="cs"/>
          <w:b/>
          <w:bCs/>
          <w:rtl/>
        </w:rPr>
        <w:t xml:space="preserve"> באו עדים ואחר כך נשאת</w:t>
      </w:r>
      <w:r w:rsidR="0066209A">
        <w:rPr>
          <w:rStyle w:val="FootnoteReference"/>
          <w:rFonts w:cs="David"/>
          <w:b/>
          <w:bCs/>
          <w:rtl/>
        </w:rPr>
        <w:footnoteReference w:id="2"/>
      </w:r>
      <w:r w:rsidRPr="0066209A">
        <w:rPr>
          <w:rFonts w:cs="David" w:hint="cs"/>
          <w:b/>
          <w:bCs/>
          <w:rtl/>
        </w:rPr>
        <w:t xml:space="preserve"> לא תצא</w:t>
      </w:r>
      <w:r w:rsidR="00F81DE6" w:rsidRPr="0066209A">
        <w:rPr>
          <w:rStyle w:val="FootnoteReference"/>
          <w:rFonts w:cs="David"/>
          <w:b/>
          <w:bCs/>
          <w:rtl/>
        </w:rPr>
        <w:footnoteReference w:id="3"/>
      </w:r>
      <w:r w:rsidR="0027183B" w:rsidRPr="0066209A">
        <w:rPr>
          <w:rFonts w:cs="David" w:hint="cs"/>
          <w:b/>
          <w:bCs/>
          <w:rtl/>
          <w:lang w:bidi="he-IL"/>
        </w:rPr>
        <w:t xml:space="preserve"> -</w:t>
      </w:r>
    </w:p>
    <w:p w:rsidR="00056AAA" w:rsidRPr="00C26BDD" w:rsidRDefault="0066209A" w:rsidP="0066209A">
      <w:pPr>
        <w:widowControl w:val="0"/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>P</w:t>
      </w:r>
      <w:r w:rsidR="00056AAA">
        <w:rPr>
          <w:b/>
          <w:bCs/>
          <w:lang w:bidi="he-IL"/>
        </w:rPr>
        <w:t xml:space="preserve">erhaps </w:t>
      </w:r>
      <w:r w:rsidR="00056AAA">
        <w:rPr>
          <w:lang w:bidi="he-IL"/>
        </w:rPr>
        <w:t xml:space="preserve">the rule of </w:t>
      </w:r>
      <w:r w:rsidR="00056AAA">
        <w:rPr>
          <w:rFonts w:hint="cs"/>
          <w:rtl/>
          <w:lang w:bidi="he-IL"/>
        </w:rPr>
        <w:t>אם משנשאת באו עדים לא תצא</w:t>
      </w:r>
      <w:r w:rsidR="00056AAA">
        <w:rPr>
          <w:lang w:bidi="he-IL"/>
        </w:rPr>
        <w:t xml:space="preserve">, </w:t>
      </w:r>
      <w:r w:rsidR="00056AAA">
        <w:rPr>
          <w:b/>
          <w:bCs/>
          <w:lang w:bidi="he-IL"/>
        </w:rPr>
        <w:t xml:space="preserve">cannot apply in the </w:t>
      </w:r>
      <w:r w:rsidR="00056AAA">
        <w:rPr>
          <w:rFonts w:hint="cs"/>
          <w:b/>
          <w:bCs/>
          <w:rtl/>
          <w:lang w:bidi="he-IL"/>
        </w:rPr>
        <w:t>סיפא</w:t>
      </w:r>
      <w:r w:rsidR="00056AAA">
        <w:rPr>
          <w:b/>
          <w:bCs/>
          <w:lang w:bidi="he-IL"/>
        </w:rPr>
        <w:t xml:space="preserve">, </w:t>
      </w:r>
      <w:r w:rsidR="00056AAA">
        <w:rPr>
          <w:lang w:bidi="he-IL"/>
        </w:rPr>
        <w:t xml:space="preserve">for in the case </w:t>
      </w:r>
      <w:r w:rsidR="00907C6E">
        <w:rPr>
          <w:lang w:bidi="he-IL"/>
        </w:rPr>
        <w:t>of</w:t>
      </w:r>
      <w:r w:rsidR="00056AAA">
        <w:rPr>
          <w:lang w:bidi="he-IL"/>
        </w:rPr>
        <w:t xml:space="preserve"> </w:t>
      </w:r>
      <w:r w:rsidR="00056AAA">
        <w:rPr>
          <w:rFonts w:hint="cs"/>
          <w:rtl/>
          <w:lang w:bidi="he-IL"/>
        </w:rPr>
        <w:t>נשביתי</w:t>
      </w:r>
      <w:r w:rsidR="00907C6E">
        <w:rPr>
          <w:lang w:bidi="he-IL"/>
        </w:rPr>
        <w:t xml:space="preserve"> </w:t>
      </w:r>
      <w:r w:rsidR="00056AAA">
        <w:rPr>
          <w:lang w:bidi="he-IL"/>
        </w:rPr>
        <w:t xml:space="preserve">the rule </w:t>
      </w:r>
      <w:r w:rsidR="00EE6614">
        <w:rPr>
          <w:lang w:bidi="he-IL"/>
        </w:rPr>
        <w:t xml:space="preserve">may be </w:t>
      </w:r>
      <w:r w:rsidR="00056AAA">
        <w:rPr>
          <w:b/>
          <w:bCs/>
          <w:lang w:bidi="he-IL"/>
        </w:rPr>
        <w:t xml:space="preserve">that even if the </w:t>
      </w:r>
      <w:r w:rsidR="00056AAA">
        <w:rPr>
          <w:rFonts w:hint="cs"/>
          <w:b/>
          <w:bCs/>
          <w:rtl/>
          <w:lang w:bidi="he-IL"/>
        </w:rPr>
        <w:t>עדים</w:t>
      </w:r>
      <w:r w:rsidR="00056AAA">
        <w:rPr>
          <w:b/>
          <w:bCs/>
          <w:lang w:bidi="he-IL"/>
        </w:rPr>
        <w:t xml:space="preserve"> came </w:t>
      </w:r>
      <w:r w:rsidR="00056AAA">
        <w:rPr>
          <w:lang w:bidi="he-IL"/>
        </w:rPr>
        <w:t xml:space="preserve">first </w:t>
      </w:r>
      <w:r w:rsidR="00056AAA">
        <w:rPr>
          <w:b/>
          <w:bCs/>
          <w:lang w:bidi="he-IL"/>
        </w:rPr>
        <w:t xml:space="preserve">and then she married, </w:t>
      </w:r>
      <w:r w:rsidR="00056AAA">
        <w:rPr>
          <w:lang w:bidi="he-IL"/>
        </w:rPr>
        <w:t xml:space="preserve">nevertheless </w:t>
      </w:r>
      <w:r w:rsidR="00056AAA">
        <w:rPr>
          <w:b/>
          <w:bCs/>
          <w:lang w:bidi="he-IL"/>
        </w:rPr>
        <w:t xml:space="preserve">she </w:t>
      </w:r>
      <w:r w:rsidR="00056AAA">
        <w:rPr>
          <w:lang w:bidi="he-IL"/>
        </w:rPr>
        <w:t xml:space="preserve">is not required </w:t>
      </w:r>
      <w:r w:rsidR="00056AAA">
        <w:rPr>
          <w:b/>
          <w:bCs/>
          <w:lang w:bidi="he-IL"/>
        </w:rPr>
        <w:t xml:space="preserve">to leave </w:t>
      </w:r>
      <w:r w:rsidR="00056AAA" w:rsidRPr="00C26BDD">
        <w:rPr>
          <w:sz w:val="24"/>
          <w:szCs w:val="24"/>
          <w:lang w:bidi="he-IL"/>
        </w:rPr>
        <w:t>her husband</w:t>
      </w:r>
      <w:r w:rsidR="00907C6E" w:rsidRPr="00C26BDD">
        <w:rPr>
          <w:sz w:val="24"/>
          <w:szCs w:val="24"/>
          <w:lang w:bidi="he-IL"/>
        </w:rPr>
        <w:t xml:space="preserve"> (the </w:t>
      </w:r>
      <w:r w:rsidR="00907C6E" w:rsidRPr="00C26BDD">
        <w:rPr>
          <w:rFonts w:hint="cs"/>
          <w:sz w:val="24"/>
          <w:szCs w:val="24"/>
          <w:rtl/>
          <w:lang w:bidi="he-IL"/>
        </w:rPr>
        <w:t>כהן</w:t>
      </w:r>
      <w:r w:rsidR="00907C6E" w:rsidRPr="00C26BDD">
        <w:rPr>
          <w:sz w:val="24"/>
          <w:szCs w:val="24"/>
          <w:lang w:bidi="he-IL"/>
        </w:rPr>
        <w:t xml:space="preserve">), for by </w:t>
      </w:r>
      <w:r w:rsidR="00907C6E" w:rsidRPr="00C26BDD">
        <w:rPr>
          <w:rFonts w:hint="cs"/>
          <w:sz w:val="24"/>
          <w:szCs w:val="24"/>
          <w:rtl/>
          <w:lang w:bidi="he-IL"/>
        </w:rPr>
        <w:t>שבויה הקילו</w:t>
      </w:r>
      <w:r w:rsidR="00907C6E" w:rsidRPr="00C26BDD">
        <w:rPr>
          <w:sz w:val="24"/>
          <w:szCs w:val="24"/>
          <w:lang w:bidi="he-IL"/>
        </w:rPr>
        <w:t>.</w:t>
      </w:r>
    </w:p>
    <w:p w:rsidR="00907C6E" w:rsidRPr="00C26BDD" w:rsidRDefault="00907C6E" w:rsidP="0066209A">
      <w:pPr>
        <w:widowControl w:val="0"/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</w:p>
    <w:p w:rsidR="00907C6E" w:rsidRPr="00C26BDD" w:rsidRDefault="00907C6E" w:rsidP="0066209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C26BDD">
        <w:rPr>
          <w:rFonts w:hint="cs"/>
          <w:sz w:val="24"/>
          <w:szCs w:val="24"/>
          <w:rtl/>
          <w:lang w:bidi="he-IL"/>
        </w:rPr>
        <w:t>תוספות</w:t>
      </w:r>
      <w:r w:rsidRPr="00C26BDD">
        <w:rPr>
          <w:sz w:val="24"/>
          <w:szCs w:val="24"/>
          <w:lang w:bidi="he-IL"/>
        </w:rPr>
        <w:t xml:space="preserve"> answers:</w:t>
      </w:r>
    </w:p>
    <w:p w:rsidR="00D80DE2" w:rsidRPr="0066209A" w:rsidRDefault="006C2037" w:rsidP="0066209A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6209A">
        <w:rPr>
          <w:rFonts w:cs="David" w:hint="cs"/>
          <w:b/>
          <w:bCs/>
          <w:rtl/>
        </w:rPr>
        <w:t>ולמאי דמפרש בסמוך</w:t>
      </w:r>
      <w:r w:rsidR="00F81DE6" w:rsidRPr="0066209A">
        <w:rPr>
          <w:rStyle w:val="FootnoteReference"/>
          <w:rFonts w:cs="David"/>
          <w:b/>
          <w:bCs/>
          <w:rtl/>
        </w:rPr>
        <w:footnoteReference w:id="4"/>
      </w:r>
      <w:r w:rsidRPr="0066209A">
        <w:rPr>
          <w:rFonts w:cs="David" w:hint="cs"/>
          <w:b/>
          <w:bCs/>
          <w:rtl/>
        </w:rPr>
        <w:t xml:space="preserve"> לא ניסת ניסת ממש אתי שפיר</w:t>
      </w:r>
      <w:r w:rsidR="00907C6E" w:rsidRPr="0066209A">
        <w:rPr>
          <w:rFonts w:cs="David" w:hint="cs"/>
          <w:b/>
          <w:bCs/>
          <w:rtl/>
          <w:lang w:bidi="he-IL"/>
        </w:rPr>
        <w:t xml:space="preserve"> </w:t>
      </w:r>
      <w:r w:rsidR="0066209A">
        <w:rPr>
          <w:rFonts w:cs="David" w:hint="cs"/>
          <w:b/>
          <w:bCs/>
          <w:rtl/>
          <w:lang w:bidi="he-IL"/>
        </w:rPr>
        <w:t>-</w:t>
      </w:r>
    </w:p>
    <w:p w:rsidR="00907C6E" w:rsidRDefault="00907C6E" w:rsidP="0066209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907C6E">
        <w:rPr>
          <w:b/>
          <w:bCs/>
          <w:lang w:bidi="he-IL"/>
        </w:rPr>
        <w:t xml:space="preserve">And according to what </w:t>
      </w:r>
      <w:r w:rsidRPr="00907C6E"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="00F00A62">
        <w:rPr>
          <w:b/>
          <w:bCs/>
          <w:lang w:bidi="he-IL"/>
        </w:rPr>
        <w:t xml:space="preserve">will shortly explain </w:t>
      </w:r>
      <w:r w:rsidR="00F00A62">
        <w:rPr>
          <w:lang w:bidi="he-IL"/>
        </w:rPr>
        <w:t xml:space="preserve">that the term </w:t>
      </w:r>
      <w:r w:rsidR="00F00A62">
        <w:rPr>
          <w:rFonts w:hint="cs"/>
          <w:b/>
          <w:bCs/>
          <w:rtl/>
          <w:lang w:bidi="he-IL"/>
        </w:rPr>
        <w:t>ניסת</w:t>
      </w:r>
      <w:r w:rsidR="00F00A62">
        <w:rPr>
          <w:b/>
          <w:bCs/>
          <w:lang w:bidi="he-IL"/>
        </w:rPr>
        <w:t xml:space="preserve"> </w:t>
      </w:r>
      <w:r w:rsidR="00FB33A9">
        <w:rPr>
          <w:lang w:bidi="he-IL"/>
        </w:rPr>
        <w:t xml:space="preserve">(in the ruling of </w:t>
      </w:r>
      <w:r w:rsidR="00FB33A9">
        <w:rPr>
          <w:rFonts w:hint="cs"/>
          <w:rtl/>
          <w:lang w:bidi="he-IL"/>
        </w:rPr>
        <w:t>אם משנשאת באו עדים וכו'</w:t>
      </w:r>
      <w:r w:rsidR="00FB33A9">
        <w:rPr>
          <w:lang w:bidi="he-IL"/>
        </w:rPr>
        <w:t xml:space="preserve">) </w:t>
      </w:r>
      <w:r w:rsidR="00F00A62">
        <w:rPr>
          <w:b/>
          <w:bCs/>
          <w:lang w:bidi="he-IL"/>
        </w:rPr>
        <w:t xml:space="preserve">does not actually </w:t>
      </w:r>
      <w:r w:rsidR="00F00A62">
        <w:rPr>
          <w:lang w:bidi="he-IL"/>
        </w:rPr>
        <w:t xml:space="preserve">mean </w:t>
      </w:r>
      <w:r w:rsidR="00F00A62">
        <w:rPr>
          <w:rFonts w:hint="cs"/>
          <w:b/>
          <w:bCs/>
          <w:rtl/>
          <w:lang w:bidi="he-IL"/>
        </w:rPr>
        <w:t>ניסת</w:t>
      </w:r>
      <w:r w:rsidR="00F00A62">
        <w:rPr>
          <w:b/>
          <w:bCs/>
          <w:lang w:bidi="he-IL"/>
        </w:rPr>
        <w:t xml:space="preserve"> </w:t>
      </w:r>
      <w:r w:rsidR="00F00A62">
        <w:rPr>
          <w:lang w:bidi="he-IL"/>
        </w:rPr>
        <w:t>(but rather</w:t>
      </w:r>
      <w:r w:rsidR="00FB33A9">
        <w:rPr>
          <w:lang w:bidi="he-IL"/>
        </w:rPr>
        <w:t xml:space="preserve"> (even if)</w:t>
      </w:r>
      <w:r w:rsidR="00F00A62">
        <w:rPr>
          <w:lang w:bidi="he-IL"/>
        </w:rPr>
        <w:t xml:space="preserve"> </w:t>
      </w:r>
      <w:r w:rsidR="00F71DC8">
        <w:rPr>
          <w:rFonts w:hint="cs"/>
          <w:rtl/>
          <w:lang w:bidi="he-IL"/>
        </w:rPr>
        <w:t>בי"ד</w:t>
      </w:r>
      <w:r w:rsidR="00F71DC8">
        <w:rPr>
          <w:lang w:bidi="he-IL"/>
        </w:rPr>
        <w:t xml:space="preserve"> just permitted her to [re]marry</w:t>
      </w:r>
      <w:r w:rsidR="00F00A62">
        <w:rPr>
          <w:lang w:bidi="he-IL"/>
        </w:rPr>
        <w:t xml:space="preserve">), </w:t>
      </w:r>
      <w:r w:rsidR="00F00A62">
        <w:rPr>
          <w:b/>
          <w:bCs/>
          <w:lang w:bidi="he-IL"/>
        </w:rPr>
        <w:t xml:space="preserve">then it is properly </w:t>
      </w:r>
      <w:r w:rsidR="00F00A62" w:rsidRPr="00C26BDD">
        <w:rPr>
          <w:sz w:val="24"/>
          <w:szCs w:val="24"/>
          <w:lang w:bidi="he-IL"/>
        </w:rPr>
        <w:t xml:space="preserve">understood. There is no difference between </w:t>
      </w:r>
      <w:r w:rsidR="00F00A62" w:rsidRPr="00C26BDD">
        <w:rPr>
          <w:rFonts w:hint="cs"/>
          <w:sz w:val="24"/>
          <w:szCs w:val="24"/>
          <w:rtl/>
          <w:lang w:bidi="he-IL"/>
        </w:rPr>
        <w:t>שבויה</w:t>
      </w:r>
      <w:r w:rsidR="00F00A62" w:rsidRPr="00C26BDD">
        <w:rPr>
          <w:sz w:val="24"/>
          <w:szCs w:val="24"/>
          <w:lang w:bidi="he-IL"/>
        </w:rPr>
        <w:t xml:space="preserve"> and </w:t>
      </w:r>
      <w:r w:rsidR="00F00A62" w:rsidRPr="00C26BDD">
        <w:rPr>
          <w:rFonts w:hint="cs"/>
          <w:sz w:val="24"/>
          <w:szCs w:val="24"/>
          <w:rtl/>
          <w:lang w:bidi="he-IL"/>
        </w:rPr>
        <w:t>גרושה</w:t>
      </w:r>
      <w:r w:rsidR="00FB33A9">
        <w:rPr>
          <w:sz w:val="24"/>
          <w:szCs w:val="24"/>
          <w:lang w:bidi="he-IL"/>
        </w:rPr>
        <w:t>;</w:t>
      </w:r>
      <w:r w:rsidR="00F00A62" w:rsidRPr="00C26BDD">
        <w:rPr>
          <w:sz w:val="24"/>
          <w:szCs w:val="24"/>
          <w:lang w:bidi="he-IL"/>
        </w:rPr>
        <w:t xml:space="preserve"> in both cases if </w:t>
      </w:r>
      <w:r w:rsidR="00F00A62" w:rsidRPr="00C26BDD">
        <w:rPr>
          <w:rFonts w:hint="cs"/>
          <w:sz w:val="24"/>
          <w:szCs w:val="24"/>
          <w:rtl/>
          <w:lang w:bidi="he-IL"/>
        </w:rPr>
        <w:t>התירוה לינשא</w:t>
      </w:r>
      <w:r w:rsidR="00FB33A9">
        <w:rPr>
          <w:sz w:val="24"/>
          <w:szCs w:val="24"/>
          <w:lang w:bidi="he-IL"/>
        </w:rPr>
        <w:t>,</w:t>
      </w:r>
      <w:r w:rsidR="00F00A62" w:rsidRPr="00C26BDD">
        <w:rPr>
          <w:sz w:val="24"/>
          <w:szCs w:val="24"/>
          <w:lang w:bidi="he-IL"/>
        </w:rPr>
        <w:t xml:space="preserve"> she may </w:t>
      </w:r>
      <w:r w:rsidR="00F00A62" w:rsidRPr="00C26BDD">
        <w:rPr>
          <w:sz w:val="24"/>
          <w:szCs w:val="24"/>
          <w:lang w:bidi="he-IL"/>
        </w:rPr>
        <w:lastRenderedPageBreak/>
        <w:t>marr</w:t>
      </w:r>
      <w:r w:rsidR="008D5CCF">
        <w:rPr>
          <w:sz w:val="24"/>
          <w:szCs w:val="24"/>
          <w:lang w:bidi="he-IL"/>
        </w:rPr>
        <w:t>y</w:t>
      </w:r>
      <w:r w:rsidR="00EE6614" w:rsidRPr="00C26BDD">
        <w:rPr>
          <w:sz w:val="24"/>
          <w:szCs w:val="24"/>
          <w:lang w:bidi="he-IL"/>
        </w:rPr>
        <w:t xml:space="preserve"> (even if </w:t>
      </w:r>
      <w:r w:rsidR="00EE6614" w:rsidRPr="00C26BDD">
        <w:rPr>
          <w:rFonts w:hint="cs"/>
          <w:sz w:val="24"/>
          <w:szCs w:val="24"/>
          <w:rtl/>
          <w:lang w:bidi="he-IL"/>
        </w:rPr>
        <w:t xml:space="preserve">באו </w:t>
      </w:r>
      <w:r w:rsidR="00F71DC8" w:rsidRPr="00C26BDD">
        <w:rPr>
          <w:rFonts w:hint="cs"/>
          <w:sz w:val="24"/>
          <w:szCs w:val="24"/>
          <w:rtl/>
          <w:lang w:bidi="he-IL"/>
        </w:rPr>
        <w:t>עדים</w:t>
      </w:r>
      <w:r w:rsidR="00F71DC8">
        <w:rPr>
          <w:sz w:val="24"/>
          <w:szCs w:val="24"/>
          <w:lang w:bidi="he-IL"/>
        </w:rPr>
        <w:t xml:space="preserve"> before</w:t>
      </w:r>
      <w:r w:rsidR="008D5CCF">
        <w:rPr>
          <w:sz w:val="24"/>
          <w:szCs w:val="24"/>
          <w:lang w:bidi="he-IL"/>
        </w:rPr>
        <w:t xml:space="preserve"> she [re]marries</w:t>
      </w:r>
      <w:r w:rsidR="00EE6614" w:rsidRPr="00C26BDD">
        <w:rPr>
          <w:sz w:val="24"/>
          <w:szCs w:val="24"/>
          <w:lang w:bidi="he-IL"/>
        </w:rPr>
        <w:t>)</w:t>
      </w:r>
      <w:r w:rsidR="0066209A">
        <w:rPr>
          <w:rStyle w:val="FootnoteReference"/>
          <w:sz w:val="24"/>
          <w:szCs w:val="24"/>
          <w:lang w:bidi="he-IL"/>
        </w:rPr>
        <w:footnoteReference w:id="5"/>
      </w:r>
      <w:r w:rsidR="00EE6614" w:rsidRPr="00C26BDD">
        <w:rPr>
          <w:sz w:val="24"/>
          <w:szCs w:val="24"/>
          <w:lang w:bidi="he-IL"/>
        </w:rPr>
        <w:t>,</w:t>
      </w:r>
      <w:r w:rsidR="00F00A62" w:rsidRPr="00C26BDD">
        <w:rPr>
          <w:sz w:val="24"/>
          <w:szCs w:val="24"/>
          <w:lang w:bidi="he-IL"/>
        </w:rPr>
        <w:t xml:space="preserve"> and if </w:t>
      </w:r>
      <w:r w:rsidR="00F00A62" w:rsidRPr="00C26BDD">
        <w:rPr>
          <w:rFonts w:hint="cs"/>
          <w:sz w:val="24"/>
          <w:szCs w:val="24"/>
          <w:rtl/>
          <w:lang w:bidi="he-IL"/>
        </w:rPr>
        <w:t>לא התירוה</w:t>
      </w:r>
      <w:r w:rsidR="00EE6614" w:rsidRPr="00C26BDD">
        <w:rPr>
          <w:rFonts w:hint="cs"/>
          <w:sz w:val="24"/>
          <w:szCs w:val="24"/>
          <w:rtl/>
          <w:lang w:bidi="he-IL"/>
        </w:rPr>
        <w:t xml:space="preserve"> לינשא</w:t>
      </w:r>
      <w:r w:rsidR="00F00A62" w:rsidRPr="00C26BDD">
        <w:rPr>
          <w:sz w:val="24"/>
          <w:szCs w:val="24"/>
          <w:lang w:bidi="he-IL"/>
        </w:rPr>
        <w:t xml:space="preserve"> then the ruling is </w:t>
      </w:r>
      <w:r w:rsidR="00F00A62" w:rsidRPr="00C26BDD">
        <w:rPr>
          <w:rFonts w:hint="cs"/>
          <w:sz w:val="24"/>
          <w:szCs w:val="24"/>
          <w:rtl/>
          <w:lang w:bidi="he-IL"/>
        </w:rPr>
        <w:t>תצא</w:t>
      </w:r>
      <w:r w:rsidR="00F00A62" w:rsidRPr="00C26BDD">
        <w:rPr>
          <w:sz w:val="24"/>
          <w:szCs w:val="24"/>
          <w:lang w:bidi="he-IL"/>
        </w:rPr>
        <w:t xml:space="preserve"> in both cases</w:t>
      </w:r>
      <w:r w:rsidR="00F81DE6">
        <w:rPr>
          <w:sz w:val="24"/>
          <w:szCs w:val="24"/>
          <w:lang w:bidi="he-IL"/>
        </w:rPr>
        <w:t>.</w:t>
      </w:r>
      <w:r w:rsidR="00C26BDD">
        <w:rPr>
          <w:rStyle w:val="FootnoteReference"/>
          <w:sz w:val="24"/>
          <w:szCs w:val="24"/>
          <w:lang w:bidi="he-IL"/>
        </w:rPr>
        <w:footnoteReference w:id="6"/>
      </w:r>
    </w:p>
    <w:p w:rsidR="0061190E" w:rsidRDefault="0061190E" w:rsidP="0066209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61190E" w:rsidRPr="00F81DE6" w:rsidRDefault="00AD304A" w:rsidP="0066209A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81DE6">
        <w:rPr>
          <w:rFonts w:ascii="Copperplate Gothic Bold" w:hAnsi="Copperplate Gothic Bold"/>
          <w:u w:val="double"/>
          <w:lang w:bidi="he-IL"/>
        </w:rPr>
        <w:t>Summary</w:t>
      </w:r>
    </w:p>
    <w:p w:rsidR="00AD304A" w:rsidRPr="00AD304A" w:rsidRDefault="00AD304A" w:rsidP="0066209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If we assume that in a case of </w:t>
      </w:r>
      <w:r>
        <w:rPr>
          <w:rFonts w:hint="cs"/>
          <w:rtl/>
          <w:lang w:bidi="he-IL"/>
        </w:rPr>
        <w:t>א"א וגרושה אני</w:t>
      </w:r>
      <w:r>
        <w:rPr>
          <w:lang w:bidi="he-IL"/>
        </w:rPr>
        <w:t xml:space="preserve"> she is not permitted to </w:t>
      </w:r>
      <w:r w:rsidR="00143669">
        <w:rPr>
          <w:lang w:bidi="he-IL"/>
        </w:rPr>
        <w:t xml:space="preserve">remain </w:t>
      </w:r>
      <w:r>
        <w:rPr>
          <w:lang w:bidi="he-IL"/>
        </w:rPr>
        <w:t>marr</w:t>
      </w:r>
      <w:r w:rsidR="00143669">
        <w:rPr>
          <w:lang w:bidi="he-IL"/>
        </w:rPr>
        <w:t>ied if she remarried</w:t>
      </w:r>
      <w:r>
        <w:rPr>
          <w:lang w:bidi="he-IL"/>
        </w:rPr>
        <w:t xml:space="preserve"> after</w:t>
      </w:r>
      <w:r w:rsidR="00143669">
        <w:rPr>
          <w:lang w:bidi="he-IL"/>
        </w:rPr>
        <w:t xml:space="preserve"> the</w:t>
      </w:r>
      <w:r>
        <w:rPr>
          <w:lang w:bidi="he-IL"/>
        </w:rPr>
        <w:t xml:space="preserve"> </w:t>
      </w:r>
      <w:r w:rsidR="00143669">
        <w:rPr>
          <w:rFonts w:hint="cs"/>
          <w:rtl/>
          <w:lang w:bidi="he-IL"/>
        </w:rPr>
        <w:t>עדי אישות</w:t>
      </w:r>
      <w:r w:rsidR="00143669">
        <w:rPr>
          <w:lang w:bidi="he-IL"/>
        </w:rPr>
        <w:t xml:space="preserve"> came, we can still maintain that in a case of </w:t>
      </w:r>
      <w:r w:rsidR="00143669">
        <w:rPr>
          <w:rFonts w:hint="cs"/>
          <w:rtl/>
          <w:lang w:bidi="he-IL"/>
        </w:rPr>
        <w:t>נשבית</w:t>
      </w:r>
      <w:r w:rsidR="00F71DC8">
        <w:rPr>
          <w:rFonts w:hint="cs"/>
          <w:rtl/>
          <w:lang w:bidi="he-IL"/>
        </w:rPr>
        <w:t>י</w:t>
      </w:r>
      <w:r w:rsidR="00143669">
        <w:rPr>
          <w:rFonts w:hint="cs"/>
          <w:rtl/>
          <w:lang w:bidi="he-IL"/>
        </w:rPr>
        <w:t xml:space="preserve"> וטהורה אני</w:t>
      </w:r>
      <w:r w:rsidR="00143669">
        <w:rPr>
          <w:lang w:bidi="he-IL"/>
        </w:rPr>
        <w:t xml:space="preserve"> she may remain married (to the </w:t>
      </w:r>
      <w:r w:rsidR="00143669">
        <w:rPr>
          <w:rFonts w:hint="cs"/>
          <w:rtl/>
          <w:lang w:bidi="he-IL"/>
        </w:rPr>
        <w:t>כהן</w:t>
      </w:r>
      <w:r w:rsidR="00143669">
        <w:rPr>
          <w:lang w:bidi="he-IL"/>
        </w:rPr>
        <w:t xml:space="preserve">) even if she married after the </w:t>
      </w:r>
      <w:r w:rsidR="00143669">
        <w:rPr>
          <w:rFonts w:hint="cs"/>
          <w:rtl/>
          <w:lang w:bidi="he-IL"/>
        </w:rPr>
        <w:t>עדי שבויה</w:t>
      </w:r>
      <w:r w:rsidR="00143669">
        <w:rPr>
          <w:lang w:bidi="he-IL"/>
        </w:rPr>
        <w:t xml:space="preserve"> came. However if we maintain that by </w:t>
      </w:r>
      <w:r w:rsidR="00143669">
        <w:rPr>
          <w:rFonts w:hint="cs"/>
          <w:rtl/>
          <w:lang w:bidi="he-IL"/>
        </w:rPr>
        <w:t>א"א וגרושה אני</w:t>
      </w:r>
      <w:r w:rsidR="00143669">
        <w:rPr>
          <w:lang w:bidi="he-IL"/>
        </w:rPr>
        <w:t xml:space="preserve"> she may remarr</w:t>
      </w:r>
      <w:r w:rsidR="00C51DA7">
        <w:rPr>
          <w:lang w:bidi="he-IL"/>
        </w:rPr>
        <w:t xml:space="preserve">y </w:t>
      </w:r>
      <w:r w:rsidR="00143669">
        <w:rPr>
          <w:lang w:bidi="he-IL"/>
        </w:rPr>
        <w:t xml:space="preserve">even after the </w:t>
      </w:r>
      <w:r w:rsidR="00143669">
        <w:rPr>
          <w:rFonts w:hint="cs"/>
          <w:rtl/>
          <w:lang w:bidi="he-IL"/>
        </w:rPr>
        <w:t>עדים</w:t>
      </w:r>
      <w:r w:rsidR="00143669">
        <w:rPr>
          <w:lang w:bidi="he-IL"/>
        </w:rPr>
        <w:t xml:space="preserve"> came (as long as </w:t>
      </w:r>
      <w:r w:rsidR="00143669">
        <w:rPr>
          <w:rFonts w:hint="cs"/>
          <w:rtl/>
          <w:lang w:bidi="he-IL"/>
        </w:rPr>
        <w:t>התירוה להנשא</w:t>
      </w:r>
      <w:r w:rsidR="005712DC">
        <w:rPr>
          <w:lang w:bidi="he-IL"/>
        </w:rPr>
        <w:t>)</w:t>
      </w:r>
      <w:r w:rsidR="00143669">
        <w:rPr>
          <w:lang w:bidi="he-IL"/>
        </w:rPr>
        <w:t xml:space="preserve">, then the same rule would apply to </w:t>
      </w:r>
      <w:r w:rsidR="00143669">
        <w:rPr>
          <w:rFonts w:hint="cs"/>
          <w:rtl/>
          <w:lang w:bidi="he-IL"/>
        </w:rPr>
        <w:t>נשביתי וטהורה אני</w:t>
      </w:r>
      <w:r w:rsidR="00143669">
        <w:rPr>
          <w:lang w:bidi="he-IL"/>
        </w:rPr>
        <w:t>.</w:t>
      </w:r>
    </w:p>
    <w:p w:rsidR="0061190E" w:rsidRDefault="0061190E" w:rsidP="0066209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61190E" w:rsidRPr="00F81DE6" w:rsidRDefault="0061190E" w:rsidP="0066209A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81DE6">
        <w:rPr>
          <w:rFonts w:ascii="Copperplate Gothic Bold" w:hAnsi="Copperplate Gothic Bold"/>
          <w:u w:val="double"/>
          <w:lang w:bidi="he-IL"/>
        </w:rPr>
        <w:t>Thinking it over</w:t>
      </w:r>
    </w:p>
    <w:p w:rsidR="0061190E" w:rsidRDefault="00B10766" w:rsidP="0066209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61190E">
        <w:rPr>
          <w:lang w:bidi="he-IL"/>
        </w:rPr>
        <w:t xml:space="preserve">What did </w:t>
      </w:r>
      <w:r w:rsidR="0061190E">
        <w:rPr>
          <w:rFonts w:hint="cs"/>
          <w:rtl/>
          <w:lang w:bidi="he-IL"/>
        </w:rPr>
        <w:t>תוספות</w:t>
      </w:r>
      <w:r w:rsidR="0061190E">
        <w:rPr>
          <w:lang w:bidi="he-IL"/>
        </w:rPr>
        <w:t xml:space="preserve"> assume (in his question) would be the view of the one who is </w:t>
      </w:r>
      <w:r w:rsidR="0061190E">
        <w:rPr>
          <w:rFonts w:hint="cs"/>
          <w:rtl/>
          <w:lang w:bidi="he-IL"/>
        </w:rPr>
        <w:t>מתני לה אסיפא</w:t>
      </w:r>
      <w:r w:rsidR="0061190E">
        <w:rPr>
          <w:lang w:bidi="he-IL"/>
        </w:rPr>
        <w:t xml:space="preserve">; what would be the </w:t>
      </w:r>
      <w:r w:rsidR="0061190E">
        <w:rPr>
          <w:rFonts w:hint="cs"/>
          <w:rtl/>
          <w:lang w:bidi="he-IL"/>
        </w:rPr>
        <w:t>דין</w:t>
      </w:r>
      <w:r w:rsidR="0061190E">
        <w:rPr>
          <w:lang w:bidi="he-IL"/>
        </w:rPr>
        <w:t xml:space="preserve"> in the </w:t>
      </w:r>
      <w:r w:rsidR="0061190E">
        <w:rPr>
          <w:rFonts w:hint="cs"/>
          <w:rtl/>
          <w:lang w:bidi="he-IL"/>
        </w:rPr>
        <w:t>רישא</w:t>
      </w:r>
      <w:r w:rsidR="0061190E">
        <w:rPr>
          <w:lang w:bidi="he-IL"/>
        </w:rPr>
        <w:t>?</w:t>
      </w:r>
      <w:r w:rsidR="0061190E">
        <w:rPr>
          <w:rStyle w:val="FootnoteReference"/>
          <w:lang w:bidi="he-IL"/>
        </w:rPr>
        <w:footnoteReference w:id="7"/>
      </w:r>
    </w:p>
    <w:p w:rsidR="00B10766" w:rsidRDefault="00B10766" w:rsidP="0066209A">
      <w:pPr>
        <w:widowControl w:val="0"/>
        <w:spacing w:line="276" w:lineRule="auto"/>
        <w:jc w:val="both"/>
        <w:rPr>
          <w:lang w:bidi="he-IL"/>
        </w:rPr>
      </w:pPr>
    </w:p>
    <w:p w:rsidR="00B10766" w:rsidRDefault="00B10766" w:rsidP="0066209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>2. In his question</w:t>
      </w:r>
      <w:r w:rsidR="00AF0131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asserts that it is possible that the </w:t>
      </w:r>
      <w:r>
        <w:rPr>
          <w:rFonts w:hint="cs"/>
          <w:rtl/>
          <w:lang w:bidi="he-IL"/>
        </w:rPr>
        <w:t>מאן דמתני ארישא</w:t>
      </w:r>
      <w:r>
        <w:rPr>
          <w:lang w:bidi="he-IL"/>
        </w:rPr>
        <w:t xml:space="preserve"> is not </w:t>
      </w:r>
      <w:r>
        <w:rPr>
          <w:rFonts w:hint="cs"/>
          <w:rtl/>
          <w:lang w:bidi="he-IL"/>
        </w:rPr>
        <w:t>מתני אסיפא</w:t>
      </w:r>
      <w:r>
        <w:rPr>
          <w:lang w:bidi="he-IL"/>
        </w:rPr>
        <w:t xml:space="preserve"> (because in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even if </w:t>
      </w:r>
      <w:r>
        <w:rPr>
          <w:rFonts w:hint="cs"/>
          <w:rtl/>
          <w:lang w:bidi="he-IL"/>
        </w:rPr>
        <w:t>באו עדים ואח"כ נשאת לא תצא</w:t>
      </w:r>
      <w:r>
        <w:rPr>
          <w:lang w:bidi="he-IL"/>
        </w:rPr>
        <w:t>).</w:t>
      </w:r>
      <w:r w:rsidR="00F81DE6">
        <w:rPr>
          <w:rStyle w:val="FootnoteReference"/>
          <w:lang w:bidi="he-IL"/>
        </w:rPr>
        <w:footnoteReference w:id="8"/>
      </w:r>
      <w:r>
        <w:rPr>
          <w:lang w:bidi="he-IL"/>
        </w:rPr>
        <w:t xml:space="preserve"> If that is so, then why did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write the ruling of </w:t>
      </w:r>
      <w:r>
        <w:rPr>
          <w:rFonts w:hint="cs"/>
          <w:rtl/>
          <w:lang w:bidi="he-IL"/>
        </w:rPr>
        <w:t>ואם משנשאת באו עדים לא תצא</w:t>
      </w:r>
      <w:r>
        <w:rPr>
          <w:lang w:bidi="he-IL"/>
        </w:rPr>
        <w:t xml:space="preserve"> after the </w:t>
      </w:r>
      <w:r>
        <w:rPr>
          <w:rFonts w:hint="cs"/>
          <w:rtl/>
          <w:lang w:bidi="he-IL"/>
        </w:rPr>
        <w:t>סיפא</w:t>
      </w:r>
      <w:r w:rsidR="00F71DC8">
        <w:rPr>
          <w:lang w:bidi="he-IL"/>
        </w:rPr>
        <w:t>,</w:t>
      </w:r>
      <w:r>
        <w:rPr>
          <w:lang w:bidi="he-IL"/>
        </w:rPr>
        <w:t xml:space="preserve"> if it pertains only to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?!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should have written it after the </w:t>
      </w:r>
      <w:r>
        <w:rPr>
          <w:rFonts w:hint="cs"/>
          <w:rtl/>
          <w:lang w:bidi="he-IL"/>
        </w:rPr>
        <w:t>רישא</w:t>
      </w:r>
      <w:r w:rsidR="00F71DC8">
        <w:rPr>
          <w:lang w:bidi="he-IL"/>
        </w:rPr>
        <w:t>,</w:t>
      </w:r>
      <w:r>
        <w:rPr>
          <w:lang w:bidi="he-IL"/>
        </w:rPr>
        <w:t xml:space="preserve"> before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>!</w:t>
      </w:r>
      <w:r w:rsidR="0086691A">
        <w:rPr>
          <w:rStyle w:val="FootnoteReference"/>
          <w:lang w:bidi="he-IL"/>
        </w:rPr>
        <w:footnoteReference w:id="9"/>
      </w:r>
    </w:p>
    <w:p w:rsidR="0066209A" w:rsidRDefault="0066209A" w:rsidP="0066209A">
      <w:pPr>
        <w:widowControl w:val="0"/>
        <w:spacing w:line="276" w:lineRule="auto"/>
        <w:jc w:val="both"/>
        <w:rPr>
          <w:lang w:bidi="he-IL"/>
        </w:rPr>
      </w:pPr>
    </w:p>
    <w:p w:rsidR="0066209A" w:rsidRPr="0061190E" w:rsidRDefault="0066209A" w:rsidP="0066209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clearly states that </w:t>
      </w:r>
      <w:r>
        <w:rPr>
          <w:rFonts w:hint="cs"/>
          <w:rtl/>
          <w:lang w:bidi="he-IL"/>
        </w:rPr>
        <w:t>לפי מה דמפרש בסמוך</w:t>
      </w:r>
      <w:r>
        <w:rPr>
          <w:lang w:bidi="he-IL"/>
        </w:rPr>
        <w:t xml:space="preserve"> there is no question,</w:t>
      </w:r>
      <w:r>
        <w:rPr>
          <w:rStyle w:val="FootnoteReference"/>
          <w:lang w:bidi="he-IL"/>
        </w:rPr>
        <w:footnoteReference w:id="10"/>
      </w:r>
      <w:r>
        <w:rPr>
          <w:lang w:bidi="he-IL"/>
        </w:rPr>
        <w:t xml:space="preserve"> so what 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question?!</w:t>
      </w:r>
      <w:r>
        <w:rPr>
          <w:rStyle w:val="FootnoteReference"/>
          <w:lang w:bidi="he-IL"/>
        </w:rPr>
        <w:footnoteReference w:id="11"/>
      </w:r>
    </w:p>
    <w:sectPr w:rsidR="0066209A" w:rsidRPr="0061190E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7E4" w:rsidRDefault="006527E4">
      <w:r>
        <w:separator/>
      </w:r>
    </w:p>
  </w:endnote>
  <w:endnote w:type="continuationSeparator" w:id="0">
    <w:p w:rsidR="006527E4" w:rsidRDefault="0065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D06" w:rsidRDefault="00D06D06" w:rsidP="00266E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6D06" w:rsidRDefault="00D06D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D2" w:rsidRDefault="007266D2">
    <w:pPr>
      <w:pStyle w:val="Footer"/>
      <w:jc w:val="center"/>
      <w:rPr>
        <w:noProof/>
        <w:sz w:val="16"/>
        <w:szCs w:val="16"/>
      </w:rPr>
    </w:pPr>
    <w:r w:rsidRPr="007266D2">
      <w:rPr>
        <w:sz w:val="20"/>
        <w:szCs w:val="20"/>
      </w:rPr>
      <w:fldChar w:fldCharType="begin"/>
    </w:r>
    <w:r w:rsidRPr="007266D2">
      <w:rPr>
        <w:sz w:val="20"/>
        <w:szCs w:val="20"/>
      </w:rPr>
      <w:instrText xml:space="preserve"> PAGE   \* MERGEFORMAT </w:instrText>
    </w:r>
    <w:r w:rsidRPr="007266D2">
      <w:rPr>
        <w:sz w:val="20"/>
        <w:szCs w:val="20"/>
      </w:rPr>
      <w:fldChar w:fldCharType="separate"/>
    </w:r>
    <w:r w:rsidR="00761967">
      <w:rPr>
        <w:noProof/>
        <w:sz w:val="20"/>
        <w:szCs w:val="20"/>
      </w:rPr>
      <w:t>2</w:t>
    </w:r>
    <w:r w:rsidRPr="007266D2">
      <w:rPr>
        <w:noProof/>
        <w:sz w:val="20"/>
        <w:szCs w:val="20"/>
      </w:rPr>
      <w:fldChar w:fldCharType="end"/>
    </w:r>
  </w:p>
  <w:p w:rsidR="007266D2" w:rsidRPr="007266D2" w:rsidRDefault="007266D2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D06D06" w:rsidRPr="00D06D06" w:rsidRDefault="00D06D06" w:rsidP="00D06D06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7E4" w:rsidRDefault="006527E4">
      <w:r>
        <w:separator/>
      </w:r>
    </w:p>
  </w:footnote>
  <w:footnote w:type="continuationSeparator" w:id="0">
    <w:p w:rsidR="006527E4" w:rsidRDefault="006527E4">
      <w:r>
        <w:continuationSeparator/>
      </w:r>
    </w:p>
  </w:footnote>
  <w:footnote w:id="1">
    <w:p w:rsidR="0066209A" w:rsidRDefault="0066209A" w:rsidP="00CF1371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inference of </w:t>
      </w:r>
      <w:r>
        <w:rPr>
          <w:rFonts w:hint="cs"/>
          <w:rtl/>
          <w:lang w:bidi="he-IL"/>
        </w:rPr>
        <w:t>ואם משנשאת באו עדים לא תצא</w:t>
      </w:r>
      <w:r>
        <w:rPr>
          <w:lang w:bidi="he-IL"/>
        </w:rPr>
        <w:t xml:space="preserve"> is that if </w:t>
      </w:r>
      <w:r>
        <w:rPr>
          <w:rFonts w:hint="cs"/>
          <w:rtl/>
          <w:lang w:bidi="he-IL"/>
        </w:rPr>
        <w:t>באו עדים ואח"כ נשאת תצא</w:t>
      </w:r>
      <w:r>
        <w:rPr>
          <w:lang w:bidi="he-IL"/>
        </w:rPr>
        <w:t xml:space="preserve">, and by a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 xml:space="preserve"> it is not (necessarily) so.</w:t>
      </w:r>
    </w:p>
  </w:footnote>
  <w:footnote w:id="2">
    <w:p w:rsidR="0066209A" w:rsidRDefault="0066209A" w:rsidP="00CF1371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They came after she testified </w:t>
      </w:r>
      <w:r>
        <w:rPr>
          <w:rFonts w:hint="cs"/>
          <w:rtl/>
          <w:lang w:bidi="he-IL"/>
        </w:rPr>
        <w:t>נשביתי וטהורה אני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accepted her testimony (based on the </w:t>
      </w:r>
      <w:r>
        <w:rPr>
          <w:rFonts w:hint="cs"/>
          <w:rtl/>
          <w:lang w:bidi="he-IL"/>
        </w:rPr>
        <w:t>פה שאסר</w:t>
      </w:r>
      <w:r>
        <w:rPr>
          <w:lang w:bidi="he-IL"/>
        </w:rPr>
        <w:t>).</w:t>
      </w:r>
    </w:p>
  </w:footnote>
  <w:footnote w:id="3">
    <w:p w:rsidR="00F81DE6" w:rsidRDefault="00F81DE6" w:rsidP="00CF1371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2.</w:t>
      </w:r>
    </w:p>
  </w:footnote>
  <w:footnote w:id="4">
    <w:p w:rsidR="00F81DE6" w:rsidRDefault="00F81DE6" w:rsidP="00CF1371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On this </w:t>
      </w:r>
      <w:r>
        <w:rPr>
          <w:rFonts w:hint="cs"/>
          <w:rtl/>
          <w:lang w:bidi="he-IL"/>
        </w:rPr>
        <w:t>עמוד</w:t>
      </w:r>
      <w:r>
        <w:rPr>
          <w:lang w:bidi="he-IL"/>
        </w:rPr>
        <w:t xml:space="preserve">; </w:t>
      </w:r>
      <w:r>
        <w:rPr>
          <w:rFonts w:hint="cs"/>
          <w:rtl/>
          <w:lang w:bidi="he-IL"/>
        </w:rPr>
        <w:t>אמר אבוה דשמואל לא נשאת נשאת ממש וכו'</w:t>
      </w:r>
      <w:r>
        <w:rPr>
          <w:lang w:bidi="he-IL"/>
        </w:rPr>
        <w:t>.</w:t>
      </w:r>
      <w:r w:rsidR="0066209A">
        <w:rPr>
          <w:lang w:bidi="he-IL"/>
        </w:rPr>
        <w:t xml:space="preserve"> See ‘Thinking it over’ # 3.</w:t>
      </w:r>
    </w:p>
  </w:footnote>
  <w:footnote w:id="5">
    <w:p w:rsidR="0066209A" w:rsidRDefault="0066209A" w:rsidP="00CF1371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following </w:t>
      </w:r>
      <w:r>
        <w:rPr>
          <w:rFonts w:hint="cs"/>
          <w:rtl/>
          <w:lang w:bidi="he-IL"/>
        </w:rPr>
        <w:t>תוספות ד"ה לא תצא</w:t>
      </w:r>
      <w:r>
        <w:rPr>
          <w:lang w:bidi="he-IL"/>
        </w:rPr>
        <w:t>.</w:t>
      </w:r>
    </w:p>
  </w:footnote>
  <w:footnote w:id="6">
    <w:p w:rsidR="00D06D06" w:rsidRDefault="00D06D06" w:rsidP="00CF1371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is </w:t>
      </w:r>
      <w:r w:rsidR="0066209A">
        <w:t>self-understood</w:t>
      </w:r>
      <w:r>
        <w:t xml:space="preserve"> that if the </w:t>
      </w:r>
      <w:r>
        <w:rPr>
          <w:rFonts w:hint="cs"/>
          <w:rtl/>
          <w:lang w:bidi="he-IL"/>
        </w:rPr>
        <w:t>עדי שבויה</w:t>
      </w:r>
      <w:r>
        <w:rPr>
          <w:lang w:bidi="he-IL"/>
        </w:rPr>
        <w:t xml:space="preserve"> came, before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accepted her testimony to permit her to remarry, </w:t>
      </w:r>
      <w:r w:rsidR="00F81DE6">
        <w:rPr>
          <w:lang w:bidi="he-IL"/>
        </w:rPr>
        <w:t>t</w:t>
      </w:r>
      <w:r>
        <w:rPr>
          <w:lang w:bidi="he-IL"/>
        </w:rPr>
        <w:t xml:space="preserve">hat she is </w:t>
      </w:r>
      <w:r>
        <w:rPr>
          <w:rFonts w:hint="cs"/>
          <w:rtl/>
          <w:lang w:bidi="he-IL"/>
        </w:rPr>
        <w:t>אסור</w:t>
      </w:r>
      <w:r>
        <w:rPr>
          <w:lang w:bidi="he-IL"/>
        </w:rPr>
        <w:t xml:space="preserve"> to remarry, and if she did so, the rule would be </w:t>
      </w:r>
      <w:r>
        <w:rPr>
          <w:rFonts w:hint="cs"/>
          <w:rtl/>
          <w:lang w:bidi="he-IL"/>
        </w:rPr>
        <w:t>תצא</w:t>
      </w:r>
      <w:r>
        <w:rPr>
          <w:lang w:bidi="he-IL"/>
        </w:rPr>
        <w:t>.</w:t>
      </w:r>
    </w:p>
  </w:footnote>
  <w:footnote w:id="7">
    <w:p w:rsidR="00D06D06" w:rsidRDefault="00D06D06" w:rsidP="00CF1371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 (הארוך)</w:t>
      </w:r>
      <w:r>
        <w:rPr>
          <w:lang w:bidi="he-IL"/>
        </w:rPr>
        <w:t>.</w:t>
      </w:r>
    </w:p>
  </w:footnote>
  <w:footnote w:id="8">
    <w:p w:rsidR="00F81DE6" w:rsidRDefault="00F81DE6" w:rsidP="00CF1371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66209A">
        <w:rPr>
          <w:rFonts w:hint="cs"/>
          <w:rtl/>
          <w:lang w:bidi="he-IL"/>
        </w:rPr>
        <w:t>3</w:t>
      </w:r>
      <w:r>
        <w:t>.</w:t>
      </w:r>
    </w:p>
  </w:footnote>
  <w:footnote w:id="9">
    <w:p w:rsidR="00D06D06" w:rsidRDefault="00D06D06" w:rsidP="00CF1371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רש"ש</w:t>
      </w:r>
      <w:r>
        <w:rPr>
          <w:lang w:bidi="he-IL"/>
        </w:rPr>
        <w:t>.</w:t>
      </w:r>
    </w:p>
  </w:footnote>
  <w:footnote w:id="10">
    <w:p w:rsidR="0066209A" w:rsidRDefault="0066209A" w:rsidP="00CF1371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4.</w:t>
      </w:r>
    </w:p>
  </w:footnote>
  <w:footnote w:id="11">
    <w:p w:rsidR="0066209A" w:rsidRDefault="0066209A" w:rsidP="00CF1371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פנ"י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D06" w:rsidRPr="00D06D06" w:rsidRDefault="00D06D06" w:rsidP="00D06D06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כג,א תוס' ד"ה מאן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2037"/>
    <w:rsid w:val="00056AAA"/>
    <w:rsid w:val="00143669"/>
    <w:rsid w:val="00184D2E"/>
    <w:rsid w:val="0020216B"/>
    <w:rsid w:val="00210A1E"/>
    <w:rsid w:val="00266E56"/>
    <w:rsid w:val="0027183B"/>
    <w:rsid w:val="003F6705"/>
    <w:rsid w:val="00483C8E"/>
    <w:rsid w:val="004A497B"/>
    <w:rsid w:val="005712DC"/>
    <w:rsid w:val="0061190E"/>
    <w:rsid w:val="00645C55"/>
    <w:rsid w:val="006527E4"/>
    <w:rsid w:val="0066209A"/>
    <w:rsid w:val="006C2037"/>
    <w:rsid w:val="007266D2"/>
    <w:rsid w:val="007552E7"/>
    <w:rsid w:val="00761967"/>
    <w:rsid w:val="007A70C3"/>
    <w:rsid w:val="00816504"/>
    <w:rsid w:val="0086691A"/>
    <w:rsid w:val="0089054C"/>
    <w:rsid w:val="008D5CCF"/>
    <w:rsid w:val="00907C6E"/>
    <w:rsid w:val="00AD304A"/>
    <w:rsid w:val="00AD3FC8"/>
    <w:rsid w:val="00AF0131"/>
    <w:rsid w:val="00B10766"/>
    <w:rsid w:val="00BB7A41"/>
    <w:rsid w:val="00BD0670"/>
    <w:rsid w:val="00C26BDD"/>
    <w:rsid w:val="00C51DA7"/>
    <w:rsid w:val="00CF1371"/>
    <w:rsid w:val="00D06D06"/>
    <w:rsid w:val="00D54370"/>
    <w:rsid w:val="00D80DE2"/>
    <w:rsid w:val="00DC3C12"/>
    <w:rsid w:val="00E46F56"/>
    <w:rsid w:val="00EE6614"/>
    <w:rsid w:val="00F00A62"/>
    <w:rsid w:val="00F71DC8"/>
    <w:rsid w:val="00F81DE6"/>
    <w:rsid w:val="00FB33A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B80B12E-1A51-4302-BB89-218E68CA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FootnoteText">
    <w:name w:val="footnote text"/>
    <w:basedOn w:val="Normal"/>
    <w:semiHidden/>
    <w:rsid w:val="00C26BDD"/>
    <w:rPr>
      <w:sz w:val="20"/>
      <w:szCs w:val="20"/>
    </w:rPr>
  </w:style>
  <w:style w:type="character" w:styleId="FootnoteReference">
    <w:name w:val="footnote reference"/>
    <w:semiHidden/>
    <w:rsid w:val="00C26BDD"/>
    <w:rPr>
      <w:vertAlign w:val="superscript"/>
    </w:rPr>
  </w:style>
  <w:style w:type="paragraph" w:styleId="Header">
    <w:name w:val="header"/>
    <w:basedOn w:val="Normal"/>
    <w:rsid w:val="00D06D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06D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6D06"/>
  </w:style>
  <w:style w:type="character" w:customStyle="1" w:styleId="FooterChar">
    <w:name w:val="Footer Char"/>
    <w:link w:val="Footer"/>
    <w:uiPriority w:val="99"/>
    <w:rsid w:val="007266D2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מאן דמתני לה ארישא כל שכן אסיפא</vt:lpstr>
    </vt:vector>
  </TitlesOfParts>
  <Company> 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מאן דמתני לה ארישא כל שכן אסיפא</dc:title>
  <dc:subject/>
  <dc:creator> </dc:creator>
  <cp:keywords/>
  <dc:description/>
  <cp:lastModifiedBy>Microsoft account</cp:lastModifiedBy>
  <cp:revision>2</cp:revision>
  <cp:lastPrinted>2015-11-29T17:07:00Z</cp:lastPrinted>
  <dcterms:created xsi:type="dcterms:W3CDTF">2022-04-05T10:53:00Z</dcterms:created>
  <dcterms:modified xsi:type="dcterms:W3CDTF">2022-04-05T10:53:00Z</dcterms:modified>
</cp:coreProperties>
</file>