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969" w:rsidRDefault="00740969" w:rsidP="00632A74">
      <w:pPr>
        <w:bidi/>
        <w:spacing w:line="276" w:lineRule="auto"/>
        <w:rPr>
          <w:rFonts w:hint="cs"/>
          <w:rtl/>
          <w:lang w:bidi="he-IL"/>
        </w:rPr>
      </w:pPr>
      <w:bookmarkStart w:id="0" w:name="_GoBack"/>
      <w:bookmarkEnd w:id="0"/>
      <w:r w:rsidRPr="00740969">
        <w:rPr>
          <w:rFonts w:hint="cs"/>
          <w:b/>
          <w:bCs/>
          <w:sz w:val="36"/>
          <w:szCs w:val="36"/>
          <w:rtl/>
        </w:rPr>
        <w:t>לא</w:t>
      </w:r>
      <w:r>
        <w:rPr>
          <w:rFonts w:hint="cs"/>
          <w:rtl/>
        </w:rPr>
        <w:t xml:space="preserve"> </w:t>
      </w:r>
      <w:r w:rsidRPr="00740969">
        <w:rPr>
          <w:rFonts w:hint="cs"/>
          <w:b/>
          <w:bCs/>
          <w:sz w:val="32"/>
          <w:szCs w:val="32"/>
          <w:rtl/>
        </w:rPr>
        <w:t>תצא מהיתרה הראשון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>
        <w:rPr>
          <w:b/>
          <w:bCs/>
          <w:sz w:val="32"/>
          <w:szCs w:val="32"/>
          <w:rtl/>
          <w:lang w:bidi="he-IL"/>
        </w:rPr>
        <w:t>–</w:t>
      </w:r>
      <w:r>
        <w:rPr>
          <w:rFonts w:hint="cs"/>
          <w:rtl/>
        </w:rPr>
        <w:t xml:space="preserve"> </w:t>
      </w:r>
    </w:p>
    <w:p w:rsidR="00740969" w:rsidRPr="00740969" w:rsidRDefault="00740969" w:rsidP="00632A74">
      <w:pPr>
        <w:spacing w:line="276" w:lineRule="auto"/>
        <w:rPr>
          <w:sz w:val="32"/>
          <w:szCs w:val="32"/>
          <w:lang w:bidi="he-IL"/>
        </w:rPr>
      </w:pPr>
      <w:r>
        <w:rPr>
          <w:b/>
          <w:bCs/>
          <w:sz w:val="32"/>
          <w:szCs w:val="32"/>
          <w:lang w:bidi="he-IL"/>
        </w:rPr>
        <w:t>She does not leave</w:t>
      </w:r>
      <w:r w:rsidR="00FD526D">
        <w:rPr>
          <w:sz w:val="32"/>
          <w:szCs w:val="32"/>
          <w:lang w:bidi="he-IL"/>
        </w:rPr>
        <w:t xml:space="preserve"> (lose)</w:t>
      </w:r>
      <w:r>
        <w:rPr>
          <w:b/>
          <w:bCs/>
          <w:sz w:val="32"/>
          <w:szCs w:val="32"/>
          <w:lang w:bidi="he-IL"/>
        </w:rPr>
        <w:t xml:space="preserve"> her initial unrestricted </w:t>
      </w:r>
      <w:r>
        <w:rPr>
          <w:sz w:val="32"/>
          <w:szCs w:val="32"/>
          <w:lang w:bidi="he-IL"/>
        </w:rPr>
        <w:t>status</w:t>
      </w:r>
    </w:p>
    <w:p w:rsidR="00740969" w:rsidRPr="00FD526D" w:rsidRDefault="00740969" w:rsidP="00632A74">
      <w:pPr>
        <w:bidi/>
        <w:spacing w:line="276" w:lineRule="auto"/>
        <w:jc w:val="both"/>
        <w:rPr>
          <w:rFonts w:hint="cs"/>
          <w:sz w:val="24"/>
          <w:szCs w:val="24"/>
          <w:rtl/>
          <w:lang w:bidi="he-IL"/>
        </w:rPr>
      </w:pPr>
    </w:p>
    <w:p w:rsidR="00740969" w:rsidRPr="00632A74" w:rsidRDefault="000C137A" w:rsidP="00632A74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632A74">
        <w:rPr>
          <w:rFonts w:ascii="Copperplate Gothic Bold" w:hAnsi="Copperplate Gothic Bold"/>
          <w:u w:val="double"/>
          <w:lang w:bidi="he-IL"/>
        </w:rPr>
        <w:t>Overview</w:t>
      </w:r>
    </w:p>
    <w:p w:rsidR="000C137A" w:rsidRPr="000C137A" w:rsidRDefault="007A3210" w:rsidP="00632A74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stated that if </w:t>
      </w:r>
      <w:r>
        <w:rPr>
          <w:rFonts w:hint="cs"/>
          <w:rtl/>
          <w:lang w:bidi="he-IL"/>
        </w:rPr>
        <w:t>עדים</w:t>
      </w:r>
      <w:r w:rsidR="00632A74">
        <w:rPr>
          <w:lang w:bidi="he-IL"/>
        </w:rPr>
        <w:t xml:space="preserve"> testified </w:t>
      </w:r>
      <w:r w:rsidR="00632A74" w:rsidRPr="00632A74">
        <w:rPr>
          <w:rtl/>
          <w:lang w:bidi="he-IL"/>
        </w:rPr>
        <w:t>משנשאת</w:t>
      </w:r>
      <w:r>
        <w:rPr>
          <w:lang w:bidi="he-IL"/>
        </w:rPr>
        <w:t xml:space="preserve"> that she was a </w:t>
      </w:r>
      <w:r>
        <w:rPr>
          <w:rFonts w:hint="cs"/>
          <w:rtl/>
          <w:lang w:bidi="he-IL"/>
        </w:rPr>
        <w:t>שבויה</w:t>
      </w:r>
      <w:r>
        <w:rPr>
          <w:lang w:bidi="he-IL"/>
        </w:rPr>
        <w:t xml:space="preserve"> (or an </w:t>
      </w:r>
      <w:r>
        <w:rPr>
          <w:rFonts w:hint="cs"/>
          <w:rtl/>
          <w:lang w:bidi="he-IL"/>
        </w:rPr>
        <w:t>א"א</w:t>
      </w:r>
      <w:r>
        <w:rPr>
          <w:lang w:bidi="he-IL"/>
        </w:rPr>
        <w:t>)</w:t>
      </w:r>
      <w:r w:rsidR="00457494">
        <w:rPr>
          <w:lang w:bidi="he-IL"/>
        </w:rPr>
        <w:t>,</w:t>
      </w:r>
      <w:r>
        <w:rPr>
          <w:lang w:bidi="he-IL"/>
        </w:rPr>
        <w:t xml:space="preserve"> the ruling is </w:t>
      </w:r>
      <w:r>
        <w:rPr>
          <w:rFonts w:hint="cs"/>
          <w:rtl/>
          <w:lang w:bidi="he-IL"/>
        </w:rPr>
        <w:t>לא תצא</w:t>
      </w:r>
      <w:r>
        <w:rPr>
          <w:lang w:bidi="he-IL"/>
        </w:rPr>
        <w:t xml:space="preserve">. The term </w:t>
      </w:r>
      <w:r>
        <w:rPr>
          <w:rFonts w:hint="cs"/>
          <w:rtl/>
          <w:lang w:bidi="he-IL"/>
        </w:rPr>
        <w:t>משנשאת</w:t>
      </w:r>
      <w:r>
        <w:rPr>
          <w:lang w:bidi="he-IL"/>
        </w:rPr>
        <w:t xml:space="preserve"> was interpreted by </w:t>
      </w:r>
      <w:r>
        <w:rPr>
          <w:rFonts w:hint="cs"/>
          <w:rtl/>
          <w:lang w:bidi="he-IL"/>
        </w:rPr>
        <w:t>אבוה דשמואל</w:t>
      </w:r>
      <w:r>
        <w:rPr>
          <w:lang w:bidi="he-IL"/>
        </w:rPr>
        <w:t xml:space="preserve"> to mean that permission was granted to her to (re)marry (but not necessarily that she actually married).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was then required to interpret the phrase </w:t>
      </w:r>
      <w:r>
        <w:rPr>
          <w:rFonts w:hint="cs"/>
          <w:rtl/>
          <w:lang w:bidi="he-IL"/>
        </w:rPr>
        <w:t>לא תצא</w:t>
      </w:r>
      <w:r w:rsidR="00145780">
        <w:rPr>
          <w:lang w:bidi="he-IL"/>
        </w:rPr>
        <w:t>,</w:t>
      </w:r>
      <w:r>
        <w:rPr>
          <w:lang w:bidi="he-IL"/>
        </w:rPr>
        <w:t xml:space="preserve"> to mean that </w:t>
      </w:r>
      <w:r>
        <w:rPr>
          <w:rFonts w:hint="cs"/>
          <w:rtl/>
          <w:lang w:bidi="he-IL"/>
        </w:rPr>
        <w:t>לא תצא מהיתרה הראשון</w:t>
      </w:r>
      <w:r>
        <w:rPr>
          <w:lang w:bidi="he-IL"/>
        </w:rPr>
        <w:t xml:space="preserve">.  </w:t>
      </w:r>
      <w:r w:rsidR="00145780">
        <w:rPr>
          <w:lang w:bidi="he-IL"/>
        </w:rPr>
        <w:t xml:space="preserve">The question our </w:t>
      </w:r>
      <w:r w:rsidR="00145780">
        <w:rPr>
          <w:rFonts w:hint="cs"/>
          <w:rtl/>
          <w:lang w:bidi="he-IL"/>
        </w:rPr>
        <w:t>תוספות</w:t>
      </w:r>
      <w:r w:rsidR="00145780">
        <w:rPr>
          <w:lang w:bidi="he-IL"/>
        </w:rPr>
        <w:t xml:space="preserve"> discusses</w:t>
      </w:r>
      <w:r w:rsidR="000646B0">
        <w:rPr>
          <w:lang w:bidi="he-IL"/>
        </w:rPr>
        <w:t xml:space="preserve"> is</w:t>
      </w:r>
      <w:r w:rsidR="00145780">
        <w:rPr>
          <w:lang w:bidi="he-IL"/>
        </w:rPr>
        <w:t xml:space="preserve"> what does </w:t>
      </w:r>
      <w:r w:rsidR="00145780">
        <w:rPr>
          <w:rFonts w:hint="cs"/>
          <w:rtl/>
          <w:lang w:bidi="he-IL"/>
        </w:rPr>
        <w:t>לא תצא מהיתרה הראשון</w:t>
      </w:r>
      <w:r w:rsidR="00145780">
        <w:rPr>
          <w:lang w:bidi="he-IL"/>
        </w:rPr>
        <w:t xml:space="preserve"> mean? Does it mean that she may initially remarry</w:t>
      </w:r>
      <w:r w:rsidR="00BA7DFC">
        <w:rPr>
          <w:lang w:bidi="he-IL"/>
        </w:rPr>
        <w:t xml:space="preserve"> (as her </w:t>
      </w:r>
      <w:r w:rsidR="00BA7DFC">
        <w:rPr>
          <w:rFonts w:hint="cs"/>
          <w:rtl/>
          <w:lang w:bidi="he-IL"/>
        </w:rPr>
        <w:t>היתרה הראשון</w:t>
      </w:r>
      <w:r w:rsidR="00BA7DFC">
        <w:rPr>
          <w:lang w:bidi="he-IL"/>
        </w:rPr>
        <w:t xml:space="preserve"> allowed), or does it</w:t>
      </w:r>
      <w:r w:rsidR="000646B0">
        <w:rPr>
          <w:lang w:bidi="he-IL"/>
        </w:rPr>
        <w:t xml:space="preserve"> (merely)</w:t>
      </w:r>
      <w:r w:rsidR="00BA7DFC">
        <w:rPr>
          <w:lang w:bidi="he-IL"/>
        </w:rPr>
        <w:t xml:space="preserve"> mean that if she remarries she may remain married</w:t>
      </w:r>
      <w:r w:rsidR="000646B0">
        <w:rPr>
          <w:lang w:bidi="he-IL"/>
        </w:rPr>
        <w:t xml:space="preserve"> (as it means elsewhere)</w:t>
      </w:r>
      <w:r w:rsidR="00BA7DFC">
        <w:rPr>
          <w:lang w:bidi="he-IL"/>
        </w:rPr>
        <w:t>.</w:t>
      </w:r>
      <w:r w:rsidR="00145780">
        <w:rPr>
          <w:lang w:bidi="he-IL"/>
        </w:rPr>
        <w:t xml:space="preserve">  </w:t>
      </w:r>
    </w:p>
    <w:p w:rsidR="00740969" w:rsidRDefault="00457494" w:rsidP="00632A74">
      <w:pPr>
        <w:bidi/>
        <w:spacing w:line="276" w:lineRule="auto"/>
        <w:jc w:val="center"/>
        <w:rPr>
          <w:sz w:val="24"/>
          <w:szCs w:val="24"/>
          <w:rtl/>
          <w:lang w:bidi="he-IL"/>
        </w:rPr>
      </w:pPr>
      <w:r>
        <w:rPr>
          <w:sz w:val="24"/>
          <w:szCs w:val="24"/>
          <w:lang w:bidi="he-IL"/>
        </w:rPr>
        <w:t>----------------</w:t>
      </w:r>
    </w:p>
    <w:p w:rsidR="00740969" w:rsidRPr="00DF38B9" w:rsidRDefault="00740969" w:rsidP="00DF38B9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DF38B9">
        <w:rPr>
          <w:rFonts w:cs="David" w:hint="cs"/>
          <w:b/>
          <w:bCs/>
          <w:rtl/>
        </w:rPr>
        <w:t>פירוש</w:t>
      </w:r>
      <w:r w:rsidR="00BA7DFC" w:rsidRPr="00DF38B9">
        <w:rPr>
          <w:rStyle w:val="FootnoteReference"/>
          <w:rFonts w:cs="David"/>
          <w:b/>
          <w:bCs/>
          <w:rtl/>
        </w:rPr>
        <w:footnoteReference w:id="1"/>
      </w:r>
      <w:r w:rsidRPr="00DF38B9">
        <w:rPr>
          <w:rFonts w:cs="David" w:hint="cs"/>
          <w:b/>
          <w:bCs/>
          <w:rtl/>
        </w:rPr>
        <w:t xml:space="preserve"> ותנשא [לכתחלה] דלא שייך לזות שפתים כלל</w:t>
      </w:r>
      <w:r w:rsidR="00632A74" w:rsidRPr="00DF38B9">
        <w:rPr>
          <w:rStyle w:val="FootnoteReference"/>
          <w:rFonts w:cs="David"/>
          <w:b/>
          <w:bCs/>
          <w:rtl/>
        </w:rPr>
        <w:footnoteReference w:id="2"/>
      </w:r>
      <w:r w:rsidRPr="00DF38B9">
        <w:rPr>
          <w:rFonts w:cs="David" w:hint="cs"/>
          <w:b/>
          <w:bCs/>
          <w:rtl/>
        </w:rPr>
        <w:t xml:space="preserve"> </w:t>
      </w:r>
      <w:r w:rsidR="00DF38B9">
        <w:rPr>
          <w:rFonts w:cs="David" w:hint="cs"/>
          <w:b/>
          <w:bCs/>
          <w:rtl/>
          <w:lang w:bidi="he-IL"/>
        </w:rPr>
        <w:t>-</w:t>
      </w:r>
    </w:p>
    <w:p w:rsidR="00FD526D" w:rsidRPr="00580C4E" w:rsidRDefault="00FD526D" w:rsidP="00632A7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The explanation </w:t>
      </w:r>
      <w:r>
        <w:rPr>
          <w:rFonts w:cs="Aharoni"/>
          <w:lang w:bidi="he-IL"/>
        </w:rPr>
        <w:t xml:space="preserve">of the phrase </w:t>
      </w:r>
      <w:r>
        <w:rPr>
          <w:rFonts w:hint="cs"/>
          <w:rtl/>
          <w:lang w:bidi="he-IL"/>
        </w:rPr>
        <w:t>לא תצא מהיתרה הראשון</w:t>
      </w:r>
      <w:r>
        <w:rPr>
          <w:lang w:bidi="he-IL"/>
        </w:rPr>
        <w:t xml:space="preserve"> is </w:t>
      </w:r>
      <w:r>
        <w:rPr>
          <w:b/>
          <w:bCs/>
          <w:lang w:bidi="he-IL"/>
        </w:rPr>
        <w:t>that she may [initially] (re)marry; for ‘</w:t>
      </w:r>
      <w:r w:rsidR="00F6578E">
        <w:rPr>
          <w:b/>
          <w:bCs/>
          <w:lang w:bidi="he-IL"/>
        </w:rPr>
        <w:t>crooked</w:t>
      </w:r>
      <w:r>
        <w:rPr>
          <w:b/>
          <w:bCs/>
          <w:lang w:bidi="he-IL"/>
        </w:rPr>
        <w:t xml:space="preserve">ness of </w:t>
      </w:r>
      <w:r w:rsidR="00F6578E">
        <w:rPr>
          <w:b/>
          <w:bCs/>
          <w:lang w:bidi="he-IL"/>
        </w:rPr>
        <w:t xml:space="preserve">the </w:t>
      </w:r>
      <w:r>
        <w:rPr>
          <w:b/>
          <w:bCs/>
          <w:lang w:bidi="he-IL"/>
        </w:rPr>
        <w:t xml:space="preserve">lips’ is not at all applicable </w:t>
      </w:r>
      <w:r w:rsidRPr="00580C4E">
        <w:rPr>
          <w:sz w:val="24"/>
          <w:szCs w:val="24"/>
          <w:lang w:bidi="he-IL"/>
        </w:rPr>
        <w:t xml:space="preserve">in this case. There is no one who contests her statement that she is a </w:t>
      </w:r>
      <w:r w:rsidR="0025128C" w:rsidRPr="00580C4E">
        <w:rPr>
          <w:sz w:val="24"/>
          <w:szCs w:val="24"/>
          <w:lang w:bidi="he-IL"/>
        </w:rPr>
        <w:t>(</w:t>
      </w:r>
      <w:r w:rsidRPr="00580C4E">
        <w:rPr>
          <w:rFonts w:hint="cs"/>
          <w:sz w:val="24"/>
          <w:szCs w:val="24"/>
          <w:rtl/>
          <w:lang w:bidi="he-IL"/>
        </w:rPr>
        <w:t>גרושה</w:t>
      </w:r>
      <w:r w:rsidRPr="00580C4E">
        <w:rPr>
          <w:sz w:val="24"/>
          <w:szCs w:val="24"/>
          <w:lang w:bidi="he-IL"/>
        </w:rPr>
        <w:t xml:space="preserve"> or</w:t>
      </w:r>
      <w:r w:rsidR="0025128C" w:rsidRPr="00580C4E">
        <w:rPr>
          <w:sz w:val="24"/>
          <w:szCs w:val="24"/>
          <w:lang w:bidi="he-IL"/>
        </w:rPr>
        <w:t>)</w:t>
      </w:r>
      <w:r w:rsidRPr="00580C4E">
        <w:rPr>
          <w:sz w:val="24"/>
          <w:szCs w:val="24"/>
          <w:lang w:bidi="he-IL"/>
        </w:rPr>
        <w:t xml:space="preserve"> </w:t>
      </w:r>
      <w:r w:rsidRPr="00580C4E">
        <w:rPr>
          <w:rFonts w:hint="cs"/>
          <w:sz w:val="24"/>
          <w:szCs w:val="24"/>
          <w:rtl/>
          <w:lang w:bidi="he-IL"/>
        </w:rPr>
        <w:t>טהורה</w:t>
      </w:r>
      <w:r w:rsidRPr="00580C4E">
        <w:rPr>
          <w:sz w:val="24"/>
          <w:szCs w:val="24"/>
          <w:lang w:bidi="he-IL"/>
        </w:rPr>
        <w:t>.</w:t>
      </w:r>
      <w:r w:rsidR="00632A74" w:rsidRPr="00632A74">
        <w:rPr>
          <w:rStyle w:val="FootnoteReference"/>
          <w:sz w:val="24"/>
          <w:szCs w:val="24"/>
          <w:rtl/>
          <w:lang w:bidi="he-IL"/>
        </w:rPr>
        <w:t xml:space="preserve"> </w:t>
      </w:r>
      <w:r w:rsidR="00632A74" w:rsidRPr="00580C4E">
        <w:rPr>
          <w:rStyle w:val="FootnoteReference"/>
          <w:sz w:val="24"/>
          <w:szCs w:val="24"/>
          <w:rtl/>
          <w:lang w:bidi="he-IL"/>
        </w:rPr>
        <w:footnoteReference w:id="3"/>
      </w:r>
    </w:p>
    <w:p w:rsidR="00F6578E" w:rsidRPr="00580C4E" w:rsidRDefault="00F6578E" w:rsidP="00632A74">
      <w:pPr>
        <w:spacing w:line="276" w:lineRule="auto"/>
        <w:jc w:val="both"/>
        <w:rPr>
          <w:sz w:val="24"/>
          <w:szCs w:val="24"/>
          <w:lang w:bidi="he-IL"/>
        </w:rPr>
      </w:pPr>
    </w:p>
    <w:p w:rsidR="00F6578E" w:rsidRPr="00580C4E" w:rsidRDefault="00F6578E" w:rsidP="00632A74">
      <w:pPr>
        <w:spacing w:line="276" w:lineRule="auto"/>
        <w:jc w:val="both"/>
        <w:rPr>
          <w:sz w:val="24"/>
          <w:szCs w:val="24"/>
          <w:lang w:bidi="he-IL"/>
        </w:rPr>
      </w:pPr>
      <w:r w:rsidRPr="00580C4E">
        <w:rPr>
          <w:rFonts w:hint="cs"/>
          <w:sz w:val="24"/>
          <w:szCs w:val="24"/>
          <w:rtl/>
          <w:lang w:bidi="he-IL"/>
        </w:rPr>
        <w:t>תוספות</w:t>
      </w:r>
      <w:r w:rsidRPr="00580C4E">
        <w:rPr>
          <w:sz w:val="24"/>
          <w:szCs w:val="24"/>
          <w:lang w:bidi="he-IL"/>
        </w:rPr>
        <w:t xml:space="preserve"> anticipates that this interpretation may be questioned:  </w:t>
      </w:r>
    </w:p>
    <w:p w:rsidR="0025128C" w:rsidRPr="00DF38B9" w:rsidRDefault="00740969" w:rsidP="00DF38B9">
      <w:pPr>
        <w:bidi/>
        <w:spacing w:line="276" w:lineRule="auto"/>
        <w:jc w:val="both"/>
        <w:rPr>
          <w:rFonts w:cs="David"/>
          <w:b/>
          <w:bCs/>
          <w:spacing w:val="-2"/>
          <w:lang w:bidi="he-IL"/>
        </w:rPr>
      </w:pPr>
      <w:r w:rsidRPr="00DF38B9">
        <w:rPr>
          <w:rFonts w:cs="David" w:hint="cs"/>
          <w:b/>
          <w:bCs/>
          <w:spacing w:val="-2"/>
          <w:rtl/>
        </w:rPr>
        <w:t xml:space="preserve">אבל אין לפרש כי ההיא דיבמות דלא תצא מהיתרה הראשון לענין דאם נשאת לא תצא </w:t>
      </w:r>
      <w:r w:rsidR="00DF38B9" w:rsidRPr="00DF38B9">
        <w:rPr>
          <w:rFonts w:cs="David" w:hint="cs"/>
          <w:b/>
          <w:bCs/>
          <w:spacing w:val="-2"/>
          <w:rtl/>
          <w:lang w:bidi="he-IL"/>
        </w:rPr>
        <w:t>-</w:t>
      </w:r>
    </w:p>
    <w:p w:rsidR="0025128C" w:rsidRPr="00580C4E" w:rsidRDefault="0025128C" w:rsidP="00632A7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However we cannot interpret </w:t>
      </w:r>
      <w:r>
        <w:rPr>
          <w:rFonts w:cs="Aharoni"/>
          <w:lang w:bidi="he-IL"/>
        </w:rPr>
        <w:t xml:space="preserve">the phrase </w:t>
      </w:r>
      <w:r>
        <w:rPr>
          <w:rFonts w:hint="cs"/>
          <w:rtl/>
          <w:lang w:bidi="he-IL"/>
        </w:rPr>
        <w:t>לא תצא מהיתרה הראשון</w:t>
      </w:r>
      <w:r>
        <w:rPr>
          <w:lang w:bidi="he-IL"/>
        </w:rPr>
        <w:t xml:space="preserve"> to means </w:t>
      </w:r>
      <w:r>
        <w:rPr>
          <w:b/>
          <w:bCs/>
          <w:lang w:bidi="he-IL"/>
        </w:rPr>
        <w:t xml:space="preserve">as in the case in </w:t>
      </w:r>
      <w:r>
        <w:rPr>
          <w:rFonts w:hint="cs"/>
          <w:rtl/>
          <w:lang w:bidi="he-IL"/>
        </w:rPr>
        <w:t xml:space="preserve">מסכת </w:t>
      </w:r>
      <w:r>
        <w:rPr>
          <w:rFonts w:hint="cs"/>
          <w:b/>
          <w:bCs/>
          <w:rtl/>
          <w:lang w:bidi="he-IL"/>
        </w:rPr>
        <w:t>יבמות</w:t>
      </w:r>
      <w:r>
        <w:rPr>
          <w:b/>
          <w:bCs/>
          <w:lang w:bidi="he-IL"/>
        </w:rPr>
        <w:t>,</w:t>
      </w:r>
      <w:r w:rsidR="00632A74">
        <w:rPr>
          <w:rStyle w:val="FootnoteReference"/>
          <w:b/>
          <w:bCs/>
          <w:lang w:bidi="he-IL"/>
        </w:rPr>
        <w:footnoteReference w:id="4"/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namely </w:t>
      </w:r>
      <w:r>
        <w:rPr>
          <w:b/>
          <w:bCs/>
          <w:lang w:bidi="he-IL"/>
        </w:rPr>
        <w:t xml:space="preserve">that she does not lose her initial permission in regards that if she </w:t>
      </w:r>
      <w:r>
        <w:rPr>
          <w:lang w:bidi="he-IL"/>
        </w:rPr>
        <w:t xml:space="preserve">already </w:t>
      </w:r>
      <w:r>
        <w:rPr>
          <w:b/>
          <w:bCs/>
          <w:lang w:bidi="he-IL"/>
        </w:rPr>
        <w:t xml:space="preserve">remarried, she is not </w:t>
      </w:r>
      <w:r>
        <w:rPr>
          <w:lang w:bidi="he-IL"/>
        </w:rPr>
        <w:t xml:space="preserve">required </w:t>
      </w:r>
      <w:r>
        <w:rPr>
          <w:b/>
          <w:bCs/>
          <w:lang w:bidi="he-IL"/>
        </w:rPr>
        <w:t xml:space="preserve">to leave </w:t>
      </w:r>
      <w:r w:rsidRPr="00580C4E">
        <w:rPr>
          <w:sz w:val="24"/>
          <w:szCs w:val="24"/>
          <w:lang w:bidi="he-IL"/>
        </w:rPr>
        <w:t xml:space="preserve">her new husband. It is only to that extent that her </w:t>
      </w:r>
      <w:r w:rsidRPr="00580C4E">
        <w:rPr>
          <w:rFonts w:hint="cs"/>
          <w:sz w:val="24"/>
          <w:szCs w:val="24"/>
          <w:rtl/>
          <w:lang w:bidi="he-IL"/>
        </w:rPr>
        <w:t>היתרה הראשון</w:t>
      </w:r>
      <w:r w:rsidRPr="00580C4E">
        <w:rPr>
          <w:sz w:val="24"/>
          <w:szCs w:val="24"/>
          <w:lang w:bidi="he-IL"/>
        </w:rPr>
        <w:t xml:space="preserve"> is effective -</w:t>
      </w:r>
    </w:p>
    <w:p w:rsidR="00740969" w:rsidRPr="00DF38B9" w:rsidRDefault="00740969" w:rsidP="00DF38B9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DF38B9">
        <w:rPr>
          <w:rFonts w:cs="David" w:hint="cs"/>
          <w:b/>
          <w:bCs/>
          <w:rtl/>
        </w:rPr>
        <w:t xml:space="preserve">אבל לכתחלה לא תינשא </w:t>
      </w:r>
      <w:r w:rsidR="00DF38B9">
        <w:rPr>
          <w:rFonts w:cs="David" w:hint="cs"/>
          <w:b/>
          <w:bCs/>
          <w:rtl/>
          <w:lang w:bidi="he-IL"/>
        </w:rPr>
        <w:t>-</w:t>
      </w:r>
    </w:p>
    <w:p w:rsidR="00607478" w:rsidRPr="00580C4E" w:rsidRDefault="0025128C" w:rsidP="00632A7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But she </w:t>
      </w:r>
      <w:r w:rsidR="00607478">
        <w:rPr>
          <w:rFonts w:cs="Aharoni"/>
          <w:b/>
          <w:bCs/>
          <w:lang w:bidi="he-IL"/>
        </w:rPr>
        <w:t xml:space="preserve">may not initially remarry </w:t>
      </w:r>
      <w:r w:rsidR="00607478" w:rsidRPr="00580C4E">
        <w:rPr>
          <w:rFonts w:cs="Aharoni"/>
          <w:sz w:val="24"/>
          <w:szCs w:val="24"/>
          <w:lang w:bidi="he-IL"/>
        </w:rPr>
        <w:t xml:space="preserve">(perhaps it means the same here as in </w:t>
      </w:r>
      <w:r w:rsidR="00607478" w:rsidRPr="00580C4E">
        <w:rPr>
          <w:rFonts w:hint="cs"/>
          <w:sz w:val="24"/>
          <w:szCs w:val="24"/>
          <w:rtl/>
          <w:lang w:bidi="he-IL"/>
        </w:rPr>
        <w:t>יבמות</w:t>
      </w:r>
      <w:r w:rsidR="00607478" w:rsidRPr="00580C4E">
        <w:rPr>
          <w:sz w:val="24"/>
          <w:szCs w:val="24"/>
          <w:lang w:bidi="he-IL"/>
        </w:rPr>
        <w:t>)</w:t>
      </w:r>
      <w:r w:rsidR="00607478" w:rsidRPr="00580C4E">
        <w:rPr>
          <w:rFonts w:cs="Aharoni"/>
          <w:b/>
          <w:bCs/>
          <w:sz w:val="24"/>
          <w:szCs w:val="24"/>
          <w:lang w:bidi="he-IL"/>
        </w:rPr>
        <w:t>.</w:t>
      </w:r>
    </w:p>
    <w:p w:rsidR="00607478" w:rsidRPr="00580C4E" w:rsidRDefault="00607478" w:rsidP="00632A74">
      <w:pPr>
        <w:spacing w:line="276" w:lineRule="auto"/>
        <w:jc w:val="both"/>
        <w:rPr>
          <w:rFonts w:cs="Aharoni"/>
          <w:b/>
          <w:bCs/>
          <w:sz w:val="24"/>
          <w:szCs w:val="24"/>
          <w:lang w:bidi="he-IL"/>
        </w:rPr>
      </w:pPr>
    </w:p>
    <w:p w:rsidR="0025128C" w:rsidRPr="00580C4E" w:rsidRDefault="00607478" w:rsidP="00632A74">
      <w:pPr>
        <w:spacing w:line="276" w:lineRule="auto"/>
        <w:jc w:val="both"/>
        <w:rPr>
          <w:rFonts w:cs="Aharoni" w:hint="cs"/>
          <w:sz w:val="24"/>
          <w:szCs w:val="24"/>
          <w:rtl/>
          <w:lang w:bidi="he-IL"/>
        </w:rPr>
      </w:pPr>
      <w:r w:rsidRPr="00580C4E">
        <w:rPr>
          <w:rFonts w:hint="cs"/>
          <w:sz w:val="24"/>
          <w:szCs w:val="24"/>
          <w:rtl/>
          <w:lang w:bidi="he-IL"/>
        </w:rPr>
        <w:lastRenderedPageBreak/>
        <w:t>תוספות</w:t>
      </w:r>
      <w:r w:rsidRPr="00580C4E">
        <w:rPr>
          <w:sz w:val="24"/>
          <w:szCs w:val="24"/>
          <w:lang w:bidi="he-IL"/>
        </w:rPr>
        <w:t xml:space="preserve"> negates this: </w:t>
      </w:r>
      <w:r w:rsidR="0025128C" w:rsidRPr="00580C4E">
        <w:rPr>
          <w:rFonts w:cs="Aharoni"/>
          <w:sz w:val="24"/>
          <w:szCs w:val="24"/>
          <w:lang w:bidi="he-IL"/>
        </w:rPr>
        <w:t>we cannot maintain this view -</w:t>
      </w:r>
    </w:p>
    <w:p w:rsidR="00D80DE2" w:rsidRPr="00DF38B9" w:rsidRDefault="00740969" w:rsidP="00DF38B9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DF38B9">
        <w:rPr>
          <w:rFonts w:cs="David" w:hint="cs"/>
          <w:b/>
          <w:bCs/>
          <w:rtl/>
        </w:rPr>
        <w:t>כדמשמע גבי בנתיה דמר שמואל בסמוך שהתירן לכתחילה</w:t>
      </w:r>
      <w:r w:rsidR="00DF38B9" w:rsidRPr="00DF38B9">
        <w:rPr>
          <w:rStyle w:val="FootnoteReference"/>
          <w:rFonts w:cs="David"/>
          <w:b/>
          <w:bCs/>
          <w:rtl/>
        </w:rPr>
        <w:footnoteReference w:id="5"/>
      </w:r>
      <w:r w:rsidR="0025128C" w:rsidRPr="00DF38B9">
        <w:rPr>
          <w:rFonts w:cs="David" w:hint="cs"/>
          <w:b/>
          <w:bCs/>
          <w:rtl/>
          <w:lang w:bidi="he-IL"/>
        </w:rPr>
        <w:t xml:space="preserve"> </w:t>
      </w:r>
      <w:r w:rsidR="00DF38B9">
        <w:rPr>
          <w:rFonts w:cs="David" w:hint="cs"/>
          <w:b/>
          <w:bCs/>
          <w:rtl/>
          <w:lang w:bidi="he-IL"/>
        </w:rPr>
        <w:t>-</w:t>
      </w:r>
    </w:p>
    <w:p w:rsidR="0025128C" w:rsidRDefault="0025128C" w:rsidP="00DF38B9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</w:rPr>
        <w:t xml:space="preserve">as is indicated shortly concerning the daughters of </w:t>
      </w:r>
      <w:r>
        <w:rPr>
          <w:rFonts w:hint="cs"/>
          <w:b/>
          <w:bCs/>
          <w:rtl/>
          <w:lang w:bidi="he-IL"/>
        </w:rPr>
        <w:t>מר שמואל</w:t>
      </w:r>
      <w:r w:rsidR="000C137A">
        <w:rPr>
          <w:b/>
          <w:bCs/>
          <w:lang w:bidi="he-IL"/>
        </w:rPr>
        <w:t xml:space="preserve"> </w:t>
      </w:r>
      <w:r w:rsidR="000C137A">
        <w:rPr>
          <w:lang w:bidi="he-IL"/>
        </w:rPr>
        <w:t xml:space="preserve">(who were </w:t>
      </w:r>
      <w:r w:rsidR="000C137A">
        <w:rPr>
          <w:rFonts w:hint="cs"/>
          <w:rtl/>
          <w:lang w:bidi="he-IL"/>
        </w:rPr>
        <w:t>שבויות</w:t>
      </w:r>
      <w:r w:rsidR="000C137A">
        <w:rPr>
          <w:lang w:bidi="he-IL"/>
        </w:rPr>
        <w:t xml:space="preserve"> [by their own admission])</w:t>
      </w:r>
      <w:r>
        <w:rPr>
          <w:b/>
          <w:bCs/>
          <w:lang w:bidi="he-IL"/>
        </w:rPr>
        <w:t xml:space="preserve">, </w:t>
      </w:r>
      <w:r w:rsidR="00721DDC">
        <w:rPr>
          <w:b/>
          <w:bCs/>
          <w:lang w:bidi="he-IL"/>
        </w:rPr>
        <w:t xml:space="preserve">that </w:t>
      </w:r>
      <w:r w:rsidR="00721DDC">
        <w:rPr>
          <w:rFonts w:hint="cs"/>
          <w:rtl/>
          <w:lang w:bidi="he-IL"/>
        </w:rPr>
        <w:t>רבי חנינא</w:t>
      </w:r>
      <w:r w:rsidR="00721DDC">
        <w:rPr>
          <w:lang w:bidi="he-IL"/>
        </w:rPr>
        <w:t xml:space="preserve"> </w:t>
      </w:r>
      <w:r w:rsidR="00721DDC">
        <w:rPr>
          <w:b/>
          <w:bCs/>
          <w:lang w:bidi="he-IL"/>
        </w:rPr>
        <w:t xml:space="preserve">permitted them initially to marry </w:t>
      </w:r>
      <w:r w:rsidR="00721DDC" w:rsidRPr="00580C4E">
        <w:rPr>
          <w:sz w:val="24"/>
          <w:szCs w:val="24"/>
          <w:lang w:bidi="he-IL"/>
        </w:rPr>
        <w:t xml:space="preserve">(to </w:t>
      </w:r>
      <w:r w:rsidR="00721DDC" w:rsidRPr="00580C4E">
        <w:rPr>
          <w:rFonts w:hint="cs"/>
          <w:sz w:val="24"/>
          <w:szCs w:val="24"/>
          <w:rtl/>
          <w:lang w:bidi="he-IL"/>
        </w:rPr>
        <w:t>כהנים</w:t>
      </w:r>
      <w:r w:rsidR="00721DDC" w:rsidRPr="00580C4E">
        <w:rPr>
          <w:sz w:val="24"/>
          <w:szCs w:val="24"/>
          <w:lang w:bidi="he-IL"/>
        </w:rPr>
        <w:t>).</w:t>
      </w:r>
      <w:r w:rsidR="00DF38B9">
        <w:rPr>
          <w:sz w:val="24"/>
          <w:szCs w:val="24"/>
          <w:lang w:bidi="he-IL"/>
        </w:rPr>
        <w:t xml:space="preserve"> He told </w:t>
      </w:r>
      <w:r w:rsidR="00DF38B9">
        <w:rPr>
          <w:rFonts w:hint="cs"/>
          <w:sz w:val="24"/>
          <w:szCs w:val="24"/>
          <w:rtl/>
          <w:lang w:bidi="he-IL"/>
        </w:rPr>
        <w:t>ר' שמן</w:t>
      </w:r>
      <w:r w:rsidR="00DF38B9">
        <w:rPr>
          <w:sz w:val="24"/>
          <w:szCs w:val="24"/>
          <w:lang w:bidi="he-IL"/>
        </w:rPr>
        <w:t xml:space="preserve"> who was a </w:t>
      </w:r>
      <w:r w:rsidR="00DF38B9">
        <w:rPr>
          <w:rFonts w:hint="cs"/>
          <w:sz w:val="24"/>
          <w:szCs w:val="24"/>
          <w:rtl/>
          <w:lang w:bidi="he-IL"/>
        </w:rPr>
        <w:t>כהן</w:t>
      </w:r>
      <w:r w:rsidR="00DF38B9">
        <w:rPr>
          <w:sz w:val="24"/>
          <w:szCs w:val="24"/>
          <w:lang w:bidi="he-IL"/>
        </w:rPr>
        <w:t xml:space="preserve"> to marry one of them.</w:t>
      </w:r>
      <w:r w:rsidRPr="00580C4E">
        <w:rPr>
          <w:b/>
          <w:bCs/>
          <w:sz w:val="24"/>
          <w:szCs w:val="24"/>
          <w:lang w:bidi="he-IL"/>
        </w:rPr>
        <w:t xml:space="preserve"> </w:t>
      </w:r>
      <w:r w:rsidR="00607478" w:rsidRPr="00580C4E">
        <w:rPr>
          <w:sz w:val="24"/>
          <w:szCs w:val="24"/>
          <w:lang w:bidi="he-IL"/>
        </w:rPr>
        <w:t xml:space="preserve">We must therefore conclude that here </w:t>
      </w:r>
      <w:r w:rsidR="00607478" w:rsidRPr="00580C4E">
        <w:rPr>
          <w:rFonts w:hint="cs"/>
          <w:sz w:val="24"/>
          <w:szCs w:val="24"/>
          <w:rtl/>
          <w:lang w:bidi="he-IL"/>
        </w:rPr>
        <w:t>לא תצא מהיתרה הראשון</w:t>
      </w:r>
      <w:r w:rsidR="00607478" w:rsidRPr="00580C4E">
        <w:rPr>
          <w:sz w:val="24"/>
          <w:szCs w:val="24"/>
          <w:lang w:bidi="he-IL"/>
        </w:rPr>
        <w:t xml:space="preserve"> means that she may marry </w:t>
      </w:r>
      <w:r w:rsidR="00607478" w:rsidRPr="00580C4E">
        <w:rPr>
          <w:rFonts w:hint="cs"/>
          <w:sz w:val="24"/>
          <w:szCs w:val="24"/>
          <w:rtl/>
          <w:lang w:bidi="he-IL"/>
        </w:rPr>
        <w:t>לכתחלה</w:t>
      </w:r>
      <w:r w:rsidR="00607478" w:rsidRPr="00580C4E">
        <w:rPr>
          <w:sz w:val="24"/>
          <w:szCs w:val="24"/>
          <w:lang w:bidi="he-IL"/>
        </w:rPr>
        <w:t>.</w:t>
      </w:r>
    </w:p>
    <w:p w:rsidR="00580C4E" w:rsidRDefault="00580C4E" w:rsidP="00632A74">
      <w:pPr>
        <w:spacing w:line="276" w:lineRule="auto"/>
        <w:jc w:val="both"/>
        <w:rPr>
          <w:sz w:val="24"/>
          <w:szCs w:val="24"/>
          <w:lang w:bidi="he-IL"/>
        </w:rPr>
      </w:pPr>
    </w:p>
    <w:p w:rsidR="00580C4E" w:rsidRPr="00DF38B9" w:rsidRDefault="00580C4E" w:rsidP="00632A74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DF38B9">
        <w:rPr>
          <w:rFonts w:ascii="Copperplate Gothic Bold" w:hAnsi="Copperplate Gothic Bold"/>
          <w:u w:val="double"/>
          <w:lang w:bidi="he-IL"/>
        </w:rPr>
        <w:t>Summary</w:t>
      </w:r>
    </w:p>
    <w:p w:rsidR="00580C4E" w:rsidRDefault="00580C4E" w:rsidP="00632A7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lang w:bidi="he-IL"/>
        </w:rPr>
        <w:t xml:space="preserve">A woman who claims </w:t>
      </w:r>
      <w:r>
        <w:rPr>
          <w:rFonts w:hint="cs"/>
          <w:rtl/>
          <w:lang w:bidi="he-IL"/>
        </w:rPr>
        <w:t>נשבתי וטהורה אני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בי"ד</w:t>
      </w:r>
      <w:r>
        <w:rPr>
          <w:lang w:bidi="he-IL"/>
        </w:rPr>
        <w:t xml:space="preserve"> was </w:t>
      </w:r>
      <w:r>
        <w:rPr>
          <w:rFonts w:hint="cs"/>
          <w:rtl/>
          <w:lang w:bidi="he-IL"/>
        </w:rPr>
        <w:t>מתיר</w:t>
      </w:r>
      <w:r>
        <w:rPr>
          <w:lang w:bidi="he-IL"/>
        </w:rPr>
        <w:t xml:space="preserve"> her to marry a </w:t>
      </w:r>
      <w:r>
        <w:rPr>
          <w:rFonts w:hint="cs"/>
          <w:rtl/>
          <w:lang w:bidi="he-IL"/>
        </w:rPr>
        <w:t>כהן</w:t>
      </w:r>
      <w:r>
        <w:rPr>
          <w:lang w:bidi="he-IL"/>
        </w:rPr>
        <w:t xml:space="preserve">; if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testified </w:t>
      </w:r>
      <w:r w:rsidR="000748A1">
        <w:rPr>
          <w:lang w:bidi="he-IL"/>
        </w:rPr>
        <w:t xml:space="preserve">later </w:t>
      </w:r>
      <w:r>
        <w:rPr>
          <w:lang w:bidi="he-IL"/>
        </w:rPr>
        <w:t xml:space="preserve">that she was a </w:t>
      </w:r>
      <w:r>
        <w:rPr>
          <w:rFonts w:hint="cs"/>
          <w:rtl/>
          <w:lang w:bidi="he-IL"/>
        </w:rPr>
        <w:t>שבויה</w:t>
      </w:r>
      <w:r>
        <w:rPr>
          <w:lang w:bidi="he-IL"/>
        </w:rPr>
        <w:t xml:space="preserve">, she may nevertheless marry a </w:t>
      </w:r>
      <w:r>
        <w:rPr>
          <w:rFonts w:hint="cs"/>
          <w:rtl/>
          <w:lang w:bidi="he-IL"/>
        </w:rPr>
        <w:t>כהן לכתחלה</w:t>
      </w:r>
      <w:r>
        <w:rPr>
          <w:lang w:bidi="he-IL"/>
        </w:rPr>
        <w:t>.</w:t>
      </w:r>
      <w:r w:rsidR="00A11450">
        <w:rPr>
          <w:lang w:bidi="he-IL"/>
        </w:rPr>
        <w:t xml:space="preserve"> (The same would apply to a woman who claims </w:t>
      </w:r>
      <w:r w:rsidR="00A11450">
        <w:rPr>
          <w:rFonts w:hint="cs"/>
          <w:rtl/>
          <w:lang w:bidi="he-IL"/>
        </w:rPr>
        <w:t>א"א הייתי וגרושה אני</w:t>
      </w:r>
      <w:r w:rsidR="000748A1">
        <w:rPr>
          <w:lang w:bidi="he-IL"/>
        </w:rPr>
        <w:t xml:space="preserve">, she would be able to remarry </w:t>
      </w:r>
      <w:r w:rsidR="000748A1">
        <w:rPr>
          <w:rFonts w:hint="cs"/>
          <w:rtl/>
          <w:lang w:bidi="he-IL"/>
        </w:rPr>
        <w:t>לכתחלה</w:t>
      </w:r>
      <w:r w:rsidR="000748A1">
        <w:rPr>
          <w:lang w:bidi="he-IL"/>
        </w:rPr>
        <w:t>,</w:t>
      </w:r>
      <w:r w:rsidR="00A11450">
        <w:rPr>
          <w:lang w:bidi="he-IL"/>
        </w:rPr>
        <w:t xml:space="preserve"> according to </w:t>
      </w:r>
      <w:r w:rsidR="00A11450">
        <w:rPr>
          <w:rFonts w:hint="cs"/>
          <w:rtl/>
          <w:lang w:bidi="he-IL"/>
        </w:rPr>
        <w:t>ר' אושעיא</w:t>
      </w:r>
      <w:r w:rsidR="00A11450">
        <w:rPr>
          <w:lang w:bidi="he-IL"/>
        </w:rPr>
        <w:t>).</w:t>
      </w:r>
    </w:p>
    <w:p w:rsidR="00A11450" w:rsidRPr="00DF38B9" w:rsidRDefault="00A11450" w:rsidP="00632A74">
      <w:pPr>
        <w:spacing w:line="276" w:lineRule="auto"/>
        <w:jc w:val="both"/>
        <w:rPr>
          <w:rFonts w:ascii="Copperplate Gothic Bold" w:hAnsi="Copperplate Gothic Bold"/>
          <w:sz w:val="24"/>
          <w:szCs w:val="24"/>
          <w:u w:val="double"/>
          <w:lang w:bidi="he-IL"/>
        </w:rPr>
      </w:pPr>
    </w:p>
    <w:p w:rsidR="00A11450" w:rsidRPr="00DF38B9" w:rsidRDefault="00A11450" w:rsidP="00632A74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DF38B9">
        <w:rPr>
          <w:rFonts w:ascii="Copperplate Gothic Bold" w:hAnsi="Copperplate Gothic Bold"/>
          <w:u w:val="double"/>
          <w:lang w:bidi="he-IL"/>
        </w:rPr>
        <w:t>Thinking it over</w:t>
      </w:r>
    </w:p>
    <w:p w:rsidR="00A11450" w:rsidRDefault="00A11450" w:rsidP="00632A74">
      <w:pPr>
        <w:spacing w:line="276" w:lineRule="auto"/>
        <w:jc w:val="both"/>
        <w:rPr>
          <w:rFonts w:hint="cs"/>
          <w:rtl/>
          <w:lang w:bidi="he-IL"/>
        </w:rPr>
      </w:pPr>
      <w:r>
        <w:rPr>
          <w:lang w:bidi="he-IL"/>
        </w:rPr>
        <w:t xml:space="preserve">Why would we think that </w:t>
      </w:r>
      <w:r>
        <w:rPr>
          <w:rFonts w:hint="cs"/>
          <w:rtl/>
          <w:lang w:bidi="he-IL"/>
        </w:rPr>
        <w:t>לא תצא מהיתרה הראשון</w:t>
      </w:r>
      <w:r>
        <w:rPr>
          <w:lang w:bidi="he-IL"/>
        </w:rPr>
        <w:t xml:space="preserve">, here, means </w:t>
      </w:r>
      <w:r>
        <w:rPr>
          <w:rFonts w:hint="cs"/>
          <w:rtl/>
          <w:lang w:bidi="he-IL"/>
        </w:rPr>
        <w:t>ואם נשאת לא תצא</w:t>
      </w:r>
      <w:r>
        <w:rPr>
          <w:lang w:bidi="he-IL"/>
        </w:rPr>
        <w:t xml:space="preserve"> as it does in </w:t>
      </w:r>
      <w:r>
        <w:rPr>
          <w:rFonts w:hint="cs"/>
          <w:rtl/>
          <w:lang w:bidi="he-IL"/>
        </w:rPr>
        <w:t>יבמות</w:t>
      </w:r>
      <w:r>
        <w:rPr>
          <w:lang w:bidi="he-IL"/>
        </w:rPr>
        <w:t>;</w:t>
      </w:r>
      <w:r w:rsidR="0032430D">
        <w:rPr>
          <w:rStyle w:val="FootnoteReference"/>
          <w:lang w:bidi="he-IL"/>
        </w:rPr>
        <w:footnoteReference w:id="6"/>
      </w:r>
      <w:r>
        <w:rPr>
          <w:lang w:bidi="he-IL"/>
        </w:rPr>
        <w:t xml:space="preserve"> there the </w:t>
      </w:r>
      <w:r>
        <w:rPr>
          <w:rFonts w:hint="cs"/>
          <w:rtl/>
          <w:lang w:bidi="he-IL"/>
        </w:rPr>
        <w:t>עד</w:t>
      </w:r>
      <w:r>
        <w:rPr>
          <w:lang w:bidi="he-IL"/>
        </w:rPr>
        <w:t xml:space="preserve"> is contradicted, however here no one contradicts her?!</w:t>
      </w:r>
    </w:p>
    <w:p w:rsidR="007D12C6" w:rsidRDefault="007D12C6" w:rsidP="00632A74">
      <w:pPr>
        <w:spacing w:line="276" w:lineRule="auto"/>
        <w:jc w:val="both"/>
        <w:rPr>
          <w:rFonts w:hint="cs"/>
          <w:rtl/>
          <w:lang w:bidi="he-IL"/>
        </w:rPr>
      </w:pPr>
    </w:p>
    <w:p w:rsidR="007D12C6" w:rsidRDefault="007D12C6" w:rsidP="00632A74">
      <w:pPr>
        <w:bidi/>
        <w:spacing w:line="276" w:lineRule="auto"/>
        <w:jc w:val="both"/>
        <w:rPr>
          <w:rFonts w:hint="cs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לחידודא </w:t>
      </w:r>
      <w:r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שלא להוציא הנייר חלק</w:t>
      </w:r>
    </w:p>
    <w:p w:rsidR="007D12C6" w:rsidRPr="007D12C6" w:rsidRDefault="007D12C6" w:rsidP="00632A74">
      <w:pPr>
        <w:bidi/>
        <w:spacing w:line="276" w:lineRule="auto"/>
        <w:jc w:val="both"/>
        <w:rPr>
          <w:rFonts w:hint="cs"/>
          <w:lang w:bidi="he-IL"/>
        </w:rPr>
      </w:pPr>
      <w:r>
        <w:rPr>
          <w:rFonts w:hint="cs"/>
          <w:rtl/>
          <w:lang w:bidi="he-IL"/>
        </w:rPr>
        <w:t>בתוס' ד"ה משום (כב,ב) מצטט רק המלים הסר ממך עקשות פה (בלא 'ו</w:t>
      </w:r>
      <w:r w:rsidR="00246741">
        <w:rPr>
          <w:rFonts w:hint="cs"/>
          <w:rtl/>
          <w:lang w:bidi="he-IL"/>
        </w:rPr>
        <w:t>ג</w:t>
      </w:r>
      <w:r>
        <w:rPr>
          <w:rFonts w:hint="cs"/>
          <w:rtl/>
          <w:lang w:bidi="he-IL"/>
        </w:rPr>
        <w:t>ו'' אפילו)</w:t>
      </w:r>
      <w:r w:rsidR="00305F1F">
        <w:rPr>
          <w:rFonts w:hint="cs"/>
          <w:rtl/>
          <w:lang w:bidi="he-IL"/>
        </w:rPr>
        <w:t>,</w:t>
      </w:r>
      <w:r>
        <w:rPr>
          <w:rFonts w:hint="cs"/>
          <w:rtl/>
          <w:lang w:bidi="he-IL"/>
        </w:rPr>
        <w:t xml:space="preserve"> ובתוס' שלנו מצטט רק 'לזות שפתיים'. וטעמא בעי. והנה אם נניח שהפסוק הנ"ל בא בסדר של לא זו אף זו</w:t>
      </w:r>
      <w:r w:rsidR="00305F1F">
        <w:rPr>
          <w:rFonts w:hint="cs"/>
          <w:rtl/>
          <w:lang w:bidi="he-IL"/>
        </w:rPr>
        <w:t xml:space="preserve"> [שצריך לשלול לא רק עשקות פה אלא גם לזות שפתיים]</w:t>
      </w:r>
      <w:r>
        <w:rPr>
          <w:rFonts w:hint="cs"/>
          <w:rtl/>
          <w:lang w:bidi="he-IL"/>
        </w:rPr>
        <w:t xml:space="preserve">, ז.א. שעקשות פה הוא יותר </w:t>
      </w:r>
      <w:r w:rsidR="00305F1F">
        <w:rPr>
          <w:rFonts w:hint="cs"/>
          <w:rtl/>
          <w:lang w:bidi="he-IL"/>
        </w:rPr>
        <w:t>גרוע</w:t>
      </w:r>
      <w:r>
        <w:rPr>
          <w:rFonts w:hint="cs"/>
          <w:rtl/>
          <w:lang w:bidi="he-IL"/>
        </w:rPr>
        <w:t xml:space="preserve"> וממילא יותר מושלל מלזות שפתיים (והטעם לזה הוא אולי משום שמלת 'עקש' </w:t>
      </w:r>
      <w:r w:rsidR="00305F1F">
        <w:rPr>
          <w:rFonts w:hint="cs"/>
          <w:rtl/>
          <w:lang w:bidi="he-IL"/>
        </w:rPr>
        <w:t>מורה על עקמומיות יתירה ממלת '</w:t>
      </w:r>
      <w:r>
        <w:rPr>
          <w:rFonts w:hint="cs"/>
          <w:rtl/>
          <w:lang w:bidi="he-IL"/>
        </w:rPr>
        <w:t>לזות</w:t>
      </w:r>
      <w:r w:rsidR="00EE175A">
        <w:rPr>
          <w:rFonts w:hint="cs"/>
          <w:rtl/>
          <w:lang w:bidi="he-IL"/>
        </w:rPr>
        <w:t xml:space="preserve">', </w:t>
      </w:r>
      <w:r>
        <w:rPr>
          <w:rFonts w:hint="cs"/>
          <w:rtl/>
          <w:lang w:bidi="he-IL"/>
        </w:rPr>
        <w:t>ו</w:t>
      </w:r>
      <w:r w:rsidR="00EE175A">
        <w:rPr>
          <w:rFonts w:hint="cs"/>
          <w:rtl/>
          <w:lang w:bidi="he-IL"/>
        </w:rPr>
        <w:t>עוד (והוא העיקר)</w:t>
      </w:r>
      <w:r>
        <w:rPr>
          <w:rFonts w:hint="cs"/>
          <w:rtl/>
          <w:lang w:bidi="he-IL"/>
        </w:rPr>
        <w:t xml:space="preserve"> </w:t>
      </w:r>
      <w:r w:rsidR="00EE175A">
        <w:rPr>
          <w:rFonts w:hint="cs"/>
          <w:rtl/>
          <w:lang w:bidi="he-IL"/>
        </w:rPr>
        <w:t>ש</w:t>
      </w:r>
      <w:r>
        <w:rPr>
          <w:rFonts w:hint="cs"/>
          <w:rtl/>
          <w:lang w:bidi="he-IL"/>
        </w:rPr>
        <w:t>הפה הוא מראה על דיבור יותר מהשפתיים בלבד</w:t>
      </w:r>
      <w:r w:rsidR="00EE175A">
        <w:rPr>
          <w:rFonts w:hint="cs"/>
          <w:rtl/>
          <w:lang w:bidi="he-IL"/>
        </w:rPr>
        <w:t xml:space="preserve"> [שהפה כולל גם השפתיים וגם שאר מוצאות הפה]</w:t>
      </w:r>
      <w:r>
        <w:rPr>
          <w:rFonts w:hint="cs"/>
          <w:rtl/>
          <w:lang w:bidi="he-IL"/>
        </w:rPr>
        <w:t>)</w:t>
      </w:r>
      <w:r w:rsidR="00305F1F">
        <w:rPr>
          <w:rFonts w:hint="cs"/>
          <w:rtl/>
          <w:lang w:bidi="he-IL"/>
        </w:rPr>
        <w:t>,</w:t>
      </w:r>
      <w:r>
        <w:rPr>
          <w:rFonts w:hint="cs"/>
          <w:rtl/>
          <w:lang w:bidi="he-IL"/>
        </w:rPr>
        <w:t>יובן.</w:t>
      </w:r>
      <w:r w:rsidR="00EE175A">
        <w:rPr>
          <w:rFonts w:hint="cs"/>
          <w:rtl/>
          <w:lang w:bidi="he-IL"/>
        </w:rPr>
        <w:t xml:space="preserve"> דשם כשיש ע"א בהכחשה יש (לא רק לזות שפתיים, אלא גם) עקשות הפה (שהעד האחר אומר במפורש שלא מת הבעל), משא"כ </w:t>
      </w:r>
      <w:r w:rsidR="00246741">
        <w:rPr>
          <w:rFonts w:hint="cs"/>
          <w:rtl/>
          <w:lang w:bidi="he-IL"/>
        </w:rPr>
        <w:t>כאן</w:t>
      </w:r>
      <w:r w:rsidR="00EE175A">
        <w:rPr>
          <w:rFonts w:hint="cs"/>
          <w:rtl/>
          <w:lang w:bidi="he-IL"/>
        </w:rPr>
        <w:t xml:space="preserve"> כשהאשה אינה מוכחשת אין אפילו לזות שפתיים (מהעדים שמעידים שהיתה שבויה מאחר שזה לא מורה שנטמאה).</w:t>
      </w:r>
    </w:p>
    <w:sectPr w:rsidR="007D12C6" w:rsidRPr="007D12C6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66C" w:rsidRDefault="0035566C">
      <w:r>
        <w:separator/>
      </w:r>
    </w:p>
  </w:endnote>
  <w:endnote w:type="continuationSeparator" w:id="0">
    <w:p w:rsidR="0035566C" w:rsidRDefault="00355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741" w:rsidRDefault="00246741" w:rsidP="002C328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46741" w:rsidRDefault="002467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A74" w:rsidRDefault="00632A74">
    <w:pPr>
      <w:pStyle w:val="Footer"/>
      <w:jc w:val="center"/>
      <w:rPr>
        <w:noProof/>
        <w:sz w:val="16"/>
        <w:szCs w:val="16"/>
      </w:rPr>
    </w:pPr>
    <w:r w:rsidRPr="00632A74">
      <w:rPr>
        <w:sz w:val="20"/>
        <w:szCs w:val="20"/>
      </w:rPr>
      <w:fldChar w:fldCharType="begin"/>
    </w:r>
    <w:r w:rsidRPr="00632A74">
      <w:rPr>
        <w:sz w:val="20"/>
        <w:szCs w:val="20"/>
      </w:rPr>
      <w:instrText xml:space="preserve"> PAGE   \* MERGEFORMAT </w:instrText>
    </w:r>
    <w:r w:rsidRPr="00632A74">
      <w:rPr>
        <w:sz w:val="20"/>
        <w:szCs w:val="20"/>
      </w:rPr>
      <w:fldChar w:fldCharType="separate"/>
    </w:r>
    <w:r w:rsidR="00811D15">
      <w:rPr>
        <w:noProof/>
        <w:sz w:val="20"/>
        <w:szCs w:val="20"/>
      </w:rPr>
      <w:t>2</w:t>
    </w:r>
    <w:r w:rsidRPr="00632A74">
      <w:rPr>
        <w:noProof/>
        <w:sz w:val="20"/>
        <w:szCs w:val="20"/>
      </w:rPr>
      <w:fldChar w:fldCharType="end"/>
    </w:r>
  </w:p>
  <w:p w:rsidR="00632A74" w:rsidRPr="00632A74" w:rsidRDefault="00632A74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246741" w:rsidRPr="00E02714" w:rsidRDefault="00246741" w:rsidP="00E02714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66C" w:rsidRDefault="0035566C">
      <w:r>
        <w:separator/>
      </w:r>
    </w:p>
  </w:footnote>
  <w:footnote w:type="continuationSeparator" w:id="0">
    <w:p w:rsidR="0035566C" w:rsidRDefault="0035566C">
      <w:r>
        <w:continuationSeparator/>
      </w:r>
    </w:p>
  </w:footnote>
  <w:footnote w:id="1">
    <w:p w:rsidR="00246741" w:rsidRDefault="00246741" w:rsidP="0032430D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(usually) uses the term </w:t>
      </w:r>
      <w:r>
        <w:rPr>
          <w:rFonts w:hint="cs"/>
          <w:rtl/>
          <w:lang w:bidi="he-IL"/>
        </w:rPr>
        <w:t>'פירוש'</w:t>
      </w:r>
      <w:r>
        <w:rPr>
          <w:lang w:bidi="he-IL"/>
        </w:rPr>
        <w:t xml:space="preserve"> to indicate that it should not be understood in a different (or more obvious) manner. Here,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is rejecting the </w:t>
      </w:r>
      <w:r>
        <w:rPr>
          <w:rFonts w:hint="cs"/>
          <w:rtl/>
          <w:lang w:bidi="he-IL"/>
        </w:rPr>
        <w:t>'אין לפרש'</w:t>
      </w:r>
      <w:r>
        <w:rPr>
          <w:lang w:bidi="he-IL"/>
        </w:rPr>
        <w:t xml:space="preserve">, which he will shortly state. </w:t>
      </w:r>
    </w:p>
  </w:footnote>
  <w:footnote w:id="2">
    <w:p w:rsidR="00632A74" w:rsidRPr="00632A74" w:rsidRDefault="00632A74" w:rsidP="0032430D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Previously </w:t>
      </w:r>
      <w:r>
        <w:rPr>
          <w:rFonts w:hint="cs"/>
          <w:rtl/>
          <w:lang w:bidi="he-IL"/>
        </w:rPr>
        <w:t>(כב,ב)</w:t>
      </w:r>
      <w:r>
        <w:rPr>
          <w:lang w:bidi="he-IL"/>
        </w:rPr>
        <w:t xml:space="preserve">, concerning the case where an </w:t>
      </w:r>
      <w:r>
        <w:rPr>
          <w:rFonts w:hint="cs"/>
          <w:rtl/>
          <w:lang w:bidi="he-IL"/>
        </w:rPr>
        <w:t>ע"א</w:t>
      </w:r>
      <w:r>
        <w:rPr>
          <w:lang w:bidi="he-IL"/>
        </w:rPr>
        <w:t xml:space="preserve"> claimed that her husband died and another </w:t>
      </w:r>
      <w:r>
        <w:rPr>
          <w:rFonts w:hint="cs"/>
          <w:rtl/>
          <w:lang w:bidi="he-IL"/>
        </w:rPr>
        <w:t>ע"א</w:t>
      </w:r>
      <w:r>
        <w:rPr>
          <w:lang w:bidi="he-IL"/>
        </w:rPr>
        <w:t xml:space="preserve"> contradicted him, the rule is </w:t>
      </w:r>
      <w:r>
        <w:rPr>
          <w:rFonts w:hint="cs"/>
          <w:rtl/>
          <w:lang w:bidi="he-IL"/>
        </w:rPr>
        <w:t>אם נשאת לא תצא</w:t>
      </w:r>
      <w:r>
        <w:rPr>
          <w:lang w:bidi="he-IL"/>
        </w:rPr>
        <w:t xml:space="preserve"> (since </w:t>
      </w:r>
      <w:r>
        <w:rPr>
          <w:rFonts w:hint="cs"/>
          <w:rtl/>
          <w:lang w:bidi="he-IL"/>
        </w:rPr>
        <w:t>האמינה תורה ע"א וכו'</w:t>
      </w:r>
      <w:r>
        <w:rPr>
          <w:lang w:bidi="he-IL"/>
        </w:rPr>
        <w:t xml:space="preserve">); however initially </w:t>
      </w:r>
      <w:r>
        <w:rPr>
          <w:rFonts w:hint="cs"/>
          <w:rtl/>
          <w:lang w:bidi="he-IL"/>
        </w:rPr>
        <w:t>לא תנשא</w:t>
      </w:r>
      <w:r>
        <w:rPr>
          <w:lang w:bidi="he-IL"/>
        </w:rPr>
        <w:t xml:space="preserve"> on account of </w:t>
      </w:r>
      <w:r>
        <w:rPr>
          <w:rFonts w:hint="cs"/>
          <w:rtl/>
          <w:lang w:bidi="he-IL"/>
        </w:rPr>
        <w:t>(הסר ממך עקשות פה) ולזות שפתיים</w:t>
      </w:r>
      <w:r>
        <w:rPr>
          <w:lang w:bidi="he-IL"/>
        </w:rPr>
        <w:t>. This concern is not applicable in our case.</w:t>
      </w:r>
    </w:p>
  </w:footnote>
  <w:footnote w:id="3">
    <w:p w:rsidR="00632A74" w:rsidRDefault="00632A74" w:rsidP="0032430D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merely testify that she was a </w:t>
      </w:r>
      <w:r>
        <w:rPr>
          <w:rFonts w:hint="cs"/>
          <w:rtl/>
          <w:lang w:bidi="he-IL"/>
        </w:rPr>
        <w:t>שבויה</w:t>
      </w:r>
      <w:r>
        <w:rPr>
          <w:lang w:bidi="he-IL"/>
        </w:rPr>
        <w:t xml:space="preserve"> (or an </w:t>
      </w:r>
      <w:r>
        <w:rPr>
          <w:rFonts w:hint="cs"/>
          <w:rtl/>
          <w:lang w:bidi="he-IL"/>
        </w:rPr>
        <w:t>א"א</w:t>
      </w:r>
      <w:r>
        <w:rPr>
          <w:lang w:bidi="he-IL"/>
        </w:rPr>
        <w:t xml:space="preserve">) they do not contradict her testimony that she is a </w:t>
      </w:r>
      <w:r>
        <w:rPr>
          <w:rFonts w:hint="cs"/>
          <w:rtl/>
          <w:lang w:bidi="he-IL"/>
        </w:rPr>
        <w:t>טהורה</w:t>
      </w:r>
      <w:r>
        <w:rPr>
          <w:lang w:bidi="he-IL"/>
        </w:rPr>
        <w:t xml:space="preserve"> (or that </w:t>
      </w:r>
      <w:r>
        <w:rPr>
          <w:rFonts w:hint="cs"/>
          <w:rtl/>
          <w:lang w:bidi="he-IL"/>
        </w:rPr>
        <w:t>נתגרשה</w:t>
      </w:r>
      <w:r>
        <w:rPr>
          <w:lang w:bidi="he-IL"/>
        </w:rPr>
        <w:t xml:space="preserve">). However by the case of an </w:t>
      </w:r>
      <w:r>
        <w:rPr>
          <w:rFonts w:hint="cs"/>
          <w:rtl/>
          <w:lang w:bidi="he-IL"/>
        </w:rPr>
        <w:t>ע"א</w:t>
      </w:r>
      <w:r>
        <w:rPr>
          <w:lang w:bidi="he-IL"/>
        </w:rPr>
        <w:t xml:space="preserve">, another </w:t>
      </w:r>
      <w:r>
        <w:rPr>
          <w:rFonts w:hint="cs"/>
          <w:rtl/>
          <w:lang w:bidi="he-IL"/>
        </w:rPr>
        <w:t>ע"א</w:t>
      </w:r>
      <w:r>
        <w:rPr>
          <w:lang w:bidi="he-IL"/>
        </w:rPr>
        <w:t xml:space="preserve"> contradicts him.</w:t>
      </w:r>
    </w:p>
  </w:footnote>
  <w:footnote w:id="4">
    <w:p w:rsidR="00632A74" w:rsidRDefault="00632A74" w:rsidP="0032430D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דף קיז,ב</w:t>
      </w:r>
      <w:r>
        <w:rPr>
          <w:lang w:bidi="he-IL"/>
        </w:rPr>
        <w:t xml:space="preserve">. See previous </w:t>
      </w:r>
      <w:r>
        <w:rPr>
          <w:rFonts w:hint="cs"/>
          <w:rtl/>
          <w:lang w:bidi="he-IL"/>
        </w:rPr>
        <w:t>תוספות כב,ב ד"ה משום</w:t>
      </w:r>
      <w:r>
        <w:rPr>
          <w:lang w:bidi="he-IL"/>
        </w:rPr>
        <w:t xml:space="preserve">. There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states </w:t>
      </w:r>
      <w:r>
        <w:rPr>
          <w:rFonts w:hint="cs"/>
          <w:rtl/>
          <w:lang w:bidi="he-IL"/>
        </w:rPr>
        <w:t>לא תצא מהיתרא הראשון</w:t>
      </w:r>
      <w:r>
        <w:rPr>
          <w:lang w:bidi="he-IL"/>
        </w:rPr>
        <w:t xml:space="preserve"> (in the case of two contradicting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), and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interprets it to mean that if she remarried she may remain married, however initially she may not remarry. Seemingly here too, where the same expression </w:t>
      </w:r>
      <w:r>
        <w:rPr>
          <w:rFonts w:hint="cs"/>
          <w:rtl/>
          <w:lang w:bidi="he-IL"/>
        </w:rPr>
        <w:t>לא תצא מהיתרה הראשון</w:t>
      </w:r>
      <w:r>
        <w:rPr>
          <w:lang w:bidi="he-IL"/>
        </w:rPr>
        <w:t xml:space="preserve"> is used, it should means the same. See ‘Thinking it over’.</w:t>
      </w:r>
    </w:p>
  </w:footnote>
  <w:footnote w:id="5">
    <w:p w:rsidR="00DF38B9" w:rsidRDefault="00DF38B9" w:rsidP="0032430D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תוסספות ישנים</w:t>
      </w:r>
      <w:r>
        <w:rPr>
          <w:lang w:bidi="he-IL"/>
        </w:rPr>
        <w:t xml:space="preserve"> in the margin who writes: </w:t>
      </w:r>
      <w:r w:rsidRPr="00373600">
        <w:rPr>
          <w:rFonts w:hint="cs"/>
          <w:b/>
          <w:bCs/>
          <w:rtl/>
          <w:lang w:bidi="he-IL"/>
        </w:rPr>
        <w:t>לכתחלה דפריך טעמא דליכא עדים הא איכא עדים מיתסרא ומאי פריך אי</w:t>
      </w:r>
      <w:r>
        <w:rPr>
          <w:rFonts w:hint="cs"/>
          <w:rtl/>
          <w:lang w:bidi="he-IL"/>
        </w:rPr>
        <w:t xml:space="preserve"> </w:t>
      </w:r>
      <w:r w:rsidRPr="00373600">
        <w:rPr>
          <w:rFonts w:hint="cs"/>
          <w:b/>
          <w:bCs/>
          <w:rtl/>
          <w:lang w:bidi="he-IL"/>
        </w:rPr>
        <w:t>מתסרא לכתחלה</w:t>
      </w:r>
      <w:r>
        <w:rPr>
          <w:lang w:bidi="he-IL"/>
        </w:rPr>
        <w:t xml:space="preserve">. </w:t>
      </w:r>
      <w:r>
        <w:t xml:space="preserve">The </w:t>
      </w:r>
      <w:r>
        <w:rPr>
          <w:rFonts w:hint="cs"/>
          <w:rtl/>
          <w:lang w:bidi="he-IL"/>
        </w:rPr>
        <w:t>תו"י</w:t>
      </w:r>
      <w:r>
        <w:rPr>
          <w:lang w:bidi="he-IL"/>
        </w:rPr>
        <w:t xml:space="preserve"> offers (an additional) poof that </w:t>
      </w:r>
      <w:r>
        <w:rPr>
          <w:rFonts w:hint="cs"/>
          <w:rtl/>
          <w:lang w:bidi="he-IL"/>
        </w:rPr>
        <w:t>לא תצא</w:t>
      </w:r>
      <w:r>
        <w:rPr>
          <w:lang w:bidi="he-IL"/>
        </w:rPr>
        <w:t xml:space="preserve"> means </w:t>
      </w:r>
      <w:r>
        <w:rPr>
          <w:rFonts w:hint="cs"/>
          <w:rtl/>
          <w:lang w:bidi="he-IL"/>
        </w:rPr>
        <w:t>תנשא לכתחלה</w:t>
      </w:r>
      <w:r>
        <w:rPr>
          <w:lang w:bidi="he-IL"/>
        </w:rPr>
        <w:t xml:space="preserve"> from the end of this </w:t>
      </w:r>
      <w:r>
        <w:rPr>
          <w:rFonts w:hint="cs"/>
          <w:rtl/>
          <w:lang w:bidi="he-IL"/>
        </w:rPr>
        <w:t>סוגיא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(initially) inferred that if </w:t>
      </w:r>
      <w:r>
        <w:rPr>
          <w:rFonts w:hint="cs"/>
          <w:rtl/>
          <w:lang w:bidi="he-IL"/>
        </w:rPr>
        <w:t>עדי שבויה</w:t>
      </w:r>
      <w:r>
        <w:rPr>
          <w:lang w:bidi="he-IL"/>
        </w:rPr>
        <w:t xml:space="preserve"> would come (later) she would be </w:t>
      </w:r>
      <w:r>
        <w:rPr>
          <w:rFonts w:hint="cs"/>
          <w:rtl/>
          <w:lang w:bidi="he-IL"/>
        </w:rPr>
        <w:t>אסורה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asks that this contradicts the ruling of </w:t>
      </w:r>
      <w:r>
        <w:rPr>
          <w:rFonts w:hint="cs"/>
          <w:rtl/>
          <w:lang w:bidi="he-IL"/>
        </w:rPr>
        <w:t>אבוה דשמואל</w:t>
      </w:r>
      <w:r>
        <w:rPr>
          <w:lang w:bidi="he-IL"/>
        </w:rPr>
        <w:t xml:space="preserve"> who states </w:t>
      </w:r>
      <w:r>
        <w:rPr>
          <w:rFonts w:hint="cs"/>
          <w:rtl/>
          <w:lang w:bidi="he-IL"/>
        </w:rPr>
        <w:t>התירוה לינשא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תו"י</w:t>
      </w:r>
      <w:r>
        <w:rPr>
          <w:lang w:bidi="he-IL"/>
        </w:rPr>
        <w:t xml:space="preserve"> claims that if the ruling of </w:t>
      </w:r>
      <w:r>
        <w:rPr>
          <w:rFonts w:hint="cs"/>
          <w:rtl/>
          <w:lang w:bidi="he-IL"/>
        </w:rPr>
        <w:t>אבוה דשמואל</w:t>
      </w:r>
      <w:r>
        <w:rPr>
          <w:lang w:bidi="he-IL"/>
        </w:rPr>
        <w:t xml:space="preserve"> is only </w:t>
      </w:r>
      <w:r>
        <w:rPr>
          <w:rFonts w:hint="cs"/>
          <w:rtl/>
          <w:lang w:bidi="he-IL"/>
        </w:rPr>
        <w:t>בדיעבד</w:t>
      </w:r>
      <w:r>
        <w:rPr>
          <w:lang w:bidi="he-IL"/>
        </w:rPr>
        <w:t xml:space="preserve">, then there is no contradiction. Perhaps the </w:t>
      </w:r>
      <w:r>
        <w:rPr>
          <w:rFonts w:hint="cs"/>
          <w:rtl/>
          <w:lang w:bidi="he-IL"/>
        </w:rPr>
        <w:t>תו"י</w:t>
      </w:r>
      <w:r>
        <w:rPr>
          <w:lang w:bidi="he-IL"/>
        </w:rPr>
        <w:t xml:space="preserve"> offers this additional proof, in order to prove that </w:t>
      </w:r>
      <w:r>
        <w:rPr>
          <w:rFonts w:hint="cs"/>
          <w:rtl/>
          <w:lang w:bidi="he-IL"/>
        </w:rPr>
        <w:t>אבוה דשמואל</w:t>
      </w:r>
      <w:r>
        <w:rPr>
          <w:lang w:bidi="he-IL"/>
        </w:rPr>
        <w:t xml:space="preserve"> also agrees that </w:t>
      </w:r>
      <w:r>
        <w:rPr>
          <w:rFonts w:hint="cs"/>
          <w:rtl/>
          <w:lang w:bidi="he-IL"/>
        </w:rPr>
        <w:t>תנשא לכתחלה</w:t>
      </w:r>
      <w:r>
        <w:rPr>
          <w:lang w:bidi="he-IL"/>
        </w:rPr>
        <w:t xml:space="preserve"> (not only </w:t>
      </w:r>
      <w:r>
        <w:rPr>
          <w:rFonts w:hint="cs"/>
          <w:rtl/>
          <w:lang w:bidi="he-IL"/>
        </w:rPr>
        <w:t>רבי חנינא</w:t>
      </w:r>
      <w:r>
        <w:rPr>
          <w:lang w:bidi="he-IL"/>
        </w:rPr>
        <w:t>).</w:t>
      </w:r>
    </w:p>
  </w:footnote>
  <w:footnote w:id="6">
    <w:p w:rsidR="0032430D" w:rsidRDefault="0032430D" w:rsidP="0032430D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741" w:rsidRPr="00E02714" w:rsidRDefault="00246741" w:rsidP="00E02714">
    <w:pPr>
      <w:pStyle w:val="Header"/>
      <w:bidi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כג,א תוס' ד,ה לא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40969"/>
    <w:rsid w:val="000646B0"/>
    <w:rsid w:val="000748A1"/>
    <w:rsid w:val="000C137A"/>
    <w:rsid w:val="0010603D"/>
    <w:rsid w:val="00145780"/>
    <w:rsid w:val="00184D2E"/>
    <w:rsid w:val="001A1B9C"/>
    <w:rsid w:val="0020216B"/>
    <w:rsid w:val="00210A1E"/>
    <w:rsid w:val="00246741"/>
    <w:rsid w:val="0025128C"/>
    <w:rsid w:val="002C3288"/>
    <w:rsid w:val="00305F1F"/>
    <w:rsid w:val="0032430D"/>
    <w:rsid w:val="0035566C"/>
    <w:rsid w:val="00373600"/>
    <w:rsid w:val="003F28D4"/>
    <w:rsid w:val="003F6705"/>
    <w:rsid w:val="00457494"/>
    <w:rsid w:val="004C1834"/>
    <w:rsid w:val="004E2EBB"/>
    <w:rsid w:val="00580C4E"/>
    <w:rsid w:val="00607478"/>
    <w:rsid w:val="00632A74"/>
    <w:rsid w:val="00721DDC"/>
    <w:rsid w:val="00740969"/>
    <w:rsid w:val="007552E7"/>
    <w:rsid w:val="007A3210"/>
    <w:rsid w:val="007A3D7E"/>
    <w:rsid w:val="007D12C6"/>
    <w:rsid w:val="00811D15"/>
    <w:rsid w:val="00816504"/>
    <w:rsid w:val="0089054C"/>
    <w:rsid w:val="00960C22"/>
    <w:rsid w:val="00A11450"/>
    <w:rsid w:val="00BA7DFC"/>
    <w:rsid w:val="00D54370"/>
    <w:rsid w:val="00D80DE2"/>
    <w:rsid w:val="00DF38B9"/>
    <w:rsid w:val="00E02714"/>
    <w:rsid w:val="00EE175A"/>
    <w:rsid w:val="00EF5FE1"/>
    <w:rsid w:val="00F6578E"/>
    <w:rsid w:val="00F95EBD"/>
    <w:rsid w:val="00FD526D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6A64590-1FE8-4A25-B28A-9A941998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rginnote">
    <w:name w:val="margin note"/>
    <w:basedOn w:val="Normal"/>
    <w:autoRedefine/>
    <w:rsid w:val="00816504"/>
    <w:pPr>
      <w:jc w:val="both"/>
    </w:pPr>
    <w:rPr>
      <w:rFonts w:cs="David"/>
      <w:i/>
      <w:iCs/>
      <w:sz w:val="20"/>
      <w:szCs w:val="20"/>
      <w:lang w:bidi="he-IL"/>
    </w:rPr>
  </w:style>
  <w:style w:type="paragraph" w:styleId="FootnoteText">
    <w:name w:val="footnote text"/>
    <w:basedOn w:val="Normal"/>
    <w:semiHidden/>
    <w:rsid w:val="00721DDC"/>
    <w:rPr>
      <w:sz w:val="20"/>
      <w:szCs w:val="20"/>
    </w:rPr>
  </w:style>
  <w:style w:type="character" w:styleId="FootnoteReference">
    <w:name w:val="footnote reference"/>
    <w:semiHidden/>
    <w:rsid w:val="00721DDC"/>
    <w:rPr>
      <w:vertAlign w:val="superscript"/>
    </w:rPr>
  </w:style>
  <w:style w:type="paragraph" w:styleId="Header">
    <w:name w:val="header"/>
    <w:basedOn w:val="Normal"/>
    <w:rsid w:val="00E0271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0271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80C4E"/>
  </w:style>
  <w:style w:type="character" w:customStyle="1" w:styleId="FooterChar">
    <w:name w:val="Footer Char"/>
    <w:link w:val="Footer"/>
    <w:uiPriority w:val="99"/>
    <w:rsid w:val="00632A74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לא תצא מהיתרה הראשון – </vt:lpstr>
    </vt:vector>
  </TitlesOfParts>
  <Company> </Company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לא תצא מהיתרה הראשון – </dc:title>
  <dc:subject/>
  <dc:creator> </dc:creator>
  <cp:keywords/>
  <dc:description/>
  <cp:lastModifiedBy>Microsoft account</cp:lastModifiedBy>
  <cp:revision>2</cp:revision>
  <dcterms:created xsi:type="dcterms:W3CDTF">2022-04-05T10:53:00Z</dcterms:created>
  <dcterms:modified xsi:type="dcterms:W3CDTF">2022-04-05T10:53:00Z</dcterms:modified>
</cp:coreProperties>
</file>