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B0" w:rsidRDefault="00763EB0" w:rsidP="001B5ADD">
      <w:pPr>
        <w:bidi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bookmarkStart w:id="0" w:name="_GoBack"/>
      <w:bookmarkEnd w:id="0"/>
      <w:r w:rsidRPr="00763EB0">
        <w:rPr>
          <w:rFonts w:hint="cs"/>
          <w:b/>
          <w:bCs/>
          <w:sz w:val="36"/>
          <w:szCs w:val="36"/>
          <w:rtl/>
        </w:rPr>
        <w:t>באו</w:t>
      </w:r>
      <w:r>
        <w:rPr>
          <w:rFonts w:hint="cs"/>
          <w:rtl/>
        </w:rPr>
        <w:t xml:space="preserve"> </w:t>
      </w:r>
      <w:r w:rsidRPr="00763EB0">
        <w:rPr>
          <w:rFonts w:hint="cs"/>
          <w:b/>
          <w:bCs/>
          <w:sz w:val="32"/>
          <w:szCs w:val="32"/>
          <w:rtl/>
        </w:rPr>
        <w:t>עדים</w:t>
      </w:r>
      <w:r w:rsidR="00035806">
        <w:rPr>
          <w:rStyle w:val="FootnoteReference"/>
          <w:b/>
          <w:bCs/>
          <w:sz w:val="32"/>
          <w:szCs w:val="32"/>
          <w:rtl/>
        </w:rPr>
        <w:footnoteReference w:id="1"/>
      </w:r>
      <w:r w:rsidRPr="00763EB0">
        <w:rPr>
          <w:rFonts w:hint="cs"/>
          <w:b/>
          <w:bCs/>
          <w:sz w:val="32"/>
          <w:szCs w:val="32"/>
          <w:rtl/>
        </w:rPr>
        <w:t xml:space="preserve"> לא תצא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rtl/>
        </w:rPr>
        <w:t xml:space="preserve"> </w:t>
      </w:r>
      <w:r w:rsidR="004C6FBC">
        <w:rPr>
          <w:rFonts w:hint="cs"/>
          <w:rtl/>
          <w:lang w:bidi="he-IL"/>
        </w:rPr>
        <w:t xml:space="preserve"> </w:t>
      </w:r>
      <w:r w:rsidR="004C6FBC" w:rsidRPr="004C6FBC">
        <w:rPr>
          <w:sz w:val="32"/>
          <w:szCs w:val="32"/>
          <w:lang w:bidi="he-IL"/>
        </w:rPr>
        <w:t xml:space="preserve">If </w:t>
      </w:r>
      <w:r w:rsidR="004C6FBC" w:rsidRPr="004C6FBC">
        <w:rPr>
          <w:b/>
          <w:bCs/>
          <w:sz w:val="32"/>
          <w:szCs w:val="32"/>
          <w:lang w:bidi="he-IL"/>
        </w:rPr>
        <w:t>witnesses came</w:t>
      </w:r>
      <w:r w:rsidR="00222CA6">
        <w:rPr>
          <w:b/>
          <w:bCs/>
          <w:sz w:val="32"/>
          <w:szCs w:val="32"/>
          <w:lang w:bidi="he-IL"/>
        </w:rPr>
        <w:t>,</w:t>
      </w:r>
      <w:r w:rsidR="004C6FBC" w:rsidRPr="004C6FBC">
        <w:rPr>
          <w:b/>
          <w:bCs/>
          <w:sz w:val="32"/>
          <w:szCs w:val="32"/>
          <w:lang w:bidi="he-IL"/>
        </w:rPr>
        <w:t xml:space="preserve"> she is not </w:t>
      </w:r>
      <w:r w:rsidR="004C6FBC" w:rsidRPr="004C6FBC">
        <w:rPr>
          <w:sz w:val="32"/>
          <w:szCs w:val="32"/>
          <w:lang w:bidi="he-IL"/>
        </w:rPr>
        <w:t xml:space="preserve">required to </w:t>
      </w:r>
      <w:r w:rsidR="004C6FBC" w:rsidRPr="004C6FBC">
        <w:rPr>
          <w:b/>
          <w:bCs/>
          <w:sz w:val="32"/>
          <w:szCs w:val="32"/>
          <w:lang w:bidi="he-IL"/>
        </w:rPr>
        <w:t>leave</w:t>
      </w:r>
      <w:r w:rsidR="004C6FBC">
        <w:rPr>
          <w:b/>
          <w:bCs/>
          <w:sz w:val="32"/>
          <w:szCs w:val="32"/>
          <w:lang w:bidi="he-IL"/>
        </w:rPr>
        <w:t xml:space="preserve">   </w:t>
      </w:r>
    </w:p>
    <w:p w:rsidR="00763EB0" w:rsidRPr="00035806" w:rsidRDefault="00222CA6" w:rsidP="001B5AD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35806">
        <w:rPr>
          <w:rFonts w:ascii="Copperplate Gothic Bold" w:hAnsi="Copperplate Gothic Bold"/>
          <w:u w:val="double"/>
          <w:lang w:bidi="he-IL"/>
        </w:rPr>
        <w:t>Overview</w:t>
      </w:r>
    </w:p>
    <w:p w:rsidR="00222CA6" w:rsidRPr="00222CA6" w:rsidRDefault="00222CA6" w:rsidP="001B5AD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teaches us that if a woman claimed </w:t>
      </w:r>
      <w:r>
        <w:rPr>
          <w:rFonts w:hint="cs"/>
          <w:rtl/>
          <w:lang w:bidi="he-IL"/>
        </w:rPr>
        <w:t>נשבתי וטהורה אני</w:t>
      </w:r>
      <w:r>
        <w:rPr>
          <w:lang w:bidi="he-IL"/>
        </w:rPr>
        <w:t xml:space="preserve"> and I also have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טהורה אני</w:t>
      </w:r>
      <w:r>
        <w:rPr>
          <w:lang w:bidi="he-IL"/>
        </w:rPr>
        <w:t xml:space="preserve"> (and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permitted her to marry), then even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subsequently came and claimed that they are unaware if she is </w:t>
      </w:r>
      <w:r>
        <w:rPr>
          <w:rFonts w:hint="cs"/>
          <w:rtl/>
          <w:lang w:bidi="he-IL"/>
        </w:rPr>
        <w:t>טהורה</w:t>
      </w:r>
      <w:r>
        <w:rPr>
          <w:lang w:bidi="he-IL"/>
        </w:rPr>
        <w:t xml:space="preserve"> or not, nevertheless </w:t>
      </w:r>
      <w:r>
        <w:rPr>
          <w:rFonts w:hint="cs"/>
          <w:rtl/>
          <w:lang w:bidi="he-IL"/>
        </w:rPr>
        <w:t>לא תצא</w:t>
      </w:r>
      <w:r>
        <w:rPr>
          <w:lang w:bidi="he-IL"/>
        </w:rPr>
        <w:t>.</w:t>
      </w:r>
      <w:r w:rsidR="00EA2FE1">
        <w:rPr>
          <w:lang w:bidi="he-IL"/>
        </w:rPr>
        <w:t xml:space="preserve"> Again, </w:t>
      </w:r>
      <w:r w:rsidR="00EA2FE1">
        <w:rPr>
          <w:rFonts w:hint="cs"/>
          <w:rtl/>
          <w:lang w:bidi="he-IL"/>
        </w:rPr>
        <w:t>תוספות</w:t>
      </w:r>
      <w:r w:rsidR="00EA2FE1">
        <w:rPr>
          <w:lang w:bidi="he-IL"/>
        </w:rPr>
        <w:t xml:space="preserve"> will explain the meaning of </w:t>
      </w:r>
      <w:r w:rsidR="00EA2FE1">
        <w:rPr>
          <w:rFonts w:hint="cs"/>
          <w:rtl/>
          <w:lang w:bidi="he-IL"/>
        </w:rPr>
        <w:t>לא תצא</w:t>
      </w:r>
      <w:r w:rsidR="00EA2FE1">
        <w:rPr>
          <w:lang w:bidi="he-IL"/>
        </w:rPr>
        <w:t>.</w:t>
      </w:r>
    </w:p>
    <w:p w:rsidR="00763EB0" w:rsidRDefault="00EA2FE1" w:rsidP="00C10EC1">
      <w:pPr>
        <w:bidi/>
        <w:spacing w:line="276" w:lineRule="auto"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</w:t>
      </w:r>
    </w:p>
    <w:p w:rsidR="00D80DE2" w:rsidRPr="00C10EC1" w:rsidRDefault="00763EB0" w:rsidP="00C10EC1">
      <w:pPr>
        <w:bidi/>
        <w:spacing w:line="276" w:lineRule="auto"/>
        <w:jc w:val="both"/>
        <w:rPr>
          <w:rFonts w:cs="Aharoni"/>
          <w:b/>
          <w:bCs/>
          <w:lang w:bidi="he-IL"/>
        </w:rPr>
      </w:pPr>
      <w:r w:rsidRPr="00C10EC1">
        <w:rPr>
          <w:rFonts w:cs="David" w:hint="cs"/>
          <w:b/>
          <w:bCs/>
          <w:rtl/>
        </w:rPr>
        <w:t>פירוש</w:t>
      </w:r>
      <w:r w:rsidR="004C6FBC" w:rsidRPr="00C10EC1">
        <w:rPr>
          <w:rStyle w:val="FootnoteReference"/>
          <w:rFonts w:cs="David"/>
          <w:b/>
          <w:bCs/>
          <w:rtl/>
        </w:rPr>
        <w:footnoteReference w:id="2"/>
      </w:r>
      <w:r w:rsidRPr="00C10EC1">
        <w:rPr>
          <w:rFonts w:cs="David" w:hint="cs"/>
          <w:b/>
          <w:bCs/>
          <w:rtl/>
        </w:rPr>
        <w:t xml:space="preserve"> לא תצא מהיתרה הראשון</w:t>
      </w:r>
      <w:r w:rsidRPr="00C10EC1">
        <w:rPr>
          <w:rFonts w:cs="David" w:hint="cs"/>
          <w:b/>
          <w:bCs/>
          <w:rtl/>
          <w:lang w:bidi="he-IL"/>
        </w:rPr>
        <w:t xml:space="preserve"> </w:t>
      </w:r>
      <w:r w:rsidR="00C10EC1">
        <w:rPr>
          <w:rFonts w:cs="David" w:hint="cs"/>
          <w:b/>
          <w:bCs/>
          <w:rtl/>
          <w:lang w:bidi="he-IL"/>
        </w:rPr>
        <w:t>-</w:t>
      </w:r>
      <w:r w:rsidRPr="00C10EC1">
        <w:rPr>
          <w:rFonts w:cs="Aharoni" w:hint="cs"/>
          <w:b/>
          <w:bCs/>
          <w:rtl/>
          <w:lang w:bidi="he-IL"/>
        </w:rPr>
        <w:t xml:space="preserve"> </w:t>
      </w:r>
    </w:p>
    <w:p w:rsidR="004C6FBC" w:rsidRPr="004C6FBC" w:rsidRDefault="004C6FBC" w:rsidP="001B5ADD">
      <w:pPr>
        <w:spacing w:line="276" w:lineRule="auto"/>
        <w:jc w:val="both"/>
        <w:rPr>
          <w:lang w:bidi="he-IL"/>
        </w:rPr>
      </w:pPr>
      <w:r w:rsidRPr="004C6FBC">
        <w:rPr>
          <w:rFonts w:cs="Aharoni"/>
          <w:b/>
          <w:bCs/>
          <w:lang w:bidi="he-IL"/>
        </w:rPr>
        <w:t>The</w:t>
      </w:r>
      <w:r>
        <w:rPr>
          <w:rFonts w:cs="Aharoni"/>
          <w:b/>
          <w:bCs/>
          <w:lang w:bidi="he-IL"/>
        </w:rPr>
        <w:t xml:space="preserve"> explanation </w:t>
      </w:r>
      <w:r>
        <w:rPr>
          <w:rFonts w:cs="Aharoni"/>
          <w:lang w:bidi="he-IL"/>
        </w:rPr>
        <w:t>of the phrase</w:t>
      </w:r>
      <w:r>
        <w:rPr>
          <w:rFonts w:cs="Aharoni" w:hint="cs"/>
          <w:lang w:bidi="he-IL"/>
        </w:rPr>
        <w:t xml:space="preserve"> </w:t>
      </w:r>
      <w:r>
        <w:rPr>
          <w:rFonts w:hint="cs"/>
          <w:rtl/>
          <w:lang w:bidi="he-IL"/>
        </w:rPr>
        <w:t>(באו עדים) לא תצא</w:t>
      </w:r>
      <w:r>
        <w:rPr>
          <w:lang w:bidi="he-IL"/>
        </w:rPr>
        <w:t xml:space="preserve"> is that </w:t>
      </w:r>
      <w:r>
        <w:rPr>
          <w:b/>
          <w:bCs/>
          <w:lang w:bidi="he-IL"/>
        </w:rPr>
        <w:t xml:space="preserve">she does not lose her initial permission </w:t>
      </w:r>
      <w:r>
        <w:rPr>
          <w:lang w:bidi="he-IL"/>
        </w:rPr>
        <w:t xml:space="preserve">to remarry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>.</w:t>
      </w:r>
      <w:r w:rsidR="00EA2FE1">
        <w:rPr>
          <w:rStyle w:val="FootnoteReference"/>
          <w:lang w:bidi="he-IL"/>
        </w:rPr>
        <w:footnoteReference w:id="3"/>
      </w:r>
      <w:r>
        <w:rPr>
          <w:lang w:bidi="he-IL"/>
        </w:rPr>
        <w:t xml:space="preserve"> </w:t>
      </w:r>
    </w:p>
    <w:p w:rsidR="00763EB0" w:rsidRDefault="00763EB0" w:rsidP="001B5ADD">
      <w:pPr>
        <w:spacing w:line="276" w:lineRule="auto"/>
        <w:jc w:val="both"/>
        <w:rPr>
          <w:rFonts w:cs="Aharoni"/>
          <w:sz w:val="24"/>
          <w:szCs w:val="24"/>
          <w:lang w:bidi="he-IL"/>
        </w:rPr>
      </w:pPr>
    </w:p>
    <w:p w:rsidR="002F281F" w:rsidRPr="00035806" w:rsidRDefault="002F281F" w:rsidP="001B5ADD">
      <w:pPr>
        <w:spacing w:line="276" w:lineRule="auto"/>
        <w:jc w:val="both"/>
        <w:rPr>
          <w:rFonts w:ascii="Copperplate Gothic Bold" w:hAnsi="Copperplate Gothic Bold" w:cs="Aharoni"/>
          <w:u w:val="double"/>
          <w:lang w:bidi="he-IL"/>
        </w:rPr>
      </w:pPr>
      <w:r w:rsidRPr="00035806">
        <w:rPr>
          <w:rFonts w:ascii="Copperplate Gothic Bold" w:hAnsi="Copperplate Gothic Bold" w:cs="Aharoni"/>
          <w:u w:val="double"/>
          <w:lang w:bidi="he-IL"/>
        </w:rPr>
        <w:t>Summary</w:t>
      </w:r>
    </w:p>
    <w:p w:rsidR="002F281F" w:rsidRDefault="002F281F" w:rsidP="001B5AD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lang w:bidi="he-IL"/>
        </w:rPr>
        <w:t xml:space="preserve">The woman is permitted to marry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 even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do not substantiate her claim.</w:t>
      </w:r>
    </w:p>
    <w:p w:rsidR="002F281F" w:rsidRDefault="002F281F" w:rsidP="001B5ADD">
      <w:pPr>
        <w:spacing w:line="276" w:lineRule="auto"/>
        <w:jc w:val="both"/>
        <w:rPr>
          <w:sz w:val="24"/>
          <w:szCs w:val="24"/>
          <w:lang w:bidi="he-IL"/>
        </w:rPr>
      </w:pPr>
    </w:p>
    <w:p w:rsidR="002F281F" w:rsidRPr="00035806" w:rsidRDefault="002F281F" w:rsidP="001B5AD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35806">
        <w:rPr>
          <w:rFonts w:ascii="Copperplate Gothic Bold" w:hAnsi="Copperplate Gothic Bold"/>
          <w:u w:val="double"/>
          <w:lang w:bidi="he-IL"/>
        </w:rPr>
        <w:t>Thinking it over</w:t>
      </w:r>
    </w:p>
    <w:p w:rsidR="002F281F" w:rsidRPr="002F281F" w:rsidRDefault="002F281F" w:rsidP="001B5AD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How indeed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derive this ruling that even if her claim is not completely substantiated, she may still marry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>?!</w:t>
      </w:r>
      <w:r w:rsidR="00575DB3">
        <w:rPr>
          <w:rStyle w:val="FootnoteReference"/>
          <w:lang w:bidi="he-IL"/>
        </w:rPr>
        <w:footnoteReference w:id="4"/>
      </w:r>
      <w:r w:rsidR="00575DB3">
        <w:rPr>
          <w:lang w:bidi="he-IL"/>
        </w:rPr>
        <w:t xml:space="preserve"> Conversely if </w:t>
      </w:r>
      <w:r w:rsidR="00575DB3">
        <w:rPr>
          <w:rFonts w:hint="cs"/>
          <w:rtl/>
          <w:lang w:bidi="he-IL"/>
        </w:rPr>
        <w:t>אבוה דשמואל</w:t>
      </w:r>
      <w:r w:rsidR="00575DB3">
        <w:rPr>
          <w:lang w:bidi="he-IL"/>
        </w:rPr>
        <w:t xml:space="preserve"> maintains that the </w:t>
      </w:r>
      <w:r w:rsidR="00575DB3">
        <w:rPr>
          <w:rFonts w:hint="cs"/>
          <w:rtl/>
          <w:lang w:bidi="he-IL"/>
        </w:rPr>
        <w:t>משנה</w:t>
      </w:r>
      <w:r w:rsidR="00575DB3">
        <w:rPr>
          <w:lang w:bidi="he-IL"/>
        </w:rPr>
        <w:t xml:space="preserve"> which states </w:t>
      </w:r>
      <w:r w:rsidR="00575DB3">
        <w:rPr>
          <w:rFonts w:hint="cs"/>
          <w:rtl/>
          <w:lang w:bidi="he-IL"/>
        </w:rPr>
        <w:t xml:space="preserve">ואם משנשאת באו עדים לא </w:t>
      </w:r>
      <w:r w:rsidR="001B5ADD">
        <w:rPr>
          <w:rFonts w:hint="cs"/>
          <w:rtl/>
          <w:lang w:bidi="he-IL"/>
        </w:rPr>
        <w:t>תצא</w:t>
      </w:r>
      <w:r w:rsidR="00575DB3">
        <w:rPr>
          <w:lang w:bidi="he-IL"/>
        </w:rPr>
        <w:t xml:space="preserve"> means </w:t>
      </w:r>
      <w:r w:rsidR="00575DB3">
        <w:rPr>
          <w:rFonts w:hint="cs"/>
          <w:rtl/>
          <w:lang w:bidi="he-IL"/>
        </w:rPr>
        <w:t>לא</w:t>
      </w:r>
      <w:r w:rsidR="001B5ADD">
        <w:rPr>
          <w:rFonts w:hint="cs"/>
          <w:rtl/>
          <w:lang w:bidi="he-IL"/>
        </w:rPr>
        <w:t xml:space="preserve"> נשאת נשאת ממש אלא שהתירוה לינשא</w:t>
      </w:r>
      <w:r w:rsidR="001B5ADD">
        <w:rPr>
          <w:lang w:bidi="he-IL"/>
        </w:rPr>
        <w:t xml:space="preserve"> (even though it states </w:t>
      </w:r>
      <w:r w:rsidR="001B5ADD">
        <w:rPr>
          <w:rFonts w:hint="cs"/>
          <w:rtl/>
          <w:lang w:bidi="he-IL"/>
        </w:rPr>
        <w:t>משנשאת</w:t>
      </w:r>
      <w:r w:rsidR="001B5ADD">
        <w:rPr>
          <w:lang w:bidi="he-IL"/>
        </w:rPr>
        <w:t xml:space="preserve">) and </w:t>
      </w:r>
      <w:r w:rsidR="001B5ADD">
        <w:rPr>
          <w:rFonts w:hint="cs"/>
          <w:rtl/>
          <w:lang w:bidi="he-IL"/>
        </w:rPr>
        <w:t>לא</w:t>
      </w:r>
      <w:r w:rsidR="00575DB3">
        <w:rPr>
          <w:rFonts w:hint="cs"/>
          <w:rtl/>
          <w:lang w:bidi="he-IL"/>
        </w:rPr>
        <w:t xml:space="preserve"> תצא</w:t>
      </w:r>
      <w:r w:rsidR="001B5ADD">
        <w:rPr>
          <w:lang w:bidi="he-IL"/>
        </w:rPr>
        <w:t xml:space="preserve"> means </w:t>
      </w:r>
      <w:r w:rsidR="001B5ADD">
        <w:rPr>
          <w:rFonts w:hint="cs"/>
          <w:rtl/>
          <w:lang w:bidi="he-IL"/>
        </w:rPr>
        <w:t xml:space="preserve">לא תצא </w:t>
      </w:r>
      <w:r w:rsidR="00575DB3">
        <w:rPr>
          <w:rFonts w:hint="cs"/>
          <w:rtl/>
          <w:lang w:bidi="he-IL"/>
        </w:rPr>
        <w:t>מהת</w:t>
      </w:r>
      <w:r w:rsidR="001B5ADD">
        <w:rPr>
          <w:rFonts w:hint="cs"/>
          <w:rtl/>
          <w:lang w:bidi="he-IL"/>
        </w:rPr>
        <w:t>י</w:t>
      </w:r>
      <w:r w:rsidR="00575DB3">
        <w:rPr>
          <w:rFonts w:hint="cs"/>
          <w:rtl/>
          <w:lang w:bidi="he-IL"/>
        </w:rPr>
        <w:t>ר</w:t>
      </w:r>
      <w:r w:rsidR="001B5ADD">
        <w:rPr>
          <w:rFonts w:hint="cs"/>
          <w:rtl/>
          <w:lang w:bidi="he-IL"/>
        </w:rPr>
        <w:t>ה הראשון</w:t>
      </w:r>
      <w:r w:rsidR="001B5ADD">
        <w:rPr>
          <w:lang w:bidi="he-IL"/>
        </w:rPr>
        <w:t xml:space="preserve">, so in our </w:t>
      </w:r>
      <w:r w:rsidR="001B5ADD">
        <w:rPr>
          <w:rFonts w:hint="cs"/>
          <w:rtl/>
          <w:lang w:bidi="he-IL"/>
        </w:rPr>
        <w:t>ברייתא</w:t>
      </w:r>
      <w:r w:rsidR="001B5ADD">
        <w:rPr>
          <w:lang w:bidi="he-IL"/>
        </w:rPr>
        <w:t xml:space="preserve"> which merely states </w:t>
      </w:r>
      <w:r w:rsidR="001B5ADD">
        <w:rPr>
          <w:rFonts w:hint="cs"/>
          <w:rtl/>
          <w:lang w:bidi="he-IL"/>
        </w:rPr>
        <w:t>התירוה לינשא</w:t>
      </w:r>
      <w:r w:rsidR="001B5ADD">
        <w:rPr>
          <w:lang w:bidi="he-IL"/>
        </w:rPr>
        <w:t xml:space="preserve"> (and it does not say </w:t>
      </w:r>
      <w:r w:rsidR="001B5ADD">
        <w:rPr>
          <w:rFonts w:hint="cs"/>
          <w:rtl/>
          <w:lang w:bidi="he-IL"/>
        </w:rPr>
        <w:t>נשאת</w:t>
      </w:r>
      <w:r w:rsidR="001B5ADD">
        <w:rPr>
          <w:lang w:bidi="he-IL"/>
        </w:rPr>
        <w:t xml:space="preserve">), it certainly means </w:t>
      </w:r>
      <w:r w:rsidR="001B5ADD">
        <w:rPr>
          <w:rFonts w:hint="cs"/>
          <w:rtl/>
          <w:lang w:bidi="he-IL"/>
        </w:rPr>
        <w:t>לא תצא מהתירה הראשון</w:t>
      </w:r>
      <w:r w:rsidR="001B5ADD">
        <w:rPr>
          <w:lang w:bidi="he-IL"/>
        </w:rPr>
        <w:t xml:space="preserve">. What is </w:t>
      </w:r>
      <w:r w:rsidR="001B5ADD">
        <w:rPr>
          <w:rFonts w:hint="cs"/>
          <w:rtl/>
          <w:lang w:bidi="he-IL"/>
        </w:rPr>
        <w:t>תוספות</w:t>
      </w:r>
      <w:r w:rsidR="001B5ADD">
        <w:rPr>
          <w:lang w:bidi="he-IL"/>
        </w:rPr>
        <w:t xml:space="preserve"> being </w:t>
      </w:r>
      <w:r w:rsidR="001B5ADD">
        <w:rPr>
          <w:rFonts w:hint="cs"/>
          <w:rtl/>
          <w:lang w:bidi="he-IL"/>
        </w:rPr>
        <w:t>מחדש</w:t>
      </w:r>
      <w:r w:rsidR="001B5ADD">
        <w:rPr>
          <w:lang w:bidi="he-IL"/>
        </w:rPr>
        <w:t>?!</w:t>
      </w:r>
      <w:r w:rsidR="00575DB3">
        <w:rPr>
          <w:lang w:bidi="he-IL"/>
        </w:rPr>
        <w:t xml:space="preserve"> </w:t>
      </w:r>
    </w:p>
    <w:sectPr w:rsidR="002F281F" w:rsidRPr="002F281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64" w:rsidRDefault="006E4064">
      <w:r>
        <w:separator/>
      </w:r>
    </w:p>
  </w:endnote>
  <w:endnote w:type="continuationSeparator" w:id="0">
    <w:p w:rsidR="006E4064" w:rsidRDefault="006E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8D9" w:rsidRPr="001558C0" w:rsidRDefault="001558C0" w:rsidP="001558C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64" w:rsidRDefault="006E4064">
      <w:r>
        <w:separator/>
      </w:r>
    </w:p>
  </w:footnote>
  <w:footnote w:type="continuationSeparator" w:id="0">
    <w:p w:rsidR="006E4064" w:rsidRDefault="006E4064">
      <w:r>
        <w:continuationSeparator/>
      </w:r>
    </w:p>
  </w:footnote>
  <w:footnote w:id="1">
    <w:p w:rsidR="00035806" w:rsidRDefault="00035806" w:rsidP="002D2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our </w:t>
      </w:r>
      <w:r>
        <w:rPr>
          <w:rFonts w:hint="cs"/>
          <w:rtl/>
          <w:lang w:bidi="he-IL"/>
        </w:rPr>
        <w:t>גמרות</w:t>
      </w:r>
      <w:r>
        <w:rPr>
          <w:lang w:bidi="he-IL"/>
        </w:rPr>
        <w:t xml:space="preserve"> the text reads </w:t>
      </w:r>
      <w:r>
        <w:rPr>
          <w:rFonts w:hint="cs"/>
          <w:rtl/>
          <w:lang w:bidi="he-IL"/>
        </w:rPr>
        <w:t>באו עדים</w:t>
      </w:r>
      <w:r w:rsidR="00575DB3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ואמרו לא ידענו </w:t>
      </w:r>
      <w:r w:rsidR="00575DB3">
        <w:rPr>
          <w:rFonts w:hint="cs"/>
          <w:rtl/>
          <w:lang w:bidi="he-IL"/>
        </w:rPr>
        <w:t>הרי זו</w:t>
      </w:r>
      <w:r>
        <w:rPr>
          <w:rFonts w:hint="cs"/>
          <w:rtl/>
          <w:lang w:bidi="he-IL"/>
        </w:rPr>
        <w:t xml:space="preserve"> לא תצא</w:t>
      </w:r>
      <w:r>
        <w:rPr>
          <w:lang w:bidi="he-IL"/>
        </w:rPr>
        <w:t xml:space="preserve">. </w:t>
      </w:r>
      <w:r w:rsidR="00575DB3">
        <w:rPr>
          <w:lang w:bidi="he-IL"/>
        </w:rPr>
        <w:t xml:space="preserve">The </w:t>
      </w:r>
      <w:r w:rsidR="00575DB3">
        <w:rPr>
          <w:rFonts w:hint="cs"/>
          <w:rtl/>
          <w:lang w:bidi="he-IL"/>
        </w:rPr>
        <w:t>גירסת הרי"ף</w:t>
      </w:r>
      <w:r w:rsidR="00575DB3">
        <w:rPr>
          <w:lang w:bidi="he-IL"/>
        </w:rPr>
        <w:t xml:space="preserve"> is </w:t>
      </w:r>
      <w:r w:rsidR="00575DB3">
        <w:rPr>
          <w:rFonts w:hint="cs"/>
          <w:rtl/>
          <w:lang w:bidi="he-IL"/>
        </w:rPr>
        <w:t>באו עדים שנשבית</w:t>
      </w:r>
      <w:r w:rsidR="00575DB3">
        <w:rPr>
          <w:lang w:bidi="he-IL"/>
        </w:rPr>
        <w:t>.</w:t>
      </w:r>
    </w:p>
  </w:footnote>
  <w:footnote w:id="2">
    <w:p w:rsidR="004678D9" w:rsidRDefault="004678D9" w:rsidP="002D2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previous </w:t>
      </w:r>
      <w:r>
        <w:rPr>
          <w:rFonts w:hint="cs"/>
          <w:rtl/>
          <w:lang w:bidi="he-IL"/>
        </w:rPr>
        <w:t>תוספות ד"ה לא תצא</w:t>
      </w:r>
      <w:r>
        <w:rPr>
          <w:lang w:bidi="he-IL"/>
        </w:rPr>
        <w:t xml:space="preserve"> (including footnote # 1).</w:t>
      </w:r>
    </w:p>
  </w:footnote>
  <w:footnote w:id="3">
    <w:p w:rsidR="004678D9" w:rsidRDefault="004678D9" w:rsidP="002D2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this case the woman is slightly contradicted by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She claimed that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knew that she was not </w:t>
      </w:r>
      <w:r>
        <w:rPr>
          <w:rFonts w:hint="cs"/>
          <w:rtl/>
          <w:lang w:bidi="he-IL"/>
        </w:rPr>
        <w:t>נטמאה</w:t>
      </w:r>
      <w:r>
        <w:rPr>
          <w:lang w:bidi="he-IL"/>
        </w:rPr>
        <w:t xml:space="preserve">. However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testifying that they do not know. It is possible that in this situation (since she was somewhat contradicted) we will not believe her completely and permit her to marry </w:t>
      </w:r>
      <w:r>
        <w:rPr>
          <w:rFonts w:hint="cs"/>
          <w:rtl/>
          <w:lang w:bidi="he-IL"/>
        </w:rPr>
        <w:t>לכתחלה</w:t>
      </w:r>
      <w:r>
        <w:rPr>
          <w:lang w:bidi="he-IL"/>
        </w:rPr>
        <w:t xml:space="preserve">. Rather we would only allow her to remain married </w:t>
      </w:r>
      <w:r>
        <w:rPr>
          <w:rFonts w:hint="cs"/>
          <w:rtl/>
          <w:lang w:bidi="he-IL"/>
        </w:rPr>
        <w:t>בדיעבד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negates this view. See ‘Thinking it over’. </w:t>
      </w:r>
    </w:p>
  </w:footnote>
  <w:footnote w:id="4">
    <w:p w:rsidR="00575DB3" w:rsidRDefault="00575DB3" w:rsidP="002D2A75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קדושת ישראל (להרב בנימין ליכטנשטט)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8C0" w:rsidRPr="004678D9" w:rsidRDefault="001558C0" w:rsidP="001558C0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כג,א תוס' ד"ה באו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3EB0"/>
    <w:rsid w:val="00035806"/>
    <w:rsid w:val="00047ACB"/>
    <w:rsid w:val="001558C0"/>
    <w:rsid w:val="00162D77"/>
    <w:rsid w:val="00184D2E"/>
    <w:rsid w:val="001B5ADD"/>
    <w:rsid w:val="0020216B"/>
    <w:rsid w:val="00210A1E"/>
    <w:rsid w:val="00222CA6"/>
    <w:rsid w:val="002D2A75"/>
    <w:rsid w:val="002F281F"/>
    <w:rsid w:val="003F6705"/>
    <w:rsid w:val="004678D9"/>
    <w:rsid w:val="004C6FBC"/>
    <w:rsid w:val="00575DB3"/>
    <w:rsid w:val="006E4064"/>
    <w:rsid w:val="007552E7"/>
    <w:rsid w:val="00763EB0"/>
    <w:rsid w:val="00816504"/>
    <w:rsid w:val="0089054C"/>
    <w:rsid w:val="00C10EC1"/>
    <w:rsid w:val="00C77B6B"/>
    <w:rsid w:val="00D54370"/>
    <w:rsid w:val="00D80DE2"/>
    <w:rsid w:val="00EA2FE1"/>
    <w:rsid w:val="00F64ECF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591E8D-50AE-4982-933D-E9429865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FootnoteText">
    <w:name w:val="footnote text"/>
    <w:basedOn w:val="Normal"/>
    <w:semiHidden/>
    <w:rsid w:val="004C6FBC"/>
    <w:rPr>
      <w:sz w:val="20"/>
      <w:szCs w:val="20"/>
    </w:rPr>
  </w:style>
  <w:style w:type="character" w:styleId="FootnoteReference">
    <w:name w:val="footnote reference"/>
    <w:semiHidden/>
    <w:rsid w:val="004C6FBC"/>
    <w:rPr>
      <w:vertAlign w:val="superscript"/>
    </w:rPr>
  </w:style>
  <w:style w:type="paragraph" w:styleId="Header">
    <w:name w:val="header"/>
    <w:basedOn w:val="Normal"/>
    <w:rsid w:val="004678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78D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באו עדים לא תצא – </vt:lpstr>
    </vt:vector>
  </TitlesOfParts>
  <Company> 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באו עדים לא תצא – </dc:title>
  <dc:subject/>
  <dc:creator> </dc:creator>
  <cp:keywords/>
  <dc:description/>
  <cp:lastModifiedBy>Microsoft account</cp:lastModifiedBy>
  <cp:revision>2</cp:revision>
  <cp:lastPrinted>2015-07-30T19:04:00Z</cp:lastPrinted>
  <dcterms:created xsi:type="dcterms:W3CDTF">2022-04-05T10:53:00Z</dcterms:created>
  <dcterms:modified xsi:type="dcterms:W3CDTF">2022-04-05T10:53:00Z</dcterms:modified>
</cp:coreProperties>
</file>