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4C4" w:rsidRDefault="00A62E6E" w:rsidP="009E14C4">
      <w:pPr>
        <w:bidi/>
        <w:rPr>
          <w:sz w:val="32"/>
          <w:szCs w:val="32"/>
          <w:rtl/>
        </w:rPr>
      </w:pPr>
      <w:r w:rsidRPr="009E14C4">
        <w:rPr>
          <w:sz w:val="36"/>
          <w:szCs w:val="36"/>
          <w:rtl/>
        </w:rPr>
        <w:t>אבל</w:t>
      </w:r>
      <w:r w:rsidR="009E14C4">
        <w:rPr>
          <w:rFonts w:hint="cs"/>
          <w:rtl/>
        </w:rPr>
        <w:t xml:space="preserve"> </w:t>
      </w:r>
      <w:r w:rsidRPr="009E14C4">
        <w:rPr>
          <w:sz w:val="32"/>
          <w:szCs w:val="32"/>
          <w:rtl/>
        </w:rPr>
        <w:t>הכא דליכא דררא דממונא</w:t>
      </w:r>
      <w:r w:rsidR="00D0121E">
        <w:rPr>
          <w:rStyle w:val="FootnoteReference"/>
          <w:sz w:val="32"/>
          <w:szCs w:val="32"/>
          <w:rtl/>
        </w:rPr>
        <w:footnoteReference w:id="1"/>
      </w:r>
      <w:r w:rsidRPr="009E14C4">
        <w:rPr>
          <w:sz w:val="32"/>
          <w:szCs w:val="32"/>
          <w:rtl/>
        </w:rPr>
        <w:t xml:space="preserve"> לא</w:t>
      </w:r>
      <w:r w:rsidR="009E14C4">
        <w:rPr>
          <w:rFonts w:hint="cs"/>
          <w:sz w:val="32"/>
          <w:szCs w:val="32"/>
          <w:rtl/>
        </w:rPr>
        <w:t xml:space="preserve"> </w:t>
      </w:r>
      <w:r w:rsidR="009E14C4">
        <w:rPr>
          <w:sz w:val="32"/>
          <w:szCs w:val="32"/>
          <w:rtl/>
        </w:rPr>
        <w:t>–</w:t>
      </w:r>
      <w:r w:rsidR="009E14C4">
        <w:rPr>
          <w:rFonts w:hint="cs"/>
          <w:sz w:val="32"/>
          <w:szCs w:val="32"/>
          <w:rtl/>
        </w:rPr>
        <w:t xml:space="preserve"> </w:t>
      </w:r>
    </w:p>
    <w:p w:rsidR="009E14C4" w:rsidRDefault="009E14C4" w:rsidP="009E14C4">
      <w:pPr>
        <w:rPr>
          <w:b w:val="0"/>
          <w:bCs w:val="0"/>
          <w:sz w:val="24"/>
          <w:szCs w:val="24"/>
        </w:rPr>
      </w:pPr>
      <w:r>
        <w:rPr>
          <w:sz w:val="32"/>
          <w:szCs w:val="32"/>
        </w:rPr>
        <w:t xml:space="preserve">However here, where there is no </w:t>
      </w:r>
      <w:r>
        <w:rPr>
          <w:rFonts w:hint="cs"/>
          <w:sz w:val="32"/>
          <w:szCs w:val="32"/>
          <w:rtl/>
        </w:rPr>
        <w:t>דררא דממונא</w:t>
      </w:r>
      <w:r>
        <w:rPr>
          <w:sz w:val="32"/>
          <w:szCs w:val="32"/>
        </w:rPr>
        <w:t>; no</w:t>
      </w:r>
    </w:p>
    <w:p w:rsidR="009E14C4" w:rsidRDefault="009E14C4" w:rsidP="009E14C4">
      <w:pPr>
        <w:bidi/>
        <w:rPr>
          <w:b w:val="0"/>
          <w:bCs w:val="0"/>
          <w:sz w:val="24"/>
          <w:szCs w:val="24"/>
          <w:rtl/>
        </w:rPr>
      </w:pPr>
    </w:p>
    <w:p w:rsidR="009E14C4" w:rsidRPr="009E14C4" w:rsidRDefault="009E14C4" w:rsidP="009E14C4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9E14C4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9E14C4" w:rsidRPr="009E14C4" w:rsidRDefault="004331D1" w:rsidP="00D0121E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explained that if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would teach us the rule of </w:t>
      </w:r>
      <w:r>
        <w:rPr>
          <w:rFonts w:hint="cs"/>
          <w:b w:val="0"/>
          <w:bCs w:val="0"/>
          <w:rtl/>
        </w:rPr>
        <w:t>הפה שאסר הוא הפה שהתיר</w:t>
      </w:r>
      <w:r>
        <w:rPr>
          <w:b w:val="0"/>
          <w:bCs w:val="0"/>
        </w:rPr>
        <w:t xml:space="preserve"> regarding the case of </w:t>
      </w:r>
      <w:r>
        <w:rPr>
          <w:rFonts w:hint="cs"/>
          <w:b w:val="0"/>
          <w:bCs w:val="0"/>
          <w:rtl/>
        </w:rPr>
        <w:t>שדה זו של</w:t>
      </w:r>
      <w:bookmarkStart w:id="0" w:name="_GoBack"/>
      <w:bookmarkEnd w:id="0"/>
      <w:r>
        <w:rPr>
          <w:rFonts w:hint="cs"/>
          <w:b w:val="0"/>
          <w:bCs w:val="0"/>
          <w:rtl/>
        </w:rPr>
        <w:t xml:space="preserve"> אביך הי' ולק</w:t>
      </w:r>
      <w:r w:rsidR="00530EA6">
        <w:rPr>
          <w:rFonts w:hint="cs"/>
          <w:b w:val="0"/>
          <w:bCs w:val="0"/>
          <w:rtl/>
        </w:rPr>
        <w:t>ח</w:t>
      </w:r>
      <w:r>
        <w:rPr>
          <w:rFonts w:hint="cs"/>
          <w:b w:val="0"/>
          <w:bCs w:val="0"/>
          <w:rtl/>
        </w:rPr>
        <w:t>תיה הימנו</w:t>
      </w:r>
      <w:r>
        <w:rPr>
          <w:b w:val="0"/>
          <w:bCs w:val="0"/>
        </w:rPr>
        <w:t xml:space="preserve"> [where there is a </w:t>
      </w:r>
      <w:r>
        <w:rPr>
          <w:rFonts w:hint="cs"/>
          <w:b w:val="0"/>
          <w:bCs w:val="0"/>
          <w:rtl/>
        </w:rPr>
        <w:t>דררא דממונא</w:t>
      </w:r>
      <w:r>
        <w:rPr>
          <w:b w:val="0"/>
          <w:bCs w:val="0"/>
        </w:rPr>
        <w:t>]</w:t>
      </w:r>
      <w:r w:rsidR="00530EA6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="00530EA6">
        <w:rPr>
          <w:b w:val="0"/>
          <w:bCs w:val="0"/>
        </w:rPr>
        <w:t>we</w:t>
      </w:r>
      <w:r>
        <w:rPr>
          <w:b w:val="0"/>
          <w:bCs w:val="0"/>
        </w:rPr>
        <w:t xml:space="preserve"> would not know that in the case of </w:t>
      </w:r>
      <w:r>
        <w:rPr>
          <w:rFonts w:hint="cs"/>
          <w:b w:val="0"/>
          <w:bCs w:val="0"/>
          <w:rtl/>
        </w:rPr>
        <w:t>העדים שאמרו כת"י הוא זה אבל אנוסים היינו וכו'</w:t>
      </w:r>
      <w:r>
        <w:rPr>
          <w:b w:val="0"/>
          <w:bCs w:val="0"/>
        </w:rPr>
        <w:t xml:space="preserve"> that they would be believed on account of </w:t>
      </w:r>
      <w:r>
        <w:rPr>
          <w:rFonts w:hint="cs"/>
          <w:b w:val="0"/>
          <w:bCs w:val="0"/>
          <w:rtl/>
        </w:rPr>
        <w:t>הפה שאסר וכו'</w:t>
      </w:r>
      <w:r>
        <w:rPr>
          <w:b w:val="0"/>
          <w:bCs w:val="0"/>
        </w:rPr>
        <w:t xml:space="preserve"> [since there is no </w:t>
      </w:r>
      <w:r>
        <w:rPr>
          <w:rFonts w:hint="cs"/>
          <w:b w:val="0"/>
          <w:bCs w:val="0"/>
          <w:rtl/>
        </w:rPr>
        <w:t>דררא דממונא</w:t>
      </w:r>
      <w:r>
        <w:rPr>
          <w:b w:val="0"/>
          <w:bCs w:val="0"/>
        </w:rPr>
        <w:t xml:space="preserve"> in that case].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asks that there is a better reason why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need</w:t>
      </w:r>
      <w:r w:rsidR="00D0121E">
        <w:rPr>
          <w:b w:val="0"/>
          <w:bCs w:val="0"/>
        </w:rPr>
        <w:t>s</w:t>
      </w:r>
      <w:r>
        <w:rPr>
          <w:b w:val="0"/>
          <w:bCs w:val="0"/>
        </w:rPr>
        <w:t xml:space="preserve"> to teach us the rule of </w:t>
      </w:r>
      <w:r>
        <w:rPr>
          <w:rFonts w:hint="cs"/>
          <w:b w:val="0"/>
          <w:bCs w:val="0"/>
          <w:rtl/>
        </w:rPr>
        <w:t>הפה שאסר</w:t>
      </w:r>
      <w:r>
        <w:rPr>
          <w:b w:val="0"/>
          <w:bCs w:val="0"/>
        </w:rPr>
        <w:t xml:space="preserve"> in the case of </w:t>
      </w:r>
      <w:r>
        <w:rPr>
          <w:rFonts w:hint="cs"/>
          <w:b w:val="0"/>
          <w:bCs w:val="0"/>
          <w:rtl/>
        </w:rPr>
        <w:t>העדים שאמרו</w:t>
      </w:r>
      <w:r>
        <w:rPr>
          <w:b w:val="0"/>
          <w:bCs w:val="0"/>
        </w:rPr>
        <w:t>.</w:t>
      </w:r>
    </w:p>
    <w:p w:rsidR="009E14C4" w:rsidRDefault="003B36CF" w:rsidP="003B36CF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-----------------------------</w:t>
      </w:r>
    </w:p>
    <w:p w:rsidR="009E14C4" w:rsidRDefault="004331D1" w:rsidP="004331D1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9E14C4" w:rsidRPr="00530EA6" w:rsidRDefault="00A62E6E" w:rsidP="003B36CF">
      <w:pPr>
        <w:bidi/>
        <w:rPr>
          <w:rFonts w:cs="David"/>
          <w:spacing w:val="-2"/>
        </w:rPr>
      </w:pPr>
      <w:r w:rsidRPr="00530EA6">
        <w:rPr>
          <w:rFonts w:cs="David"/>
          <w:spacing w:val="-2"/>
          <w:rtl/>
        </w:rPr>
        <w:t>קשה לר</w:t>
      </w:r>
      <w:r w:rsidR="009E14C4" w:rsidRPr="00530EA6">
        <w:rPr>
          <w:rFonts w:cs="David" w:hint="cs"/>
          <w:spacing w:val="-2"/>
          <w:rtl/>
        </w:rPr>
        <w:t xml:space="preserve">בנו </w:t>
      </w:r>
      <w:r w:rsidRPr="00530EA6">
        <w:rPr>
          <w:rFonts w:cs="David"/>
          <w:spacing w:val="-2"/>
          <w:rtl/>
        </w:rPr>
        <w:t>ש</w:t>
      </w:r>
      <w:r w:rsidR="009E14C4" w:rsidRPr="00530EA6">
        <w:rPr>
          <w:rFonts w:cs="David" w:hint="cs"/>
          <w:spacing w:val="-2"/>
          <w:rtl/>
        </w:rPr>
        <w:t xml:space="preserve">משון </w:t>
      </w:r>
      <w:r w:rsidRPr="00530EA6">
        <w:rPr>
          <w:rFonts w:cs="David"/>
          <w:spacing w:val="-2"/>
          <w:rtl/>
        </w:rPr>
        <w:t>ב</w:t>
      </w:r>
      <w:r w:rsidR="009E14C4" w:rsidRPr="00530EA6">
        <w:rPr>
          <w:rFonts w:cs="David" w:hint="cs"/>
          <w:spacing w:val="-2"/>
          <w:rtl/>
        </w:rPr>
        <w:t xml:space="preserve">ן </w:t>
      </w:r>
      <w:r w:rsidRPr="00530EA6">
        <w:rPr>
          <w:rFonts w:cs="David"/>
          <w:spacing w:val="-2"/>
          <w:rtl/>
        </w:rPr>
        <w:t>א</w:t>
      </w:r>
      <w:r w:rsidR="009E14C4" w:rsidRPr="00530EA6">
        <w:rPr>
          <w:rFonts w:cs="David" w:hint="cs"/>
          <w:spacing w:val="-2"/>
          <w:rtl/>
        </w:rPr>
        <w:t>ברהם</w:t>
      </w:r>
      <w:r w:rsidRPr="00530EA6">
        <w:rPr>
          <w:rFonts w:cs="David"/>
          <w:spacing w:val="-2"/>
          <w:rtl/>
        </w:rPr>
        <w:t xml:space="preserve"> הא איצטריך גבי עדים לאשמועינן</w:t>
      </w:r>
      <w:r w:rsidR="003B36CF">
        <w:rPr>
          <w:rFonts w:cs="David" w:hint="cs"/>
          <w:spacing w:val="-2"/>
          <w:rtl/>
        </w:rPr>
        <w:t xml:space="preserve"> -</w:t>
      </w:r>
    </w:p>
    <w:p w:rsidR="003B36CF" w:rsidRDefault="004331D1" w:rsidP="00326EC2">
      <w:pPr>
        <w:rPr>
          <w:b w:val="0"/>
          <w:bCs w:val="0"/>
        </w:rPr>
      </w:pPr>
      <w:r>
        <w:t xml:space="preserve">The </w:t>
      </w:r>
      <w:r>
        <w:rPr>
          <w:rFonts w:hint="cs"/>
          <w:rtl/>
        </w:rPr>
        <w:t>רשב"א</w:t>
      </w:r>
      <w:r>
        <w:t xml:space="preserve"> has a difficulty; but it is </w:t>
      </w:r>
      <w:r w:rsidR="003B36CF">
        <w:t xml:space="preserve">necessary </w:t>
      </w:r>
      <w:r w:rsidR="003B36CF">
        <w:rPr>
          <w:b w:val="0"/>
          <w:bCs w:val="0"/>
        </w:rPr>
        <w:t>for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תנא</w:t>
      </w:r>
      <w:r>
        <w:rPr>
          <w:b w:val="0"/>
          <w:bCs w:val="0"/>
        </w:rPr>
        <w:t xml:space="preserve"> </w:t>
      </w:r>
      <w:r>
        <w:t xml:space="preserve">to teach us regarding </w:t>
      </w:r>
      <w:r>
        <w:rPr>
          <w:b w:val="0"/>
          <w:bCs w:val="0"/>
        </w:rPr>
        <w:t xml:space="preserve">the case of </w:t>
      </w:r>
      <w:r>
        <w:rPr>
          <w:rFonts w:hint="cs"/>
          <w:rtl/>
        </w:rPr>
        <w:t xml:space="preserve">העדים </w:t>
      </w:r>
      <w:r>
        <w:rPr>
          <w:rFonts w:hint="cs"/>
          <w:b w:val="0"/>
          <w:bCs w:val="0"/>
          <w:rtl/>
        </w:rPr>
        <w:t>שאמרו</w:t>
      </w:r>
      <w:r>
        <w:rPr>
          <w:b w:val="0"/>
          <w:bCs w:val="0"/>
        </w:rPr>
        <w:t xml:space="preserve"> </w:t>
      </w:r>
      <w:r w:rsidR="003B36CF">
        <w:rPr>
          <w:b w:val="0"/>
          <w:bCs w:val="0"/>
        </w:rPr>
        <w:t>–</w:t>
      </w:r>
    </w:p>
    <w:p w:rsidR="003B36CF" w:rsidRDefault="003B36CF" w:rsidP="003B36CF">
      <w:pPr>
        <w:bidi/>
        <w:rPr>
          <w:b w:val="0"/>
          <w:bCs w:val="0"/>
        </w:rPr>
      </w:pPr>
      <w:r w:rsidRPr="00530EA6">
        <w:rPr>
          <w:rFonts w:cs="David"/>
          <w:spacing w:val="-2"/>
          <w:rtl/>
        </w:rPr>
        <w:t>דמהימני במגו לפסול השטר</w:t>
      </w:r>
      <w:r>
        <w:rPr>
          <w:rFonts w:cs="David" w:hint="cs"/>
          <w:spacing w:val="-2"/>
          <w:rtl/>
        </w:rPr>
        <w:t xml:space="preserve"> -</w:t>
      </w:r>
    </w:p>
    <w:p w:rsidR="004331D1" w:rsidRPr="00326EC2" w:rsidRDefault="003B36CF" w:rsidP="00326EC2">
      <w:pPr>
        <w:rPr>
          <w:b w:val="0"/>
          <w:bCs w:val="0"/>
          <w:sz w:val="24"/>
          <w:szCs w:val="24"/>
        </w:rPr>
      </w:pPr>
      <w:r>
        <w:t>That</w:t>
      </w:r>
      <w:r w:rsidR="004331D1">
        <w:t xml:space="preserve"> </w:t>
      </w:r>
      <w:r w:rsidR="004331D1">
        <w:rPr>
          <w:b w:val="0"/>
          <w:bCs w:val="0"/>
        </w:rPr>
        <w:t xml:space="preserve">the </w:t>
      </w:r>
      <w:r w:rsidR="004331D1">
        <w:rPr>
          <w:rFonts w:hint="cs"/>
          <w:b w:val="0"/>
          <w:bCs w:val="0"/>
          <w:rtl/>
        </w:rPr>
        <w:t>עדים</w:t>
      </w:r>
      <w:r w:rsidR="004331D1">
        <w:rPr>
          <w:b w:val="0"/>
          <w:bCs w:val="0"/>
        </w:rPr>
        <w:t xml:space="preserve"> </w:t>
      </w:r>
      <w:r w:rsidR="004331D1">
        <w:t xml:space="preserve">are believed with this </w:t>
      </w:r>
      <w:r w:rsidR="004331D1">
        <w:rPr>
          <w:rFonts w:hint="cs"/>
          <w:rtl/>
        </w:rPr>
        <w:t>מגו</w:t>
      </w:r>
      <w:r w:rsidR="004331D1">
        <w:t xml:space="preserve"> </w:t>
      </w:r>
      <w:r w:rsidR="004331D1">
        <w:rPr>
          <w:b w:val="0"/>
          <w:bCs w:val="0"/>
        </w:rPr>
        <w:t xml:space="preserve">(of </w:t>
      </w:r>
      <w:r w:rsidR="004331D1">
        <w:rPr>
          <w:rFonts w:hint="cs"/>
          <w:b w:val="0"/>
          <w:bCs w:val="0"/>
          <w:rtl/>
        </w:rPr>
        <w:t>הפה שאסר הוא הפה שהתיר</w:t>
      </w:r>
      <w:r w:rsidR="004331D1">
        <w:rPr>
          <w:b w:val="0"/>
          <w:bCs w:val="0"/>
        </w:rPr>
        <w:t xml:space="preserve">) </w:t>
      </w:r>
      <w:r w:rsidR="004331D1">
        <w:t xml:space="preserve">to invalidate the </w:t>
      </w:r>
      <w:r w:rsidR="004331D1">
        <w:rPr>
          <w:rFonts w:hint="cs"/>
          <w:rtl/>
        </w:rPr>
        <w:t>שטר</w:t>
      </w:r>
      <w:r w:rsidR="004331D1">
        <w:t xml:space="preserve"> </w:t>
      </w:r>
      <w:r w:rsidR="008E5BB4" w:rsidRPr="00326EC2">
        <w:rPr>
          <w:b w:val="0"/>
          <w:bCs w:val="0"/>
          <w:sz w:val="24"/>
          <w:szCs w:val="24"/>
        </w:rPr>
        <w:t xml:space="preserve">and we cannot derive it from the case of </w:t>
      </w:r>
      <w:r w:rsidR="008E5BB4" w:rsidRPr="00326EC2">
        <w:rPr>
          <w:rFonts w:hint="cs"/>
          <w:b w:val="0"/>
          <w:bCs w:val="0"/>
          <w:sz w:val="24"/>
          <w:szCs w:val="24"/>
          <w:rtl/>
        </w:rPr>
        <w:t>שדה זו</w:t>
      </w:r>
      <w:r w:rsidR="008E5BB4" w:rsidRPr="00326EC2">
        <w:rPr>
          <w:b w:val="0"/>
          <w:bCs w:val="0"/>
          <w:sz w:val="24"/>
          <w:szCs w:val="24"/>
        </w:rPr>
        <w:t xml:space="preserve"> </w:t>
      </w:r>
      <w:r w:rsidR="00326EC2">
        <w:rPr>
          <w:b w:val="0"/>
          <w:bCs w:val="0"/>
        </w:rPr>
        <w:t>(</w:t>
      </w:r>
      <w:r w:rsidR="00326EC2" w:rsidRPr="00326EC2">
        <w:rPr>
          <w:b w:val="0"/>
          <w:bCs w:val="0"/>
          <w:sz w:val="24"/>
          <w:szCs w:val="24"/>
        </w:rPr>
        <w:t xml:space="preserve">even </w:t>
      </w:r>
      <w:r w:rsidR="00326EC2">
        <w:rPr>
          <w:b w:val="0"/>
          <w:bCs w:val="0"/>
          <w:sz w:val="24"/>
          <w:szCs w:val="24"/>
        </w:rPr>
        <w:t>if we disregard</w:t>
      </w:r>
      <w:r w:rsidR="00326EC2" w:rsidRPr="00326EC2">
        <w:rPr>
          <w:b w:val="0"/>
          <w:bCs w:val="0"/>
          <w:sz w:val="24"/>
          <w:szCs w:val="24"/>
        </w:rPr>
        <w:t xml:space="preserve"> the distinction of </w:t>
      </w:r>
      <w:r w:rsidR="00326EC2" w:rsidRPr="00326EC2">
        <w:rPr>
          <w:rFonts w:hint="cs"/>
          <w:b w:val="0"/>
          <w:bCs w:val="0"/>
          <w:sz w:val="24"/>
          <w:szCs w:val="24"/>
          <w:rtl/>
        </w:rPr>
        <w:t>דררא דממונא</w:t>
      </w:r>
      <w:r w:rsidR="00326EC2" w:rsidRPr="00326EC2">
        <w:rPr>
          <w:b w:val="0"/>
          <w:bCs w:val="0"/>
          <w:sz w:val="24"/>
          <w:szCs w:val="24"/>
        </w:rPr>
        <w:t>)</w:t>
      </w:r>
      <w:r w:rsidR="00326EC2">
        <w:rPr>
          <w:b w:val="0"/>
          <w:bCs w:val="0"/>
          <w:sz w:val="24"/>
          <w:szCs w:val="24"/>
        </w:rPr>
        <w:t xml:space="preserve"> </w:t>
      </w:r>
      <w:r w:rsidR="008E5BB4" w:rsidRPr="00326EC2">
        <w:rPr>
          <w:b w:val="0"/>
          <w:bCs w:val="0"/>
          <w:sz w:val="24"/>
          <w:szCs w:val="24"/>
        </w:rPr>
        <w:t>-</w:t>
      </w:r>
    </w:p>
    <w:p w:rsidR="008E5BB4" w:rsidRPr="00326EC2" w:rsidRDefault="00A62E6E" w:rsidP="00D0121E">
      <w:pPr>
        <w:bidi/>
        <w:rPr>
          <w:rFonts w:cs="David"/>
        </w:rPr>
      </w:pPr>
      <w:r w:rsidRPr="00326EC2">
        <w:rPr>
          <w:rFonts w:cs="David"/>
          <w:rtl/>
        </w:rPr>
        <w:t>דהא א</w:t>
      </w:r>
      <w:r w:rsidR="009E14C4" w:rsidRPr="00326EC2">
        <w:rPr>
          <w:rFonts w:cs="David" w:hint="cs"/>
          <w:rtl/>
        </w:rPr>
        <w:t xml:space="preserve">ף </w:t>
      </w:r>
      <w:r w:rsidRPr="00326EC2">
        <w:rPr>
          <w:rFonts w:cs="David"/>
          <w:rtl/>
        </w:rPr>
        <w:t>ע</w:t>
      </w:r>
      <w:r w:rsidR="009E14C4" w:rsidRPr="00326EC2">
        <w:rPr>
          <w:rFonts w:cs="David" w:hint="cs"/>
          <w:rtl/>
        </w:rPr>
        <w:t xml:space="preserve">ל </w:t>
      </w:r>
      <w:r w:rsidRPr="00326EC2">
        <w:rPr>
          <w:rFonts w:cs="David"/>
          <w:rtl/>
        </w:rPr>
        <w:t>ג</w:t>
      </w:r>
      <w:r w:rsidR="009E14C4" w:rsidRPr="00326EC2">
        <w:rPr>
          <w:rFonts w:cs="David" w:hint="cs"/>
          <w:rtl/>
        </w:rPr>
        <w:t>ב</w:t>
      </w:r>
      <w:r w:rsidRPr="00326EC2">
        <w:rPr>
          <w:rFonts w:cs="David"/>
          <w:rtl/>
        </w:rPr>
        <w:t xml:space="preserve"> דר</w:t>
      </w:r>
      <w:r w:rsidR="009E14C4" w:rsidRPr="00326EC2">
        <w:rPr>
          <w:rFonts w:cs="David" w:hint="cs"/>
          <w:rtl/>
        </w:rPr>
        <w:t>בי</w:t>
      </w:r>
      <w:r w:rsidR="004331D1" w:rsidRPr="00326EC2">
        <w:rPr>
          <w:rFonts w:cs="David"/>
          <w:rtl/>
        </w:rPr>
        <w:t xml:space="preserve"> מאיר פליג</w:t>
      </w:r>
      <w:r w:rsidR="004331D1" w:rsidRPr="00326EC2">
        <w:rPr>
          <w:rStyle w:val="FootnoteReference"/>
          <w:rFonts w:cs="David"/>
          <w:rtl/>
        </w:rPr>
        <w:footnoteReference w:id="2"/>
      </w:r>
      <w:r w:rsidR="004331D1" w:rsidRPr="00326EC2">
        <w:rPr>
          <w:rFonts w:cs="David"/>
          <w:rtl/>
        </w:rPr>
        <w:t xml:space="preserve"> אסיפא</w:t>
      </w:r>
      <w:r w:rsidR="008E5BB4" w:rsidRPr="00326EC2">
        <w:rPr>
          <w:rStyle w:val="FootnoteReference"/>
          <w:rFonts w:cs="David"/>
          <w:rtl/>
        </w:rPr>
        <w:footnoteReference w:id="3"/>
      </w:r>
      <w:r w:rsidR="004331D1" w:rsidRPr="00326EC2">
        <w:rPr>
          <w:rFonts w:cs="David"/>
          <w:rtl/>
        </w:rPr>
        <w:t xml:space="preserve"> מודה בריש</w:t>
      </w:r>
      <w:r w:rsidR="004331D1" w:rsidRPr="00326EC2">
        <w:rPr>
          <w:rFonts w:cs="David" w:hint="cs"/>
          <w:rtl/>
        </w:rPr>
        <w:t>א:</w:t>
      </w:r>
      <w:r w:rsidR="008E5BB4" w:rsidRPr="00326EC2">
        <w:rPr>
          <w:rStyle w:val="FootnoteReference"/>
          <w:rFonts w:cs="David"/>
          <w:rtl/>
        </w:rPr>
        <w:footnoteReference w:id="4"/>
      </w:r>
    </w:p>
    <w:p w:rsidR="00A62E6E" w:rsidRPr="00326EC2" w:rsidRDefault="008E5BB4" w:rsidP="008E5BB4">
      <w:pPr>
        <w:rPr>
          <w:sz w:val="24"/>
          <w:szCs w:val="24"/>
        </w:rPr>
      </w:pPr>
      <w:r>
        <w:t xml:space="preserve">For </w:t>
      </w:r>
      <w:r>
        <w:rPr>
          <w:b w:val="0"/>
          <w:bCs w:val="0"/>
        </w:rPr>
        <w:t xml:space="preserve">we see </w:t>
      </w:r>
      <w:r w:rsidRPr="008E5BB4">
        <w:t>that</w:t>
      </w:r>
      <w:r>
        <w:rPr>
          <w:b w:val="0"/>
          <w:bCs w:val="0"/>
        </w:rPr>
        <w:t xml:space="preserve"> </w:t>
      </w:r>
      <w:r>
        <w:t xml:space="preserve">even though </w:t>
      </w:r>
      <w:r>
        <w:rPr>
          <w:rFonts w:hint="cs"/>
          <w:rtl/>
        </w:rPr>
        <w:t>ר"מ</w:t>
      </w:r>
      <w:r>
        <w:t xml:space="preserve"> argues with </w:t>
      </w:r>
      <w:r>
        <w:rPr>
          <w:b w:val="0"/>
          <w:bCs w:val="0"/>
        </w:rPr>
        <w:t xml:space="preserve">the ruling in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regarding the </w:t>
      </w:r>
      <w:r>
        <w:rPr>
          <w:rFonts w:hint="cs"/>
          <w:rtl/>
        </w:rPr>
        <w:t>סיפא</w:t>
      </w:r>
      <w:r>
        <w:t xml:space="preserve"> </w:t>
      </w:r>
      <w:r>
        <w:rPr>
          <w:b w:val="0"/>
          <w:bCs w:val="0"/>
        </w:rPr>
        <w:t xml:space="preserve">(of </w:t>
      </w:r>
      <w:r>
        <w:rPr>
          <w:rFonts w:hint="cs"/>
          <w:b w:val="0"/>
          <w:bCs w:val="0"/>
          <w:rtl/>
        </w:rPr>
        <w:t>העדים שאמרו</w:t>
      </w:r>
      <w:r>
        <w:rPr>
          <w:b w:val="0"/>
          <w:bCs w:val="0"/>
        </w:rPr>
        <w:t xml:space="preserve">), nevertheless </w:t>
      </w:r>
      <w:r>
        <w:rPr>
          <w:rFonts w:hint="cs"/>
          <w:b w:val="0"/>
          <w:bCs w:val="0"/>
          <w:rtl/>
        </w:rPr>
        <w:t>ר"מ</w:t>
      </w:r>
      <w:r>
        <w:rPr>
          <w:b w:val="0"/>
          <w:bCs w:val="0"/>
        </w:rPr>
        <w:t xml:space="preserve"> </w:t>
      </w:r>
      <w:r>
        <w:t xml:space="preserve">admits regarding the </w:t>
      </w:r>
      <w:r>
        <w:rPr>
          <w:rFonts w:hint="cs"/>
          <w:rtl/>
        </w:rPr>
        <w:t>רישא</w:t>
      </w:r>
      <w:r>
        <w:t xml:space="preserve"> </w:t>
      </w:r>
      <w:r w:rsidRPr="00326EC2">
        <w:rPr>
          <w:b w:val="0"/>
          <w:bCs w:val="0"/>
          <w:sz w:val="24"/>
          <w:szCs w:val="24"/>
        </w:rPr>
        <w:t xml:space="preserve">(of </w:t>
      </w:r>
      <w:r w:rsidRPr="00326EC2">
        <w:rPr>
          <w:rFonts w:hint="cs"/>
          <w:b w:val="0"/>
          <w:bCs w:val="0"/>
          <w:sz w:val="24"/>
          <w:szCs w:val="24"/>
          <w:rtl/>
        </w:rPr>
        <w:t>שדה זו</w:t>
      </w:r>
      <w:r w:rsidRPr="00326EC2">
        <w:rPr>
          <w:b w:val="0"/>
          <w:bCs w:val="0"/>
          <w:sz w:val="24"/>
          <w:szCs w:val="24"/>
        </w:rPr>
        <w:t xml:space="preserve">) that in that case we do say </w:t>
      </w:r>
      <w:r w:rsidRPr="00326EC2">
        <w:rPr>
          <w:rFonts w:hint="cs"/>
          <w:b w:val="0"/>
          <w:bCs w:val="0"/>
          <w:sz w:val="24"/>
          <w:szCs w:val="24"/>
          <w:rtl/>
        </w:rPr>
        <w:t>הפה שאסר</w:t>
      </w:r>
      <w:r w:rsidRPr="00D0121E">
        <w:rPr>
          <w:rFonts w:asciiTheme="majorBidi" w:hAnsiTheme="majorBidi" w:cstheme="majorBidi"/>
          <w:b w:val="0"/>
          <w:bCs w:val="0"/>
          <w:sz w:val="24"/>
          <w:szCs w:val="24"/>
        </w:rPr>
        <w:t>.</w:t>
      </w:r>
      <w:r w:rsidR="00D0121E" w:rsidRPr="00D0121E">
        <w:rPr>
          <w:rStyle w:val="FootnoteReference"/>
          <w:rFonts w:asciiTheme="majorBidi" w:hAnsiTheme="majorBidi" w:cstheme="majorBidi"/>
          <w:b w:val="0"/>
          <w:bCs w:val="0"/>
          <w:sz w:val="24"/>
          <w:szCs w:val="24"/>
          <w:rtl/>
        </w:rPr>
        <w:t xml:space="preserve"> </w:t>
      </w:r>
      <w:r w:rsidR="00D0121E" w:rsidRPr="00D0121E">
        <w:rPr>
          <w:rStyle w:val="FootnoteReference"/>
          <w:rFonts w:asciiTheme="majorBidi" w:hAnsiTheme="majorBidi" w:cstheme="majorBidi"/>
          <w:b w:val="0"/>
          <w:bCs w:val="0"/>
          <w:sz w:val="24"/>
          <w:szCs w:val="24"/>
          <w:rtl/>
        </w:rPr>
        <w:footnoteReference w:id="5"/>
      </w:r>
      <w:r w:rsidRPr="00326EC2">
        <w:rPr>
          <w:sz w:val="24"/>
          <w:szCs w:val="24"/>
        </w:rPr>
        <w:t xml:space="preserve"> </w:t>
      </w:r>
    </w:p>
    <w:p w:rsidR="003D4453" w:rsidRPr="00326EC2" w:rsidRDefault="003D4453" w:rsidP="00A62E6E">
      <w:pPr>
        <w:bidi/>
        <w:rPr>
          <w:sz w:val="24"/>
          <w:szCs w:val="24"/>
        </w:rPr>
      </w:pPr>
    </w:p>
    <w:p w:rsidR="009E14C4" w:rsidRPr="009E14C4" w:rsidRDefault="009E14C4" w:rsidP="003B36CF">
      <w:pPr>
        <w:widowControl w:val="0"/>
        <w:rPr>
          <w:rFonts w:ascii="Copperplate Gothic Bold" w:hAnsi="Copperplate Gothic Bold"/>
          <w:b w:val="0"/>
          <w:bCs w:val="0"/>
          <w:u w:val="double"/>
        </w:rPr>
      </w:pPr>
      <w:r w:rsidRPr="009E14C4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9E14C4" w:rsidRDefault="00530EA6" w:rsidP="003B36CF">
      <w:pPr>
        <w:widowControl w:val="0"/>
        <w:rPr>
          <w:b w:val="0"/>
          <w:bCs w:val="0"/>
          <w:sz w:val="24"/>
          <w:szCs w:val="24"/>
          <w:rtl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could have said that it is necessary to mention the case of </w:t>
      </w:r>
      <w:r>
        <w:rPr>
          <w:rFonts w:hint="cs"/>
          <w:b w:val="0"/>
          <w:bCs w:val="0"/>
          <w:rtl/>
        </w:rPr>
        <w:t>העדים שאמרו</w:t>
      </w:r>
      <w:r>
        <w:rPr>
          <w:b w:val="0"/>
          <w:bCs w:val="0"/>
        </w:rPr>
        <w:t xml:space="preserve"> to </w:t>
      </w:r>
      <w:r>
        <w:rPr>
          <w:b w:val="0"/>
          <w:bCs w:val="0"/>
        </w:rPr>
        <w:lastRenderedPageBreak/>
        <w:t xml:space="preserve">negate the view of </w:t>
      </w:r>
      <w:r>
        <w:rPr>
          <w:rFonts w:hint="cs"/>
          <w:b w:val="0"/>
          <w:bCs w:val="0"/>
          <w:rtl/>
        </w:rPr>
        <w:t>ר"מ</w:t>
      </w:r>
      <w:r>
        <w:rPr>
          <w:b w:val="0"/>
          <w:bCs w:val="0"/>
        </w:rPr>
        <w:t>.</w:t>
      </w:r>
    </w:p>
    <w:p w:rsidR="003B36CF" w:rsidRPr="003B36CF" w:rsidRDefault="003B36CF" w:rsidP="003B36CF">
      <w:pPr>
        <w:widowControl w:val="0"/>
        <w:rPr>
          <w:b w:val="0"/>
          <w:bCs w:val="0"/>
          <w:sz w:val="24"/>
          <w:szCs w:val="24"/>
        </w:rPr>
      </w:pPr>
    </w:p>
    <w:p w:rsidR="009E14C4" w:rsidRPr="009E14C4" w:rsidRDefault="009E14C4" w:rsidP="003B36CF">
      <w:pPr>
        <w:widowControl w:val="0"/>
        <w:rPr>
          <w:rFonts w:ascii="Copperplate Gothic Bold" w:hAnsi="Copperplate Gothic Bold"/>
          <w:b w:val="0"/>
          <w:bCs w:val="0"/>
          <w:u w:val="double"/>
        </w:rPr>
      </w:pPr>
      <w:r w:rsidRPr="009E14C4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9E14C4" w:rsidRPr="009E14C4" w:rsidRDefault="00326EC2" w:rsidP="009E14C4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asks that the </w:t>
      </w:r>
      <w:r>
        <w:rPr>
          <w:rFonts w:hint="cs"/>
          <w:b w:val="0"/>
          <w:bCs w:val="0"/>
          <w:rtl/>
        </w:rPr>
        <w:t>סיפא</w:t>
      </w:r>
      <w:r>
        <w:rPr>
          <w:b w:val="0"/>
          <w:bCs w:val="0"/>
        </w:rPr>
        <w:t xml:space="preserve"> (of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) is necessary in order to negate the view of </w:t>
      </w:r>
      <w:r>
        <w:rPr>
          <w:rFonts w:hint="cs"/>
          <w:b w:val="0"/>
          <w:bCs w:val="0"/>
          <w:rtl/>
        </w:rPr>
        <w:t>ר"מ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6"/>
      </w:r>
      <w:r>
        <w:rPr>
          <w:b w:val="0"/>
          <w:bCs w:val="0"/>
        </w:rPr>
        <w:t xml:space="preserve"> Seemingly this is an answer if we maintain </w:t>
      </w:r>
      <w:r>
        <w:rPr>
          <w:rFonts w:hint="cs"/>
          <w:b w:val="0"/>
          <w:bCs w:val="0"/>
          <w:rtl/>
        </w:rPr>
        <w:t>מודה בשטר שכתבו א"צ לקיימו</w:t>
      </w:r>
      <w:r>
        <w:rPr>
          <w:b w:val="0"/>
          <w:bCs w:val="0"/>
        </w:rPr>
        <w:t>;</w:t>
      </w:r>
      <w:r>
        <w:rPr>
          <w:rStyle w:val="FootnoteReference"/>
          <w:b w:val="0"/>
          <w:bCs w:val="0"/>
        </w:rPr>
        <w:footnoteReference w:id="7"/>
      </w:r>
      <w:r>
        <w:rPr>
          <w:b w:val="0"/>
          <w:bCs w:val="0"/>
        </w:rPr>
        <w:t xml:space="preserve"> however if we maintain </w:t>
      </w:r>
      <w:r>
        <w:rPr>
          <w:rFonts w:hint="cs"/>
          <w:b w:val="0"/>
          <w:bCs w:val="0"/>
          <w:rtl/>
        </w:rPr>
        <w:t>צריך לקיימו</w:t>
      </w:r>
      <w:r>
        <w:rPr>
          <w:b w:val="0"/>
          <w:bCs w:val="0"/>
        </w:rPr>
        <w:t xml:space="preserve"> then (if not for the distinction of </w:t>
      </w:r>
      <w:r>
        <w:rPr>
          <w:rFonts w:hint="cs"/>
          <w:b w:val="0"/>
          <w:bCs w:val="0"/>
          <w:rtl/>
        </w:rPr>
        <w:t>דררא דממונא</w:t>
      </w:r>
      <w:r>
        <w:rPr>
          <w:b w:val="0"/>
          <w:bCs w:val="0"/>
        </w:rPr>
        <w:t xml:space="preserve">) there would (seemingly) be no reason why the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 should </w:t>
      </w:r>
      <w:r w:rsidR="00B37681">
        <w:rPr>
          <w:b w:val="0"/>
          <w:bCs w:val="0"/>
        </w:rPr>
        <w:t xml:space="preserve">not </w:t>
      </w:r>
      <w:r>
        <w:rPr>
          <w:b w:val="0"/>
          <w:bCs w:val="0"/>
        </w:rPr>
        <w:t xml:space="preserve">be believed with the </w:t>
      </w:r>
      <w:r>
        <w:rPr>
          <w:rFonts w:hint="cs"/>
          <w:b w:val="0"/>
          <w:bCs w:val="0"/>
          <w:rtl/>
        </w:rPr>
        <w:t>הפה שאסר</w:t>
      </w:r>
      <w:r>
        <w:rPr>
          <w:b w:val="0"/>
          <w:bCs w:val="0"/>
        </w:rPr>
        <w:t xml:space="preserve">. Perhaps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wanted to explain the </w:t>
      </w:r>
      <w:r>
        <w:rPr>
          <w:rFonts w:hint="cs"/>
          <w:b w:val="0"/>
          <w:bCs w:val="0"/>
          <w:rtl/>
        </w:rPr>
        <w:t>צריכותא</w:t>
      </w:r>
      <w:r>
        <w:rPr>
          <w:b w:val="0"/>
          <w:bCs w:val="0"/>
        </w:rPr>
        <w:t xml:space="preserve"> even according to the </w:t>
      </w:r>
      <w:r>
        <w:rPr>
          <w:rFonts w:hint="cs"/>
          <w:b w:val="0"/>
          <w:bCs w:val="0"/>
          <w:rtl/>
        </w:rPr>
        <w:t>מ"ד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צריך לקיימו</w:t>
      </w:r>
      <w:r>
        <w:rPr>
          <w:b w:val="0"/>
          <w:bCs w:val="0"/>
        </w:rPr>
        <w:t xml:space="preserve">, so what is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question?!</w:t>
      </w:r>
      <w:r w:rsidR="003B36CF">
        <w:rPr>
          <w:rStyle w:val="FootnoteReference"/>
          <w:b w:val="0"/>
          <w:bCs w:val="0"/>
        </w:rPr>
        <w:footnoteReference w:id="8"/>
      </w:r>
    </w:p>
    <w:sectPr w:rsidR="009E14C4" w:rsidRPr="009E14C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15A" w:rsidRDefault="00A6015A" w:rsidP="009E14C4">
      <w:pPr>
        <w:spacing w:line="240" w:lineRule="auto"/>
      </w:pPr>
      <w:r>
        <w:separator/>
      </w:r>
    </w:p>
  </w:endnote>
  <w:endnote w:type="continuationSeparator" w:id="0">
    <w:p w:rsidR="00A6015A" w:rsidRDefault="00A6015A" w:rsidP="009E14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pperplate Gothic Bold">
    <w:altName w:val="Copperplate Gothic Bold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5329895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9266BA" w:rsidRDefault="009266BA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9266BA">
          <w:rPr>
            <w:b w:val="0"/>
            <w:bCs w:val="0"/>
            <w:sz w:val="20"/>
            <w:szCs w:val="20"/>
          </w:rPr>
          <w:fldChar w:fldCharType="begin"/>
        </w:r>
        <w:r w:rsidRPr="009266BA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9266BA">
          <w:rPr>
            <w:b w:val="0"/>
            <w:bCs w:val="0"/>
            <w:sz w:val="20"/>
            <w:szCs w:val="20"/>
          </w:rPr>
          <w:fldChar w:fldCharType="separate"/>
        </w:r>
        <w:r w:rsidR="005B4430">
          <w:rPr>
            <w:b w:val="0"/>
            <w:bCs w:val="0"/>
            <w:noProof/>
            <w:sz w:val="20"/>
            <w:szCs w:val="20"/>
          </w:rPr>
          <w:t>1</w:t>
        </w:r>
        <w:r w:rsidRPr="009266BA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9266BA" w:rsidRPr="009266BA" w:rsidRDefault="009266BA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9266BA" w:rsidRDefault="00926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15A" w:rsidRDefault="00A6015A" w:rsidP="009E14C4">
      <w:pPr>
        <w:spacing w:line="240" w:lineRule="auto"/>
      </w:pPr>
      <w:r>
        <w:separator/>
      </w:r>
    </w:p>
  </w:footnote>
  <w:footnote w:type="continuationSeparator" w:id="0">
    <w:p w:rsidR="00A6015A" w:rsidRDefault="00A6015A" w:rsidP="009E14C4">
      <w:pPr>
        <w:spacing w:line="240" w:lineRule="auto"/>
      </w:pPr>
      <w:r>
        <w:continuationSeparator/>
      </w:r>
    </w:p>
  </w:footnote>
  <w:footnote w:id="1">
    <w:p w:rsidR="00D0121E" w:rsidRPr="00D0121E" w:rsidRDefault="00D0121E" w:rsidP="00D0121E">
      <w:pPr>
        <w:pStyle w:val="FootnoteText"/>
        <w:widowControl w:val="0"/>
        <w:spacing w:line="264" w:lineRule="auto"/>
        <w:rPr>
          <w:b w:val="0"/>
          <w:bCs w:val="0"/>
        </w:rPr>
      </w:pPr>
      <w:r w:rsidRPr="00D0121E">
        <w:rPr>
          <w:rStyle w:val="FootnoteReference"/>
          <w:b w:val="0"/>
          <w:bCs w:val="0"/>
        </w:rPr>
        <w:footnoteRef/>
      </w:r>
      <w:r w:rsidRPr="00D0121E">
        <w:rPr>
          <w:b w:val="0"/>
          <w:bCs w:val="0"/>
        </w:rPr>
        <w:t xml:space="preserve"> See previous </w:t>
      </w:r>
      <w:r w:rsidRPr="00D0121E">
        <w:rPr>
          <w:rFonts w:hint="cs"/>
          <w:b w:val="0"/>
          <w:bCs w:val="0"/>
          <w:rtl/>
        </w:rPr>
        <w:t>תוס' ד"ה דאיכא</w:t>
      </w:r>
      <w:r w:rsidRPr="00D0121E">
        <w:rPr>
          <w:b w:val="0"/>
          <w:bCs w:val="0"/>
        </w:rPr>
        <w:t xml:space="preserve"> for an explanation of the meaning of </w:t>
      </w:r>
      <w:r w:rsidRPr="00D0121E">
        <w:rPr>
          <w:rFonts w:hint="cs"/>
          <w:b w:val="0"/>
          <w:bCs w:val="0"/>
          <w:rtl/>
        </w:rPr>
        <w:t>דררא דממונא</w:t>
      </w:r>
      <w:r w:rsidRPr="00D0121E">
        <w:rPr>
          <w:b w:val="0"/>
          <w:bCs w:val="0"/>
        </w:rPr>
        <w:t xml:space="preserve"> (according to </w:t>
      </w:r>
      <w:r w:rsidRPr="00D0121E">
        <w:rPr>
          <w:rFonts w:hint="cs"/>
          <w:b w:val="0"/>
          <w:bCs w:val="0"/>
          <w:rtl/>
        </w:rPr>
        <w:t>תוס'</w:t>
      </w:r>
      <w:r w:rsidRPr="00D0121E">
        <w:rPr>
          <w:b w:val="0"/>
          <w:bCs w:val="0"/>
        </w:rPr>
        <w:t>).</w:t>
      </w:r>
    </w:p>
  </w:footnote>
  <w:footnote w:id="2">
    <w:p w:rsidR="004331D1" w:rsidRPr="003B36CF" w:rsidRDefault="004331D1" w:rsidP="00D0121E">
      <w:pPr>
        <w:pStyle w:val="FootnoteText"/>
        <w:widowControl w:val="0"/>
        <w:spacing w:line="264" w:lineRule="auto"/>
        <w:rPr>
          <w:b w:val="0"/>
          <w:bCs w:val="0"/>
        </w:rPr>
      </w:pPr>
      <w:r w:rsidRPr="003B36CF">
        <w:rPr>
          <w:rStyle w:val="FootnoteReference"/>
          <w:b w:val="0"/>
          <w:bCs w:val="0"/>
        </w:rPr>
        <w:footnoteRef/>
      </w:r>
      <w:r w:rsidRPr="003B36CF">
        <w:rPr>
          <w:b w:val="0"/>
          <w:bCs w:val="0"/>
        </w:rPr>
        <w:t xml:space="preserve"> Others amend this to read: </w:t>
      </w:r>
      <w:r w:rsidRPr="003B36CF">
        <w:rPr>
          <w:rFonts w:hint="cs"/>
          <w:b w:val="0"/>
          <w:bCs w:val="0"/>
          <w:rtl/>
        </w:rPr>
        <w:t>מאיר מודה ברישא פליג אסיפא</w:t>
      </w:r>
      <w:r w:rsidRPr="003B36CF">
        <w:rPr>
          <w:b w:val="0"/>
          <w:bCs w:val="0"/>
        </w:rPr>
        <w:t>.</w:t>
      </w:r>
    </w:p>
  </w:footnote>
  <w:footnote w:id="3">
    <w:p w:rsidR="008E5BB4" w:rsidRPr="003B36CF" w:rsidRDefault="008E5BB4" w:rsidP="005B4430">
      <w:pPr>
        <w:pStyle w:val="FootnoteText"/>
        <w:widowControl w:val="0"/>
        <w:spacing w:line="264" w:lineRule="auto"/>
        <w:rPr>
          <w:b w:val="0"/>
          <w:bCs w:val="0"/>
        </w:rPr>
      </w:pPr>
      <w:r w:rsidRPr="003B36CF">
        <w:rPr>
          <w:rStyle w:val="FootnoteReference"/>
          <w:b w:val="0"/>
          <w:bCs w:val="0"/>
        </w:rPr>
        <w:footnoteRef/>
      </w:r>
      <w:r w:rsidRPr="003B36CF">
        <w:rPr>
          <w:b w:val="0"/>
          <w:bCs w:val="0"/>
        </w:rPr>
        <w:t xml:space="preserve"> The </w:t>
      </w:r>
      <w:r w:rsidRPr="003B36CF">
        <w:rPr>
          <w:rFonts w:hint="cs"/>
          <w:b w:val="0"/>
          <w:bCs w:val="0"/>
          <w:rtl/>
        </w:rPr>
        <w:t>סיפא</w:t>
      </w:r>
      <w:r w:rsidRPr="003B36CF">
        <w:rPr>
          <w:b w:val="0"/>
          <w:bCs w:val="0"/>
        </w:rPr>
        <w:t xml:space="preserve"> refers to the case of </w:t>
      </w:r>
      <w:r w:rsidRPr="003B36CF">
        <w:rPr>
          <w:rFonts w:hint="cs"/>
          <w:b w:val="0"/>
          <w:bCs w:val="0"/>
          <w:rtl/>
        </w:rPr>
        <w:t>העדים שאמרו</w:t>
      </w:r>
      <w:r w:rsidRPr="003B36CF">
        <w:rPr>
          <w:b w:val="0"/>
          <w:bCs w:val="0"/>
        </w:rPr>
        <w:t xml:space="preserve"> (on </w:t>
      </w:r>
      <w:r w:rsidRPr="003B36CF">
        <w:rPr>
          <w:rFonts w:hint="cs"/>
          <w:b w:val="0"/>
          <w:bCs w:val="0"/>
          <w:rtl/>
        </w:rPr>
        <w:t>יח,ב</w:t>
      </w:r>
      <w:r w:rsidRPr="003B36CF">
        <w:rPr>
          <w:b w:val="0"/>
          <w:bCs w:val="0"/>
        </w:rPr>
        <w:t xml:space="preserve">) where the </w:t>
      </w:r>
      <w:r w:rsidRPr="003B36CF">
        <w:rPr>
          <w:rFonts w:hint="cs"/>
          <w:b w:val="0"/>
          <w:bCs w:val="0"/>
          <w:rtl/>
        </w:rPr>
        <w:t>ברייתא</w:t>
      </w:r>
      <w:r w:rsidRPr="003B36CF">
        <w:rPr>
          <w:b w:val="0"/>
          <w:bCs w:val="0"/>
        </w:rPr>
        <w:t xml:space="preserve"> there states that </w:t>
      </w:r>
      <w:r w:rsidRPr="003B36CF">
        <w:rPr>
          <w:rFonts w:hint="cs"/>
          <w:b w:val="0"/>
          <w:bCs w:val="0"/>
          <w:rtl/>
        </w:rPr>
        <w:t>ר"מ</w:t>
      </w:r>
      <w:r w:rsidRPr="003B36CF">
        <w:rPr>
          <w:b w:val="0"/>
          <w:bCs w:val="0"/>
        </w:rPr>
        <w:t xml:space="preserve"> is of the opinion that the </w:t>
      </w:r>
      <w:r w:rsidRPr="003B36CF">
        <w:rPr>
          <w:rFonts w:hint="cs"/>
          <w:b w:val="0"/>
          <w:bCs w:val="0"/>
          <w:rtl/>
        </w:rPr>
        <w:t>עדים</w:t>
      </w:r>
      <w:r w:rsidRPr="003B36CF">
        <w:rPr>
          <w:b w:val="0"/>
          <w:bCs w:val="0"/>
        </w:rPr>
        <w:t xml:space="preserve"> are not believed to claim </w:t>
      </w:r>
      <w:r w:rsidRPr="003B36CF">
        <w:rPr>
          <w:rFonts w:hint="cs"/>
          <w:b w:val="0"/>
          <w:bCs w:val="0"/>
          <w:rtl/>
        </w:rPr>
        <w:t>אבל אנוסים היינו קטנים היינו פסולי עדות היינו</w:t>
      </w:r>
      <w:r w:rsidRPr="003B36CF">
        <w:rPr>
          <w:b w:val="0"/>
          <w:bCs w:val="0"/>
        </w:rPr>
        <w:t xml:space="preserve">. The reason </w:t>
      </w:r>
      <w:r w:rsidRPr="003B36CF">
        <w:rPr>
          <w:rFonts w:hint="cs"/>
          <w:b w:val="0"/>
          <w:bCs w:val="0"/>
          <w:rtl/>
        </w:rPr>
        <w:t>ר"מ</w:t>
      </w:r>
      <w:r w:rsidRPr="003B36CF">
        <w:rPr>
          <w:b w:val="0"/>
          <w:bCs w:val="0"/>
        </w:rPr>
        <w:t xml:space="preserve"> maintains we do not say </w:t>
      </w:r>
      <w:r w:rsidRPr="003B36CF">
        <w:rPr>
          <w:rFonts w:hint="cs"/>
          <w:b w:val="0"/>
          <w:bCs w:val="0"/>
          <w:rtl/>
        </w:rPr>
        <w:t>הפה שאסר</w:t>
      </w:r>
      <w:r w:rsidRPr="003B36CF">
        <w:rPr>
          <w:b w:val="0"/>
          <w:bCs w:val="0"/>
        </w:rPr>
        <w:t xml:space="preserve"> in this case is (see </w:t>
      </w:r>
      <w:r w:rsidRPr="003B36CF">
        <w:rPr>
          <w:rFonts w:hint="cs"/>
          <w:b w:val="0"/>
          <w:bCs w:val="0"/>
          <w:rtl/>
        </w:rPr>
        <w:t>יט,א</w:t>
      </w:r>
      <w:r w:rsidRPr="003B36CF">
        <w:rPr>
          <w:b w:val="0"/>
          <w:bCs w:val="0"/>
        </w:rPr>
        <w:t xml:space="preserve"> and </w:t>
      </w:r>
      <w:r w:rsidRPr="003B36CF">
        <w:rPr>
          <w:rFonts w:hint="cs"/>
          <w:b w:val="0"/>
          <w:bCs w:val="0"/>
          <w:rtl/>
        </w:rPr>
        <w:t>תוס'</w:t>
      </w:r>
      <w:r w:rsidR="00D0121E">
        <w:rPr>
          <w:b w:val="0"/>
          <w:bCs w:val="0"/>
        </w:rPr>
        <w:t xml:space="preserve"> there </w:t>
      </w:r>
      <w:r w:rsidRPr="003B36CF">
        <w:rPr>
          <w:rFonts w:hint="cs"/>
          <w:b w:val="0"/>
          <w:bCs w:val="0"/>
          <w:rtl/>
        </w:rPr>
        <w:t xml:space="preserve"> ד"ה טעמא</w:t>
      </w:r>
      <w:r w:rsidRPr="003B36CF">
        <w:rPr>
          <w:b w:val="0"/>
          <w:bCs w:val="0"/>
        </w:rPr>
        <w:t>)</w:t>
      </w:r>
      <w:r w:rsidR="00007A6A" w:rsidRPr="003B36CF">
        <w:rPr>
          <w:b w:val="0"/>
          <w:bCs w:val="0"/>
        </w:rPr>
        <w:t xml:space="preserve"> because </w:t>
      </w:r>
      <w:r w:rsidR="00D0121E">
        <w:rPr>
          <w:rFonts w:hint="cs"/>
          <w:b w:val="0"/>
          <w:bCs w:val="0"/>
          <w:rtl/>
        </w:rPr>
        <w:t>ר"מ</w:t>
      </w:r>
      <w:r w:rsidR="00007A6A" w:rsidRPr="003B36CF">
        <w:rPr>
          <w:b w:val="0"/>
          <w:bCs w:val="0"/>
        </w:rPr>
        <w:t xml:space="preserve"> maintains </w:t>
      </w:r>
      <w:r w:rsidR="00007A6A" w:rsidRPr="003B36CF">
        <w:rPr>
          <w:rFonts w:hint="cs"/>
          <w:b w:val="0"/>
          <w:bCs w:val="0"/>
          <w:rtl/>
        </w:rPr>
        <w:t>מודה בשטר שכתבו א"צ לקיימו</w:t>
      </w:r>
      <w:r w:rsidR="00007A6A" w:rsidRPr="003B36CF">
        <w:rPr>
          <w:b w:val="0"/>
          <w:bCs w:val="0"/>
        </w:rPr>
        <w:t xml:space="preserve">; meaning that a </w:t>
      </w:r>
      <w:r w:rsidR="00007A6A" w:rsidRPr="003B36CF">
        <w:rPr>
          <w:rFonts w:hint="cs"/>
          <w:b w:val="0"/>
          <w:bCs w:val="0"/>
          <w:rtl/>
        </w:rPr>
        <w:t>מגו</w:t>
      </w:r>
      <w:r w:rsidR="00007A6A" w:rsidRPr="003B36CF">
        <w:rPr>
          <w:b w:val="0"/>
          <w:bCs w:val="0"/>
        </w:rPr>
        <w:t xml:space="preserve"> is not effective against a </w:t>
      </w:r>
      <w:r w:rsidR="00007A6A" w:rsidRPr="003B36CF">
        <w:rPr>
          <w:rFonts w:hint="cs"/>
          <w:b w:val="0"/>
          <w:bCs w:val="0"/>
          <w:rtl/>
        </w:rPr>
        <w:t>שטר</w:t>
      </w:r>
      <w:r w:rsidRPr="003B36CF">
        <w:rPr>
          <w:b w:val="0"/>
          <w:bCs w:val="0"/>
        </w:rPr>
        <w:t>.</w:t>
      </w:r>
      <w:r w:rsidR="00007A6A" w:rsidRPr="003B36CF">
        <w:rPr>
          <w:b w:val="0"/>
          <w:bCs w:val="0"/>
        </w:rPr>
        <w:t xml:space="preserve"> Similarly the </w:t>
      </w:r>
      <w:r w:rsidR="00007A6A" w:rsidRPr="003B36CF">
        <w:rPr>
          <w:rFonts w:hint="cs"/>
          <w:b w:val="0"/>
          <w:bCs w:val="0"/>
          <w:rtl/>
        </w:rPr>
        <w:t>פה שאסר</w:t>
      </w:r>
      <w:r w:rsidR="00007A6A" w:rsidRPr="003B36CF">
        <w:rPr>
          <w:b w:val="0"/>
          <w:bCs w:val="0"/>
        </w:rPr>
        <w:t xml:space="preserve"> of the </w:t>
      </w:r>
      <w:r w:rsidR="00007A6A" w:rsidRPr="003B36CF">
        <w:rPr>
          <w:rFonts w:hint="cs"/>
          <w:b w:val="0"/>
          <w:bCs w:val="0"/>
          <w:rtl/>
        </w:rPr>
        <w:t>עדים</w:t>
      </w:r>
      <w:r w:rsidR="00007A6A" w:rsidRPr="003B36CF">
        <w:rPr>
          <w:b w:val="0"/>
          <w:bCs w:val="0"/>
        </w:rPr>
        <w:t xml:space="preserve"> is not effective against the </w:t>
      </w:r>
      <w:r w:rsidR="00007A6A" w:rsidRPr="003B36CF">
        <w:rPr>
          <w:rFonts w:hint="cs"/>
          <w:b w:val="0"/>
          <w:bCs w:val="0"/>
          <w:rtl/>
        </w:rPr>
        <w:t>שטר</w:t>
      </w:r>
      <w:r w:rsidR="00007A6A" w:rsidRPr="003B36CF">
        <w:rPr>
          <w:b w:val="0"/>
          <w:bCs w:val="0"/>
        </w:rPr>
        <w:t>.</w:t>
      </w:r>
      <w:r w:rsidR="00326EC2" w:rsidRPr="003B36CF">
        <w:rPr>
          <w:b w:val="0"/>
          <w:bCs w:val="0"/>
        </w:rPr>
        <w:t xml:space="preserve"> See ‘Thinking it over’.</w:t>
      </w:r>
    </w:p>
  </w:footnote>
  <w:footnote w:id="4">
    <w:p w:rsidR="008E5BB4" w:rsidRPr="003B36CF" w:rsidRDefault="008E5BB4" w:rsidP="003B36CF">
      <w:pPr>
        <w:pStyle w:val="FootnoteText"/>
        <w:spacing w:line="264" w:lineRule="auto"/>
        <w:rPr>
          <w:b w:val="0"/>
          <w:bCs w:val="0"/>
        </w:rPr>
      </w:pPr>
      <w:r w:rsidRPr="003B36CF">
        <w:rPr>
          <w:rStyle w:val="FootnoteReference"/>
          <w:b w:val="0"/>
          <w:bCs w:val="0"/>
        </w:rPr>
        <w:footnoteRef/>
      </w:r>
      <w:r w:rsidRPr="003B36CF">
        <w:rPr>
          <w:b w:val="0"/>
          <w:bCs w:val="0"/>
        </w:rPr>
        <w:t xml:space="preserve"> The </w:t>
      </w:r>
      <w:r w:rsidRPr="003B36CF">
        <w:rPr>
          <w:rFonts w:hint="cs"/>
          <w:b w:val="0"/>
          <w:bCs w:val="0"/>
          <w:rtl/>
        </w:rPr>
        <w:t>רישא</w:t>
      </w:r>
      <w:r w:rsidRPr="003B36CF">
        <w:rPr>
          <w:b w:val="0"/>
          <w:bCs w:val="0"/>
        </w:rPr>
        <w:t xml:space="preserve"> refers to the case of </w:t>
      </w:r>
      <w:r w:rsidRPr="003B36CF">
        <w:rPr>
          <w:rFonts w:hint="cs"/>
          <w:b w:val="0"/>
          <w:bCs w:val="0"/>
          <w:rtl/>
        </w:rPr>
        <w:t>שדה זו של אביך</w:t>
      </w:r>
      <w:r w:rsidRPr="003B36CF">
        <w:rPr>
          <w:b w:val="0"/>
          <w:bCs w:val="0"/>
        </w:rPr>
        <w:t xml:space="preserve"> (on </w:t>
      </w:r>
      <w:r w:rsidRPr="003B36CF">
        <w:rPr>
          <w:rFonts w:hint="cs"/>
          <w:b w:val="0"/>
          <w:bCs w:val="0"/>
          <w:rtl/>
        </w:rPr>
        <w:t>טו,ב</w:t>
      </w:r>
      <w:r w:rsidRPr="003B36CF">
        <w:rPr>
          <w:b w:val="0"/>
          <w:bCs w:val="0"/>
        </w:rPr>
        <w:t xml:space="preserve">) where we do not find that </w:t>
      </w:r>
      <w:r w:rsidRPr="003B36CF">
        <w:rPr>
          <w:rFonts w:hint="cs"/>
          <w:b w:val="0"/>
          <w:bCs w:val="0"/>
          <w:rtl/>
        </w:rPr>
        <w:t>ר"מ</w:t>
      </w:r>
      <w:r w:rsidRPr="003B36CF">
        <w:rPr>
          <w:b w:val="0"/>
          <w:bCs w:val="0"/>
        </w:rPr>
        <w:t xml:space="preserve"> argues with this ruling.</w:t>
      </w:r>
    </w:p>
  </w:footnote>
  <w:footnote w:id="5">
    <w:p w:rsidR="00D0121E" w:rsidRPr="003B36CF" w:rsidRDefault="00D0121E" w:rsidP="00D0121E">
      <w:pPr>
        <w:pStyle w:val="FootnoteText"/>
        <w:spacing w:line="264" w:lineRule="auto"/>
        <w:rPr>
          <w:b w:val="0"/>
          <w:bCs w:val="0"/>
        </w:rPr>
      </w:pPr>
      <w:r w:rsidRPr="003B36CF">
        <w:rPr>
          <w:rStyle w:val="FootnoteReference"/>
          <w:b w:val="0"/>
          <w:bCs w:val="0"/>
        </w:rPr>
        <w:footnoteRef/>
      </w:r>
      <w:r w:rsidRPr="003B36CF">
        <w:rPr>
          <w:b w:val="0"/>
          <w:bCs w:val="0"/>
        </w:rPr>
        <w:t xml:space="preserve"> </w:t>
      </w:r>
      <w:r w:rsidRPr="003B36CF">
        <w:rPr>
          <w:rFonts w:hint="cs"/>
          <w:b w:val="0"/>
          <w:bCs w:val="0"/>
          <w:rtl/>
        </w:rPr>
        <w:t>תוספות</w:t>
      </w:r>
      <w:r w:rsidRPr="003B36CF">
        <w:rPr>
          <w:b w:val="0"/>
          <w:bCs w:val="0"/>
        </w:rPr>
        <w:t xml:space="preserve"> question is that we do not need to distinguish </w:t>
      </w:r>
      <w:r>
        <w:rPr>
          <w:b w:val="0"/>
          <w:bCs w:val="0"/>
        </w:rPr>
        <w:t>between the</w:t>
      </w:r>
      <w:r w:rsidRPr="003B36CF">
        <w:rPr>
          <w:b w:val="0"/>
          <w:bCs w:val="0"/>
        </w:rPr>
        <w:t xml:space="preserve"> case</w:t>
      </w:r>
      <w:r>
        <w:rPr>
          <w:b w:val="0"/>
          <w:bCs w:val="0"/>
        </w:rPr>
        <w:t>s</w:t>
      </w:r>
      <w:r w:rsidRPr="003B36CF">
        <w:rPr>
          <w:b w:val="0"/>
          <w:bCs w:val="0"/>
        </w:rPr>
        <w:t xml:space="preserve"> of </w:t>
      </w:r>
      <w:r w:rsidRPr="003B36CF">
        <w:rPr>
          <w:rFonts w:hint="cs"/>
          <w:b w:val="0"/>
          <w:bCs w:val="0"/>
          <w:rtl/>
        </w:rPr>
        <w:t>העדים שאמרו</w:t>
      </w:r>
      <w:r w:rsidRPr="003B36CF">
        <w:rPr>
          <w:b w:val="0"/>
          <w:bCs w:val="0"/>
        </w:rPr>
        <w:t xml:space="preserve"> and </w:t>
      </w:r>
      <w:r w:rsidRPr="003B36CF">
        <w:rPr>
          <w:rFonts w:hint="cs"/>
          <w:b w:val="0"/>
          <w:bCs w:val="0"/>
          <w:rtl/>
        </w:rPr>
        <w:t>שדה זו</w:t>
      </w:r>
      <w:r w:rsidRPr="003B36CF">
        <w:rPr>
          <w:b w:val="0"/>
          <w:bCs w:val="0"/>
        </w:rPr>
        <w:t xml:space="preserve"> by saying there is no </w:t>
      </w:r>
      <w:r w:rsidRPr="003B36CF">
        <w:rPr>
          <w:rFonts w:hint="cs"/>
          <w:b w:val="0"/>
          <w:bCs w:val="0"/>
          <w:rtl/>
        </w:rPr>
        <w:t>דררא דממונא</w:t>
      </w:r>
      <w:r w:rsidRPr="003B36CF">
        <w:rPr>
          <w:b w:val="0"/>
          <w:bCs w:val="0"/>
        </w:rPr>
        <w:t xml:space="preserve"> by </w:t>
      </w:r>
      <w:r w:rsidRPr="003B36CF">
        <w:rPr>
          <w:rFonts w:hint="cs"/>
          <w:b w:val="0"/>
          <w:bCs w:val="0"/>
          <w:rtl/>
        </w:rPr>
        <w:t>עדים</w:t>
      </w:r>
      <w:r w:rsidRPr="003B36CF">
        <w:rPr>
          <w:b w:val="0"/>
          <w:bCs w:val="0"/>
        </w:rPr>
        <w:t xml:space="preserve"> but there is </w:t>
      </w:r>
      <w:r>
        <w:rPr>
          <w:b w:val="0"/>
          <w:bCs w:val="0"/>
        </w:rPr>
        <w:t xml:space="preserve">a </w:t>
      </w:r>
      <w:r>
        <w:rPr>
          <w:rFonts w:hint="cs"/>
          <w:b w:val="0"/>
          <w:bCs w:val="0"/>
          <w:rtl/>
        </w:rPr>
        <w:t>דררא דממונא</w:t>
      </w:r>
      <w:r>
        <w:rPr>
          <w:b w:val="0"/>
          <w:bCs w:val="0"/>
        </w:rPr>
        <w:t xml:space="preserve"> </w:t>
      </w:r>
      <w:r w:rsidRPr="003B36CF">
        <w:rPr>
          <w:b w:val="0"/>
          <w:bCs w:val="0"/>
        </w:rPr>
        <w:t xml:space="preserve">by </w:t>
      </w:r>
      <w:r w:rsidRPr="003B36CF">
        <w:rPr>
          <w:rFonts w:hint="cs"/>
          <w:b w:val="0"/>
          <w:bCs w:val="0"/>
          <w:rtl/>
        </w:rPr>
        <w:t>שדה זו</w:t>
      </w:r>
      <w:r w:rsidRPr="003B36CF">
        <w:rPr>
          <w:b w:val="0"/>
          <w:bCs w:val="0"/>
        </w:rPr>
        <w:t xml:space="preserve"> (a distinction </w:t>
      </w:r>
      <w:r>
        <w:rPr>
          <w:b w:val="0"/>
          <w:bCs w:val="0"/>
        </w:rPr>
        <w:t>which</w:t>
      </w:r>
      <w:r w:rsidRPr="003B36CF">
        <w:rPr>
          <w:b w:val="0"/>
          <w:bCs w:val="0"/>
        </w:rPr>
        <w:t xml:space="preserve"> is not </w:t>
      </w:r>
      <w:r>
        <w:rPr>
          <w:b w:val="0"/>
          <w:bCs w:val="0"/>
        </w:rPr>
        <w:t xml:space="preserve">accepted </w:t>
      </w:r>
      <w:r>
        <w:rPr>
          <w:rFonts w:hint="cs"/>
          <w:b w:val="0"/>
          <w:bCs w:val="0"/>
          <w:rtl/>
        </w:rPr>
        <w:t>למסקנא</w:t>
      </w:r>
      <w:r w:rsidRPr="003B36CF">
        <w:rPr>
          <w:b w:val="0"/>
          <w:bCs w:val="0"/>
        </w:rPr>
        <w:t xml:space="preserve">), but rather that there is a </w:t>
      </w:r>
      <w:r w:rsidRPr="003B36CF">
        <w:rPr>
          <w:rFonts w:hint="cs"/>
          <w:b w:val="0"/>
          <w:bCs w:val="0"/>
          <w:rtl/>
        </w:rPr>
        <w:t>תנא</w:t>
      </w:r>
      <w:r w:rsidRPr="003B36CF">
        <w:rPr>
          <w:b w:val="0"/>
          <w:bCs w:val="0"/>
        </w:rPr>
        <w:t xml:space="preserve"> who actually maintains that we say </w:t>
      </w:r>
      <w:r w:rsidRPr="003B36CF">
        <w:rPr>
          <w:rFonts w:hint="cs"/>
          <w:b w:val="0"/>
          <w:bCs w:val="0"/>
          <w:rtl/>
        </w:rPr>
        <w:t>הפה שאסר</w:t>
      </w:r>
      <w:r w:rsidRPr="003B36CF">
        <w:rPr>
          <w:b w:val="0"/>
          <w:bCs w:val="0"/>
        </w:rPr>
        <w:t xml:space="preserve"> only by </w:t>
      </w:r>
      <w:r w:rsidRPr="003B36CF">
        <w:rPr>
          <w:rFonts w:hint="cs"/>
          <w:b w:val="0"/>
          <w:bCs w:val="0"/>
          <w:rtl/>
        </w:rPr>
        <w:t>שדה זו</w:t>
      </w:r>
      <w:r w:rsidRPr="003B36CF">
        <w:rPr>
          <w:b w:val="0"/>
          <w:bCs w:val="0"/>
        </w:rPr>
        <w:t xml:space="preserve"> and not by </w:t>
      </w:r>
      <w:r w:rsidRPr="003B36CF">
        <w:rPr>
          <w:rFonts w:hint="cs"/>
          <w:b w:val="0"/>
          <w:bCs w:val="0"/>
          <w:rtl/>
        </w:rPr>
        <w:t>העדים שאמרו</w:t>
      </w:r>
      <w:r w:rsidRPr="003B36CF">
        <w:rPr>
          <w:b w:val="0"/>
          <w:bCs w:val="0"/>
        </w:rPr>
        <w:t xml:space="preserve">; therefore it is obvious that the </w:t>
      </w:r>
      <w:r w:rsidRPr="003B36CF">
        <w:rPr>
          <w:rFonts w:hint="cs"/>
          <w:b w:val="0"/>
          <w:bCs w:val="0"/>
          <w:rtl/>
        </w:rPr>
        <w:t>משנה</w:t>
      </w:r>
      <w:r w:rsidRPr="003B36CF">
        <w:rPr>
          <w:b w:val="0"/>
          <w:bCs w:val="0"/>
        </w:rPr>
        <w:t xml:space="preserve"> needs to inform us that notwithstanding this </w:t>
      </w:r>
      <w:r w:rsidRPr="003B36CF">
        <w:rPr>
          <w:rFonts w:hint="cs"/>
          <w:b w:val="0"/>
          <w:bCs w:val="0"/>
          <w:rtl/>
        </w:rPr>
        <w:t>תנא (ר"מ)</w:t>
      </w:r>
      <w:r w:rsidRPr="003B36CF">
        <w:rPr>
          <w:b w:val="0"/>
          <w:bCs w:val="0"/>
        </w:rPr>
        <w:t xml:space="preserve">, the </w:t>
      </w:r>
      <w:r w:rsidRPr="003B36CF">
        <w:rPr>
          <w:rFonts w:hint="cs"/>
          <w:b w:val="0"/>
          <w:bCs w:val="0"/>
          <w:rtl/>
        </w:rPr>
        <w:t>חכמים</w:t>
      </w:r>
      <w:r w:rsidRPr="003B36CF">
        <w:rPr>
          <w:b w:val="0"/>
          <w:bCs w:val="0"/>
        </w:rPr>
        <w:t xml:space="preserve"> maintain that by </w:t>
      </w:r>
      <w:r w:rsidRPr="003B36CF">
        <w:rPr>
          <w:b w:val="0"/>
          <w:bCs w:val="0"/>
          <w:rtl/>
        </w:rPr>
        <w:t>עדים</w:t>
      </w:r>
      <w:r w:rsidRPr="003B36CF">
        <w:rPr>
          <w:b w:val="0"/>
          <w:bCs w:val="0"/>
        </w:rPr>
        <w:t xml:space="preserve"> we do say </w:t>
      </w:r>
      <w:r w:rsidRPr="003B36CF">
        <w:rPr>
          <w:rFonts w:hint="cs"/>
          <w:b w:val="0"/>
          <w:bCs w:val="0"/>
          <w:rtl/>
        </w:rPr>
        <w:t>הפה שאסר</w:t>
      </w:r>
      <w:r w:rsidRPr="003B36CF">
        <w:rPr>
          <w:b w:val="0"/>
          <w:bCs w:val="0"/>
        </w:rPr>
        <w:t xml:space="preserve"> even to invalidate a </w:t>
      </w:r>
      <w:r w:rsidRPr="003B36CF">
        <w:rPr>
          <w:rFonts w:hint="cs"/>
          <w:b w:val="0"/>
          <w:bCs w:val="0"/>
          <w:rtl/>
        </w:rPr>
        <w:t>שטר</w:t>
      </w:r>
      <w:r w:rsidRPr="003B36CF">
        <w:rPr>
          <w:b w:val="0"/>
          <w:bCs w:val="0"/>
        </w:rPr>
        <w:t>. See ‘Thinking it over’</w:t>
      </w:r>
      <w:r>
        <w:rPr>
          <w:b w:val="0"/>
          <w:bCs w:val="0"/>
        </w:rPr>
        <w:t>.</w:t>
      </w:r>
    </w:p>
  </w:footnote>
  <w:footnote w:id="6">
    <w:p w:rsidR="00326EC2" w:rsidRPr="003B36CF" w:rsidRDefault="00326EC2" w:rsidP="00D0121E">
      <w:pPr>
        <w:pStyle w:val="FootnoteText"/>
        <w:spacing w:line="264" w:lineRule="auto"/>
        <w:rPr>
          <w:b w:val="0"/>
          <w:bCs w:val="0"/>
        </w:rPr>
      </w:pPr>
      <w:r w:rsidRPr="003B36CF">
        <w:rPr>
          <w:rStyle w:val="FootnoteReference"/>
          <w:b w:val="0"/>
          <w:bCs w:val="0"/>
        </w:rPr>
        <w:footnoteRef/>
      </w:r>
      <w:r w:rsidRPr="003B36CF">
        <w:rPr>
          <w:b w:val="0"/>
          <w:bCs w:val="0"/>
        </w:rPr>
        <w:t xml:space="preserve"> See footnote #</w:t>
      </w:r>
      <w:r w:rsidR="00D0121E">
        <w:rPr>
          <w:b w:val="0"/>
          <w:bCs w:val="0"/>
        </w:rPr>
        <w:t>5</w:t>
      </w:r>
      <w:r w:rsidRPr="003B36CF">
        <w:rPr>
          <w:b w:val="0"/>
          <w:bCs w:val="0"/>
        </w:rPr>
        <w:t>.</w:t>
      </w:r>
    </w:p>
  </w:footnote>
  <w:footnote w:id="7">
    <w:p w:rsidR="00326EC2" w:rsidRPr="003B36CF" w:rsidRDefault="00326EC2" w:rsidP="00D0121E">
      <w:pPr>
        <w:pStyle w:val="FootnoteText"/>
        <w:spacing w:line="264" w:lineRule="auto"/>
        <w:rPr>
          <w:b w:val="0"/>
          <w:bCs w:val="0"/>
        </w:rPr>
      </w:pPr>
      <w:r w:rsidRPr="003B36CF">
        <w:rPr>
          <w:rStyle w:val="FootnoteReference"/>
          <w:b w:val="0"/>
          <w:bCs w:val="0"/>
        </w:rPr>
        <w:footnoteRef/>
      </w:r>
      <w:r w:rsidRPr="003B36CF">
        <w:rPr>
          <w:b w:val="0"/>
          <w:bCs w:val="0"/>
        </w:rPr>
        <w:t xml:space="preserve"> See footnote #</w:t>
      </w:r>
      <w:r w:rsidR="00D0121E">
        <w:rPr>
          <w:b w:val="0"/>
          <w:bCs w:val="0"/>
        </w:rPr>
        <w:t>3</w:t>
      </w:r>
      <w:r w:rsidRPr="003B36CF">
        <w:rPr>
          <w:b w:val="0"/>
          <w:bCs w:val="0"/>
        </w:rPr>
        <w:t>.</w:t>
      </w:r>
    </w:p>
  </w:footnote>
  <w:footnote w:id="8">
    <w:p w:rsidR="003B36CF" w:rsidRPr="003B36CF" w:rsidRDefault="003B36CF" w:rsidP="003B36CF">
      <w:pPr>
        <w:pStyle w:val="FootnoteText"/>
        <w:spacing w:line="264" w:lineRule="auto"/>
        <w:rPr>
          <w:b w:val="0"/>
          <w:bCs w:val="0"/>
        </w:rPr>
      </w:pPr>
      <w:r w:rsidRPr="003B36CF">
        <w:rPr>
          <w:rStyle w:val="FootnoteReference"/>
          <w:b w:val="0"/>
          <w:bCs w:val="0"/>
        </w:rPr>
        <w:footnoteRef/>
      </w:r>
      <w:r w:rsidRPr="003B36CF">
        <w:rPr>
          <w:b w:val="0"/>
          <w:bCs w:val="0"/>
        </w:rPr>
        <w:t xml:space="preserve"> See </w:t>
      </w:r>
      <w:r w:rsidRPr="003B36CF">
        <w:rPr>
          <w:rFonts w:hint="cs"/>
          <w:b w:val="0"/>
          <w:bCs w:val="0"/>
          <w:rtl/>
        </w:rPr>
        <w:t>(עד"ז) בית יעקב</w:t>
      </w:r>
      <w:r w:rsidRPr="003B36CF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4C4" w:rsidRPr="009E14C4" w:rsidRDefault="009E14C4" w:rsidP="009E14C4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כג,ב תוס' ד"ה אבל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2E6E"/>
    <w:rsid w:val="00007A6A"/>
    <w:rsid w:val="00326EC2"/>
    <w:rsid w:val="003B36CF"/>
    <w:rsid w:val="003D4453"/>
    <w:rsid w:val="004331D1"/>
    <w:rsid w:val="004E5715"/>
    <w:rsid w:val="00516DD1"/>
    <w:rsid w:val="00530EA6"/>
    <w:rsid w:val="005B4430"/>
    <w:rsid w:val="006909A6"/>
    <w:rsid w:val="006A4EC4"/>
    <w:rsid w:val="00745A59"/>
    <w:rsid w:val="008E5BB4"/>
    <w:rsid w:val="00910655"/>
    <w:rsid w:val="009266BA"/>
    <w:rsid w:val="009D7E7B"/>
    <w:rsid w:val="009E14C4"/>
    <w:rsid w:val="00A6015A"/>
    <w:rsid w:val="00A62E6E"/>
    <w:rsid w:val="00B37681"/>
    <w:rsid w:val="00D0121E"/>
    <w:rsid w:val="00D6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9C99A9-4EE0-4896-AE06-D9C6477B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4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4C4"/>
  </w:style>
  <w:style w:type="paragraph" w:styleId="Footer">
    <w:name w:val="footer"/>
    <w:basedOn w:val="Normal"/>
    <w:link w:val="FooterChar"/>
    <w:uiPriority w:val="99"/>
    <w:unhideWhenUsed/>
    <w:rsid w:val="009E14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4C4"/>
  </w:style>
  <w:style w:type="paragraph" w:styleId="FootnoteText">
    <w:name w:val="footnote text"/>
    <w:basedOn w:val="Normal"/>
    <w:link w:val="FootnoteTextChar"/>
    <w:uiPriority w:val="99"/>
    <w:semiHidden/>
    <w:unhideWhenUsed/>
    <w:rsid w:val="004331D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31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31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6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132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710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27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82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879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 Piekarski</cp:lastModifiedBy>
  <cp:revision>8</cp:revision>
  <dcterms:created xsi:type="dcterms:W3CDTF">2015-06-04T17:36:00Z</dcterms:created>
  <dcterms:modified xsi:type="dcterms:W3CDTF">2019-11-14T00:48:00Z</dcterms:modified>
</cp:coreProperties>
</file>