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BC1" w:rsidRDefault="00FB231B" w:rsidP="00671BC1">
      <w:pPr>
        <w:bidi/>
        <w:rPr>
          <w:rFonts w:hint="cs"/>
          <w:b w:val="0"/>
          <w:bCs w:val="0"/>
          <w:sz w:val="24"/>
          <w:szCs w:val="24"/>
          <w:rtl/>
        </w:rPr>
      </w:pPr>
      <w:r w:rsidRPr="00671BC1">
        <w:rPr>
          <w:sz w:val="36"/>
          <w:szCs w:val="36"/>
          <w:rtl/>
        </w:rPr>
        <w:t>בשכלי</w:t>
      </w:r>
      <w:r w:rsidR="00671BC1">
        <w:rPr>
          <w:rFonts w:hint="cs"/>
          <w:rtl/>
        </w:rPr>
        <w:t xml:space="preserve"> </w:t>
      </w:r>
      <w:r w:rsidRPr="00671BC1">
        <w:rPr>
          <w:sz w:val="32"/>
          <w:szCs w:val="32"/>
          <w:rtl/>
        </w:rPr>
        <w:t>אומנותו בידו</w:t>
      </w:r>
      <w:r w:rsidR="00671BC1">
        <w:rPr>
          <w:rFonts w:hint="cs"/>
          <w:sz w:val="32"/>
          <w:szCs w:val="32"/>
          <w:rtl/>
        </w:rPr>
        <w:t xml:space="preserve"> </w:t>
      </w:r>
      <w:r w:rsidR="00671BC1">
        <w:rPr>
          <w:sz w:val="32"/>
          <w:szCs w:val="32"/>
          <w:rtl/>
        </w:rPr>
        <w:t>–</w:t>
      </w:r>
      <w:r w:rsidR="00671BC1">
        <w:rPr>
          <w:rFonts w:hint="cs"/>
          <w:sz w:val="32"/>
          <w:szCs w:val="32"/>
          <w:rtl/>
        </w:rPr>
        <w:t xml:space="preserve"> </w:t>
      </w:r>
      <w:r w:rsidR="00671BC1">
        <w:rPr>
          <w:sz w:val="32"/>
          <w:szCs w:val="32"/>
        </w:rPr>
        <w:t xml:space="preserve">When the tools of his trade are in his hand          </w:t>
      </w:r>
      <w:r w:rsidR="00671BC1">
        <w:rPr>
          <w:sz w:val="16"/>
          <w:szCs w:val="16"/>
        </w:rPr>
        <w:t xml:space="preserve">  </w:t>
      </w:r>
    </w:p>
    <w:p w:rsidR="00671BC1" w:rsidRPr="00671BC1" w:rsidRDefault="00671BC1" w:rsidP="00671BC1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671BC1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671BC1" w:rsidRPr="00671BC1" w:rsidRDefault="00671BC1" w:rsidP="003B2BC3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reconciled the view of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אני כהן</w:t>
      </w:r>
      <w:r>
        <w:rPr>
          <w:b w:val="0"/>
          <w:bCs w:val="0"/>
        </w:rPr>
        <w:t xml:space="preserve"> (where they maintain </w:t>
      </w:r>
      <w:r>
        <w:rPr>
          <w:rFonts w:hint="cs"/>
          <w:b w:val="0"/>
          <w:bCs w:val="0"/>
          <w:rtl/>
        </w:rPr>
        <w:t>לא חיישינן לגומלים</w:t>
      </w:r>
      <w:r>
        <w:rPr>
          <w:b w:val="0"/>
          <w:bCs w:val="0"/>
        </w:rPr>
        <w:t xml:space="preserve">) and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in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החמרין</w:t>
      </w:r>
      <w:r>
        <w:rPr>
          <w:b w:val="0"/>
          <w:bCs w:val="0"/>
        </w:rPr>
        <w:t xml:space="preserve"> (where they maintain </w:t>
      </w:r>
      <w:r>
        <w:rPr>
          <w:rFonts w:hint="cs"/>
          <w:b w:val="0"/>
          <w:bCs w:val="0"/>
          <w:rtl/>
        </w:rPr>
        <w:t>חיישינן לגומלים</w:t>
      </w:r>
      <w:r>
        <w:rPr>
          <w:b w:val="0"/>
          <w:bCs w:val="0"/>
        </w:rPr>
        <w:t xml:space="preserve">); that one </w:t>
      </w:r>
      <w:r w:rsidR="003B2BC3">
        <w:rPr>
          <w:b w:val="0"/>
          <w:bCs w:val="0"/>
        </w:rPr>
        <w:t>o</w:t>
      </w:r>
      <w:r>
        <w:rPr>
          <w:b w:val="0"/>
          <w:bCs w:val="0"/>
        </w:rPr>
        <w:t xml:space="preserve">f these is </w:t>
      </w:r>
      <w:r w:rsidR="003B2BC3">
        <w:rPr>
          <w:b w:val="0"/>
          <w:bCs w:val="0"/>
        </w:rPr>
        <w:t>in</w:t>
      </w:r>
      <w:r>
        <w:rPr>
          <w:b w:val="0"/>
          <w:bCs w:val="0"/>
        </w:rPr>
        <w:t xml:space="preserve"> a case where </w:t>
      </w:r>
      <w:r>
        <w:rPr>
          <w:rFonts w:hint="cs"/>
          <w:b w:val="0"/>
          <w:bCs w:val="0"/>
          <w:rtl/>
        </w:rPr>
        <w:t>כלי אומנתו בידו</w:t>
      </w:r>
      <w:r>
        <w:rPr>
          <w:b w:val="0"/>
          <w:bCs w:val="0"/>
        </w:rPr>
        <w:t xml:space="preserve">. 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answer was that the case of the </w:t>
      </w:r>
      <w:r>
        <w:rPr>
          <w:rFonts w:hint="cs"/>
          <w:b w:val="0"/>
          <w:bCs w:val="0"/>
          <w:rtl/>
        </w:rPr>
        <w:t>חמרין</w:t>
      </w:r>
      <w:r>
        <w:rPr>
          <w:b w:val="0"/>
          <w:bCs w:val="0"/>
        </w:rPr>
        <w:t xml:space="preserve"> is where the one who deprecated his wares was nevertheless holding on to his tools of the trade; indicating that in the next city the two </w:t>
      </w:r>
      <w:r>
        <w:rPr>
          <w:rFonts w:hint="cs"/>
          <w:b w:val="0"/>
          <w:bCs w:val="0"/>
          <w:rtl/>
        </w:rPr>
        <w:t>חמרים</w:t>
      </w:r>
      <w:r>
        <w:rPr>
          <w:b w:val="0"/>
          <w:bCs w:val="0"/>
        </w:rPr>
        <w:t xml:space="preserve"> will reverse their claims.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offers an alternate explanation. </w:t>
      </w:r>
    </w:p>
    <w:p w:rsidR="00671BC1" w:rsidRDefault="003B2BC3" w:rsidP="003B2BC3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671BC1" w:rsidRPr="003B2BC3" w:rsidRDefault="00FB231B" w:rsidP="00671BC1">
      <w:pPr>
        <w:bidi/>
        <w:rPr>
          <w:rFonts w:cs="David" w:hint="cs"/>
          <w:rtl/>
        </w:rPr>
      </w:pPr>
      <w:r w:rsidRPr="003B2BC3">
        <w:rPr>
          <w:rFonts w:cs="David"/>
          <w:rtl/>
        </w:rPr>
        <w:t>פירש רבינו חננאל זה שאומר עליו שהוא כהן יש בידו כלים שמשמשין בהן בטהרה</w:t>
      </w:r>
      <w:r w:rsidR="00671BC1" w:rsidRPr="003B2BC3">
        <w:rPr>
          <w:rStyle w:val="FootnoteReference"/>
          <w:rFonts w:cs="David"/>
          <w:rtl/>
        </w:rPr>
        <w:footnoteReference w:id="1"/>
      </w:r>
      <w:r w:rsidRPr="003B2BC3">
        <w:rPr>
          <w:rFonts w:cs="David"/>
          <w:rtl/>
        </w:rPr>
        <w:t xml:space="preserve"> </w:t>
      </w:r>
      <w:r w:rsidR="00671BC1" w:rsidRPr="003B2BC3">
        <w:rPr>
          <w:rFonts w:cs="David"/>
          <w:rtl/>
        </w:rPr>
        <w:t>–</w:t>
      </w:r>
    </w:p>
    <w:p w:rsidR="00671BC1" w:rsidRPr="00671BC1" w:rsidRDefault="00671BC1" w:rsidP="00671BC1">
      <w:r>
        <w:t xml:space="preserve">The </w:t>
      </w:r>
      <w:r>
        <w:rPr>
          <w:rFonts w:hint="cs"/>
          <w:rtl/>
        </w:rPr>
        <w:t>ר"ח</w:t>
      </w:r>
      <w:r>
        <w:t xml:space="preserve"> explains that </w:t>
      </w:r>
      <w:r>
        <w:rPr>
          <w:rFonts w:hint="cs"/>
          <w:b w:val="0"/>
          <w:bCs w:val="0"/>
          <w:rtl/>
        </w:rPr>
        <w:t>ה"נ בשכלי אמונתו בידו</w:t>
      </w:r>
      <w:r>
        <w:rPr>
          <w:b w:val="0"/>
          <w:bCs w:val="0"/>
        </w:rPr>
        <w:t xml:space="preserve"> means that </w:t>
      </w:r>
      <w:r>
        <w:t xml:space="preserve">this person, on whom he is testifying that he is a </w:t>
      </w:r>
      <w:r>
        <w:rPr>
          <w:rFonts w:hint="cs"/>
          <w:rtl/>
        </w:rPr>
        <w:t>כהן</w:t>
      </w:r>
      <w:r>
        <w:t xml:space="preserve">, has in his possession </w:t>
      </w:r>
      <w:r>
        <w:rPr>
          <w:b w:val="0"/>
          <w:bCs w:val="0"/>
        </w:rPr>
        <w:t xml:space="preserve">the types </w:t>
      </w:r>
      <w:r>
        <w:t xml:space="preserve">of utensils that are used when </w:t>
      </w:r>
      <w:r>
        <w:rPr>
          <w:b w:val="0"/>
          <w:bCs w:val="0"/>
        </w:rPr>
        <w:t xml:space="preserve">one desires to conduct himself </w:t>
      </w:r>
      <w:r>
        <w:rPr>
          <w:rFonts w:hint="cs"/>
          <w:rtl/>
        </w:rPr>
        <w:t>בטהרה</w:t>
      </w:r>
      <w:r>
        <w:t xml:space="preserve"> -</w:t>
      </w:r>
    </w:p>
    <w:p w:rsidR="00671BC1" w:rsidRPr="003B2BC3" w:rsidRDefault="00FB231B" w:rsidP="00671BC1">
      <w:pPr>
        <w:bidi/>
        <w:rPr>
          <w:rFonts w:cs="David"/>
        </w:rPr>
      </w:pPr>
      <w:r w:rsidRPr="003B2BC3">
        <w:rPr>
          <w:rFonts w:cs="David"/>
          <w:rtl/>
        </w:rPr>
        <w:t xml:space="preserve">כגון כלי גללים כלי אבנים כלי אדמה שאין מקבלין טומאה </w:t>
      </w:r>
      <w:r w:rsidR="00671BC1" w:rsidRPr="003B2BC3">
        <w:rPr>
          <w:rFonts w:cs="David"/>
          <w:rtl/>
        </w:rPr>
        <w:t>–</w:t>
      </w:r>
    </w:p>
    <w:p w:rsidR="00671BC1" w:rsidRPr="003B2BC3" w:rsidRDefault="00671BC1" w:rsidP="003B2BC3">
      <w:pPr>
        <w:rPr>
          <w:rFonts w:cs="David"/>
          <w:spacing w:val="-4"/>
        </w:rPr>
      </w:pPr>
      <w:r>
        <w:t xml:space="preserve">For instance </w:t>
      </w:r>
      <w:r>
        <w:rPr>
          <w:rFonts w:hint="cs"/>
          <w:rtl/>
        </w:rPr>
        <w:t>כלים</w:t>
      </w:r>
      <w:r>
        <w:t xml:space="preserve"> from dung, stone </w:t>
      </w:r>
      <w:r>
        <w:rPr>
          <w:rFonts w:hint="cs"/>
          <w:rtl/>
        </w:rPr>
        <w:t>כלים</w:t>
      </w:r>
      <w:r>
        <w:t xml:space="preserve">, </w:t>
      </w:r>
      <w:r w:rsidRPr="00671BC1">
        <w:rPr>
          <w:b w:val="0"/>
          <w:bCs w:val="0"/>
        </w:rPr>
        <w:t>or</w:t>
      </w:r>
      <w:r>
        <w:t xml:space="preserve"> earthen</w:t>
      </w:r>
      <w:r w:rsidR="003B2BC3">
        <w:t xml:space="preserve"> </w:t>
      </w:r>
      <w:r w:rsidR="003B2BC3">
        <w:rPr>
          <w:rFonts w:hint="cs"/>
          <w:rtl/>
        </w:rPr>
        <w:t>כלים</w:t>
      </w:r>
      <w:r w:rsidR="003B2BC3">
        <w:t>,</w:t>
      </w:r>
      <w:r>
        <w:t xml:space="preserve"> which are not </w:t>
      </w:r>
      <w:r>
        <w:rPr>
          <w:rFonts w:hint="cs"/>
          <w:rtl/>
        </w:rPr>
        <w:t>מקבל טומאה</w:t>
      </w:r>
      <w:r>
        <w:t xml:space="preserve"> </w:t>
      </w:r>
      <w:proofErr w:type="gramStart"/>
      <w:r>
        <w:t>-</w:t>
      </w:r>
      <w:proofErr w:type="gramEnd"/>
    </w:p>
    <w:p w:rsidR="00671BC1" w:rsidRPr="003B2BC3" w:rsidRDefault="00FB231B" w:rsidP="00671BC1">
      <w:pPr>
        <w:bidi/>
        <w:rPr>
          <w:rFonts w:cs="David" w:hint="cs"/>
          <w:spacing w:val="-4"/>
          <w:rtl/>
        </w:rPr>
      </w:pPr>
      <w:r w:rsidRPr="003B2BC3">
        <w:rPr>
          <w:rFonts w:cs="David"/>
          <w:spacing w:val="-4"/>
          <w:rtl/>
        </w:rPr>
        <w:t>שכל הרואה כלים הללו בידו מתרחק ממנו מלטמאותו ודומה שהוא כהן ולכך האמינוהו חכמים</w:t>
      </w:r>
      <w:r w:rsidR="00671BC1" w:rsidRPr="003B2BC3">
        <w:rPr>
          <w:rFonts w:cs="David" w:hint="cs"/>
          <w:spacing w:val="-4"/>
          <w:rtl/>
        </w:rPr>
        <w:t>:</w:t>
      </w:r>
    </w:p>
    <w:p w:rsidR="00671BC1" w:rsidRPr="003B2BC3" w:rsidRDefault="00671BC1" w:rsidP="00671BC1">
      <w:pPr>
        <w:rPr>
          <w:sz w:val="24"/>
          <w:szCs w:val="24"/>
        </w:rPr>
      </w:pPr>
      <w:r>
        <w:t xml:space="preserve">So that whoever sees these </w:t>
      </w:r>
      <w:r>
        <w:rPr>
          <w:rFonts w:hint="cs"/>
          <w:rtl/>
        </w:rPr>
        <w:t>כלים</w:t>
      </w:r>
      <w:r>
        <w:t xml:space="preserve"> in his possession distances himself from him in order </w:t>
      </w:r>
      <w:r>
        <w:rPr>
          <w:b w:val="0"/>
          <w:bCs w:val="0"/>
        </w:rPr>
        <w:t xml:space="preserve">not to be </w:t>
      </w:r>
      <w:r>
        <w:rPr>
          <w:rFonts w:hint="cs"/>
          <w:rtl/>
        </w:rPr>
        <w:t>מטמא</w:t>
      </w:r>
      <w:r>
        <w:t xml:space="preserve"> him,</w:t>
      </w:r>
      <w:r>
        <w:rPr>
          <w:rStyle w:val="FootnoteReference"/>
        </w:rPr>
        <w:footnoteReference w:id="2"/>
      </w:r>
      <w:r>
        <w:t xml:space="preserve"> and it is likely that he is a </w:t>
      </w:r>
      <w:r>
        <w:rPr>
          <w:rFonts w:hint="cs"/>
          <w:rtl/>
        </w:rPr>
        <w:t>כהן</w:t>
      </w:r>
      <w:r>
        <w:t xml:space="preserve">, therefore the </w:t>
      </w:r>
      <w:r>
        <w:rPr>
          <w:rFonts w:hint="cs"/>
          <w:rtl/>
        </w:rPr>
        <w:t>חכמים</w:t>
      </w:r>
      <w:r>
        <w:t xml:space="preserve"> believed him </w:t>
      </w:r>
      <w:r w:rsidRPr="003B2BC3">
        <w:rPr>
          <w:b w:val="0"/>
          <w:bCs w:val="0"/>
          <w:sz w:val="24"/>
          <w:szCs w:val="24"/>
        </w:rPr>
        <w:t xml:space="preserve">(to say </w:t>
      </w:r>
      <w:r w:rsidRPr="003B2BC3">
        <w:rPr>
          <w:rFonts w:hint="cs"/>
          <w:b w:val="0"/>
          <w:bCs w:val="0"/>
          <w:sz w:val="24"/>
          <w:szCs w:val="24"/>
          <w:rtl/>
        </w:rPr>
        <w:t>וחברי כהן</w:t>
      </w:r>
      <w:r w:rsidRPr="003B2BC3">
        <w:rPr>
          <w:b w:val="0"/>
          <w:bCs w:val="0"/>
          <w:sz w:val="24"/>
          <w:szCs w:val="24"/>
        </w:rPr>
        <w:t>)</w:t>
      </w:r>
      <w:r w:rsidRPr="003B2BC3">
        <w:rPr>
          <w:sz w:val="24"/>
          <w:szCs w:val="24"/>
        </w:rPr>
        <w:t>.</w:t>
      </w:r>
    </w:p>
    <w:p w:rsidR="00671BC1" w:rsidRPr="003B2BC3" w:rsidRDefault="00671BC1" w:rsidP="00671BC1">
      <w:pPr>
        <w:bidi/>
        <w:rPr>
          <w:sz w:val="24"/>
          <w:szCs w:val="24"/>
        </w:rPr>
      </w:pPr>
    </w:p>
    <w:p w:rsidR="00671BC1" w:rsidRPr="00671BC1" w:rsidRDefault="00671BC1" w:rsidP="00671BC1">
      <w:pPr>
        <w:rPr>
          <w:rFonts w:ascii="Copperplate Gothic Bold" w:hAnsi="Copperplate Gothic Bold"/>
          <w:b w:val="0"/>
          <w:bCs w:val="0"/>
          <w:u w:val="double"/>
        </w:rPr>
      </w:pPr>
      <w:r w:rsidRPr="00671BC1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671BC1" w:rsidRDefault="003B2BC3" w:rsidP="005B3456">
      <w:pPr>
        <w:rPr>
          <w:b w:val="0"/>
          <w:bCs w:val="0"/>
        </w:rPr>
      </w:pP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אנ</w:t>
      </w:r>
      <w:r w:rsidR="005B3456">
        <w:rPr>
          <w:rFonts w:hint="cs"/>
          <w:b w:val="0"/>
          <w:bCs w:val="0"/>
          <w:rtl/>
        </w:rPr>
        <w:t>י</w:t>
      </w:r>
      <w:r>
        <w:rPr>
          <w:rFonts w:hint="cs"/>
          <w:b w:val="0"/>
          <w:bCs w:val="0"/>
          <w:rtl/>
        </w:rPr>
        <w:t xml:space="preserve"> כהן</w:t>
      </w:r>
      <w:r w:rsidR="005B3456">
        <w:rPr>
          <w:rFonts w:hint="cs"/>
          <w:b w:val="0"/>
          <w:bCs w:val="0"/>
          <w:rtl/>
        </w:rPr>
        <w:t xml:space="preserve"> וכו' נאמן</w:t>
      </w:r>
      <w:r>
        <w:rPr>
          <w:b w:val="0"/>
          <w:bCs w:val="0"/>
        </w:rPr>
        <w:t xml:space="preserve"> is when </w:t>
      </w:r>
      <w:r>
        <w:rPr>
          <w:rFonts w:hint="cs"/>
          <w:b w:val="0"/>
          <w:bCs w:val="0"/>
          <w:rtl/>
        </w:rPr>
        <w:t>שכלי אומנתו בידו</w:t>
      </w:r>
      <w:r>
        <w:rPr>
          <w:b w:val="0"/>
          <w:bCs w:val="0"/>
        </w:rPr>
        <w:t>.</w:t>
      </w:r>
    </w:p>
    <w:p w:rsidR="00671BC1" w:rsidRPr="003B2BC3" w:rsidRDefault="00671BC1">
      <w:pPr>
        <w:rPr>
          <w:b w:val="0"/>
          <w:bCs w:val="0"/>
          <w:sz w:val="24"/>
          <w:szCs w:val="24"/>
        </w:rPr>
      </w:pPr>
    </w:p>
    <w:p w:rsidR="00671BC1" w:rsidRPr="00671BC1" w:rsidRDefault="00671BC1">
      <w:pPr>
        <w:rPr>
          <w:rFonts w:ascii="Copperplate Gothic Bold" w:hAnsi="Copperplate Gothic Bold"/>
          <w:b w:val="0"/>
          <w:bCs w:val="0"/>
          <w:u w:val="double"/>
        </w:rPr>
      </w:pPr>
      <w:r w:rsidRPr="00671BC1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671BC1" w:rsidRPr="00671BC1" w:rsidRDefault="003B2BC3">
      <w:pPr>
        <w:rPr>
          <w:b w:val="0"/>
          <w:bCs w:val="0"/>
        </w:rPr>
      </w:pPr>
      <w:r>
        <w:rPr>
          <w:b w:val="0"/>
          <w:bCs w:val="0"/>
        </w:rPr>
        <w:t xml:space="preserve">Are the </w:t>
      </w:r>
      <w:r>
        <w:rPr>
          <w:rFonts w:hint="cs"/>
          <w:b w:val="0"/>
          <w:bCs w:val="0"/>
          <w:rtl/>
        </w:rPr>
        <w:t>רבנן</w:t>
      </w:r>
      <w:r>
        <w:rPr>
          <w:b w:val="0"/>
          <w:bCs w:val="0"/>
        </w:rPr>
        <w:t xml:space="preserve"> concerned for </w:t>
      </w:r>
      <w:r>
        <w:rPr>
          <w:rFonts w:hint="cs"/>
          <w:b w:val="0"/>
          <w:bCs w:val="0"/>
          <w:rtl/>
        </w:rPr>
        <w:t>גומלים</w:t>
      </w:r>
      <w:r>
        <w:rPr>
          <w:b w:val="0"/>
          <w:bCs w:val="0"/>
        </w:rPr>
        <w:t xml:space="preserve"> or not?</w:t>
      </w:r>
      <w:r>
        <w:rPr>
          <w:rStyle w:val="FootnoteReference"/>
          <w:b w:val="0"/>
          <w:bCs w:val="0"/>
        </w:rPr>
        <w:footnoteReference w:id="3"/>
      </w:r>
    </w:p>
    <w:sectPr w:rsidR="00671BC1" w:rsidRPr="00671B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994" w:rsidRDefault="00043994" w:rsidP="00671BC1">
      <w:pPr>
        <w:spacing w:line="240" w:lineRule="auto"/>
      </w:pPr>
      <w:r>
        <w:separator/>
      </w:r>
    </w:p>
  </w:endnote>
  <w:endnote w:type="continuationSeparator" w:id="0">
    <w:p w:rsidR="00043994" w:rsidRDefault="00043994" w:rsidP="00671B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837" w:rsidRDefault="009E48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2BC3" w:rsidRPr="003B2BC3" w:rsidRDefault="003B2BC3" w:rsidP="009E4837">
    <w:pPr>
      <w:pStyle w:val="Footer"/>
      <w:jc w:val="center"/>
      <w:rPr>
        <w:b w:val="0"/>
        <w:bCs w:val="0"/>
        <w:sz w:val="16"/>
        <w:szCs w:val="16"/>
      </w:rPr>
    </w:pPr>
    <w:r w:rsidRPr="003B2BC3">
      <w:rPr>
        <w:b w:val="0"/>
        <w:bCs w:val="0"/>
        <w:sz w:val="16"/>
        <w:szCs w:val="16"/>
      </w:rPr>
      <w:t>Tosfos</w:t>
    </w:r>
    <w:r w:rsidR="009E4837">
      <w:rPr>
        <w:b w:val="0"/>
        <w:bCs w:val="0"/>
        <w:sz w:val="16"/>
        <w:szCs w:val="16"/>
      </w:rPr>
      <w:t>I</w:t>
    </w:r>
    <w:bookmarkStart w:id="0" w:name="_GoBack"/>
    <w:bookmarkEnd w:id="0"/>
    <w:r w:rsidRPr="003B2BC3">
      <w:rPr>
        <w:b w:val="0"/>
        <w:bCs w:val="0"/>
        <w:sz w:val="16"/>
        <w:szCs w:val="16"/>
      </w:rPr>
      <w:t>nEnglish.com</w:t>
    </w:r>
  </w:p>
  <w:p w:rsidR="003B2BC3" w:rsidRDefault="003B2BC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837" w:rsidRDefault="009E48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994" w:rsidRDefault="00043994" w:rsidP="00671BC1">
      <w:pPr>
        <w:spacing w:line="240" w:lineRule="auto"/>
      </w:pPr>
      <w:r>
        <w:separator/>
      </w:r>
    </w:p>
  </w:footnote>
  <w:footnote w:type="continuationSeparator" w:id="0">
    <w:p w:rsidR="00043994" w:rsidRDefault="00043994" w:rsidP="00671BC1">
      <w:pPr>
        <w:spacing w:line="240" w:lineRule="auto"/>
      </w:pPr>
      <w:r>
        <w:continuationSeparator/>
      </w:r>
    </w:p>
  </w:footnote>
  <w:footnote w:id="1">
    <w:p w:rsidR="00671BC1" w:rsidRPr="003B2BC3" w:rsidRDefault="00671BC1" w:rsidP="003B2BC3">
      <w:pPr>
        <w:pStyle w:val="FootnoteText"/>
        <w:widowControl w:val="0"/>
        <w:spacing w:line="264" w:lineRule="auto"/>
        <w:rPr>
          <w:b w:val="0"/>
          <w:bCs w:val="0"/>
        </w:rPr>
      </w:pPr>
      <w:r w:rsidRPr="003B2BC3">
        <w:rPr>
          <w:rStyle w:val="FootnoteReference"/>
          <w:b w:val="0"/>
          <w:bCs w:val="0"/>
        </w:rPr>
        <w:footnoteRef/>
      </w:r>
      <w:r w:rsidRPr="003B2BC3">
        <w:rPr>
          <w:b w:val="0"/>
          <w:bCs w:val="0"/>
        </w:rPr>
        <w:t xml:space="preserve"> According to the </w:t>
      </w:r>
      <w:r w:rsidRPr="003B2BC3">
        <w:rPr>
          <w:rFonts w:hint="cs"/>
          <w:b w:val="0"/>
          <w:bCs w:val="0"/>
          <w:rtl/>
        </w:rPr>
        <w:t>ר"</w:t>
      </w:r>
      <w:r w:rsidR="003B2BC3">
        <w:rPr>
          <w:rFonts w:hint="cs"/>
          <w:b w:val="0"/>
          <w:bCs w:val="0"/>
          <w:rtl/>
        </w:rPr>
        <w:t>ח</w:t>
      </w:r>
      <w:r w:rsidRPr="003B2BC3">
        <w:rPr>
          <w:b w:val="0"/>
          <w:bCs w:val="0"/>
        </w:rPr>
        <w:t xml:space="preserve"> the answer of </w:t>
      </w:r>
      <w:r w:rsidRPr="003B2BC3">
        <w:rPr>
          <w:rFonts w:hint="cs"/>
          <w:b w:val="0"/>
          <w:bCs w:val="0"/>
          <w:rtl/>
        </w:rPr>
        <w:t>שכלי אומנתו בידו</w:t>
      </w:r>
      <w:r w:rsidRPr="003B2BC3">
        <w:rPr>
          <w:b w:val="0"/>
          <w:bCs w:val="0"/>
        </w:rPr>
        <w:t xml:space="preserve"> is referring to the </w:t>
      </w:r>
      <w:r w:rsidRPr="003B2BC3">
        <w:rPr>
          <w:rFonts w:hint="cs"/>
          <w:b w:val="0"/>
          <w:bCs w:val="0"/>
          <w:rtl/>
        </w:rPr>
        <w:t>ברייתא</w:t>
      </w:r>
      <w:r w:rsidRPr="003B2BC3">
        <w:rPr>
          <w:b w:val="0"/>
          <w:bCs w:val="0"/>
        </w:rPr>
        <w:t xml:space="preserve"> of </w:t>
      </w:r>
      <w:r w:rsidRPr="003B2BC3">
        <w:rPr>
          <w:rFonts w:hint="cs"/>
          <w:b w:val="0"/>
          <w:bCs w:val="0"/>
          <w:rtl/>
        </w:rPr>
        <w:t>אני כהן</w:t>
      </w:r>
      <w:r w:rsidRPr="003B2BC3">
        <w:rPr>
          <w:b w:val="0"/>
          <w:bCs w:val="0"/>
        </w:rPr>
        <w:t xml:space="preserve"> and explains why there he is believed (not like </w:t>
      </w:r>
      <w:r w:rsidRPr="003B2BC3">
        <w:rPr>
          <w:rFonts w:hint="cs"/>
          <w:b w:val="0"/>
          <w:bCs w:val="0"/>
          <w:rtl/>
        </w:rPr>
        <w:t>רש"י</w:t>
      </w:r>
      <w:r w:rsidRPr="003B2BC3">
        <w:rPr>
          <w:b w:val="0"/>
          <w:bCs w:val="0"/>
        </w:rPr>
        <w:t xml:space="preserve"> explains that </w:t>
      </w:r>
      <w:r w:rsidRPr="003B2BC3">
        <w:rPr>
          <w:rFonts w:hint="cs"/>
          <w:b w:val="0"/>
          <w:bCs w:val="0"/>
          <w:rtl/>
        </w:rPr>
        <w:t>כלי אמנתו בידו</w:t>
      </w:r>
      <w:r w:rsidRPr="003B2BC3">
        <w:rPr>
          <w:b w:val="0"/>
          <w:bCs w:val="0"/>
        </w:rPr>
        <w:t xml:space="preserve"> is referring to the </w:t>
      </w:r>
      <w:r w:rsidRPr="003B2BC3">
        <w:rPr>
          <w:rFonts w:hint="cs"/>
          <w:b w:val="0"/>
          <w:bCs w:val="0"/>
          <w:rtl/>
        </w:rPr>
        <w:t>חמרין</w:t>
      </w:r>
      <w:r w:rsidRPr="003B2BC3">
        <w:rPr>
          <w:b w:val="0"/>
          <w:bCs w:val="0"/>
        </w:rPr>
        <w:t xml:space="preserve"> and explains why they are not believed).</w:t>
      </w:r>
      <w:r w:rsidR="003B2BC3">
        <w:rPr>
          <w:b w:val="0"/>
          <w:bCs w:val="0"/>
        </w:rPr>
        <w:t xml:space="preserve"> </w:t>
      </w:r>
      <w:proofErr w:type="gramStart"/>
      <w:r w:rsidR="003B2BC3">
        <w:rPr>
          <w:b w:val="0"/>
          <w:bCs w:val="0"/>
        </w:rPr>
        <w:t>See ‘Thinking it over’.</w:t>
      </w:r>
      <w:proofErr w:type="gramEnd"/>
    </w:p>
  </w:footnote>
  <w:footnote w:id="2">
    <w:p w:rsidR="00671BC1" w:rsidRPr="003B2BC3" w:rsidRDefault="00671BC1" w:rsidP="003B2BC3">
      <w:pPr>
        <w:pStyle w:val="FootnoteText"/>
        <w:widowControl w:val="0"/>
        <w:spacing w:line="264" w:lineRule="auto"/>
        <w:rPr>
          <w:b w:val="0"/>
          <w:bCs w:val="0"/>
        </w:rPr>
      </w:pPr>
      <w:r w:rsidRPr="003B2BC3">
        <w:rPr>
          <w:rStyle w:val="FootnoteReference"/>
          <w:b w:val="0"/>
          <w:bCs w:val="0"/>
        </w:rPr>
        <w:footnoteRef/>
      </w:r>
      <w:r w:rsidRPr="003B2BC3">
        <w:rPr>
          <w:b w:val="0"/>
          <w:bCs w:val="0"/>
        </w:rPr>
        <w:t xml:space="preserve"> The </w:t>
      </w:r>
      <w:r w:rsidRPr="003B2BC3">
        <w:rPr>
          <w:rFonts w:hint="cs"/>
          <w:b w:val="0"/>
          <w:bCs w:val="0"/>
          <w:rtl/>
        </w:rPr>
        <w:t>כהנים</w:t>
      </w:r>
      <w:r w:rsidRPr="003B2BC3">
        <w:rPr>
          <w:b w:val="0"/>
          <w:bCs w:val="0"/>
        </w:rPr>
        <w:t xml:space="preserve"> would especially use these types of </w:t>
      </w:r>
      <w:r w:rsidRPr="003B2BC3">
        <w:rPr>
          <w:rFonts w:hint="cs"/>
          <w:b w:val="0"/>
          <w:bCs w:val="0"/>
          <w:rtl/>
        </w:rPr>
        <w:t>כלים</w:t>
      </w:r>
      <w:r w:rsidRPr="003B2BC3">
        <w:rPr>
          <w:b w:val="0"/>
          <w:bCs w:val="0"/>
        </w:rPr>
        <w:t xml:space="preserve"> that are not </w:t>
      </w:r>
      <w:r w:rsidRPr="003B2BC3">
        <w:rPr>
          <w:rFonts w:hint="cs"/>
          <w:b w:val="0"/>
          <w:bCs w:val="0"/>
          <w:rtl/>
        </w:rPr>
        <w:t>מקבל טומאה</w:t>
      </w:r>
      <w:r w:rsidRPr="003B2BC3">
        <w:rPr>
          <w:b w:val="0"/>
          <w:bCs w:val="0"/>
        </w:rPr>
        <w:t xml:space="preserve"> (so that the chance of being </w:t>
      </w:r>
      <w:r w:rsidRPr="003B2BC3">
        <w:rPr>
          <w:rFonts w:hint="cs"/>
          <w:b w:val="0"/>
          <w:bCs w:val="0"/>
          <w:rtl/>
        </w:rPr>
        <w:t>מקבל טומאה</w:t>
      </w:r>
      <w:r w:rsidRPr="003B2BC3">
        <w:rPr>
          <w:b w:val="0"/>
          <w:bCs w:val="0"/>
        </w:rPr>
        <w:t xml:space="preserve"> is lessened and also) so that when people notice that they are using these utensils, the people will realize that these people are conducting themselves </w:t>
      </w:r>
      <w:r w:rsidRPr="003B2BC3">
        <w:rPr>
          <w:rFonts w:hint="cs"/>
          <w:b w:val="0"/>
          <w:bCs w:val="0"/>
          <w:rtl/>
        </w:rPr>
        <w:t>בטהרה</w:t>
      </w:r>
      <w:r w:rsidRPr="003B2BC3">
        <w:rPr>
          <w:b w:val="0"/>
          <w:bCs w:val="0"/>
        </w:rPr>
        <w:t xml:space="preserve"> and they </w:t>
      </w:r>
      <w:r w:rsidR="003B2BC3" w:rsidRPr="003B2BC3">
        <w:rPr>
          <w:b w:val="0"/>
          <w:bCs w:val="0"/>
        </w:rPr>
        <w:t>will</w:t>
      </w:r>
      <w:r w:rsidRPr="003B2BC3">
        <w:rPr>
          <w:b w:val="0"/>
          <w:bCs w:val="0"/>
        </w:rPr>
        <w:t xml:space="preserve"> avoid coming in contact with them, lest they make them </w:t>
      </w:r>
      <w:r w:rsidRPr="003B2BC3">
        <w:rPr>
          <w:rFonts w:hint="cs"/>
          <w:b w:val="0"/>
          <w:bCs w:val="0"/>
          <w:rtl/>
        </w:rPr>
        <w:t>טמא</w:t>
      </w:r>
      <w:r w:rsidRPr="003B2BC3">
        <w:rPr>
          <w:b w:val="0"/>
          <w:bCs w:val="0"/>
        </w:rPr>
        <w:t>.</w:t>
      </w:r>
    </w:p>
  </w:footnote>
  <w:footnote w:id="3">
    <w:p w:rsidR="003B2BC3" w:rsidRPr="003B2BC3" w:rsidRDefault="003B2BC3">
      <w:pPr>
        <w:pStyle w:val="FootnoteText"/>
        <w:rPr>
          <w:b w:val="0"/>
          <w:bCs w:val="0"/>
        </w:rPr>
      </w:pPr>
      <w:r w:rsidRPr="003B2BC3">
        <w:rPr>
          <w:rStyle w:val="FootnoteReference"/>
          <w:b w:val="0"/>
          <w:bCs w:val="0"/>
        </w:rPr>
        <w:footnoteRef/>
      </w:r>
      <w:r w:rsidRPr="003B2BC3">
        <w:rPr>
          <w:b w:val="0"/>
          <w:bCs w:val="0"/>
        </w:rPr>
        <w:t xml:space="preserve"> </w:t>
      </w:r>
      <w:r>
        <w:rPr>
          <w:b w:val="0"/>
          <w:bCs w:val="0"/>
        </w:rPr>
        <w:t>See footnote # 1.</w:t>
      </w:r>
      <w:r w:rsidR="009E4837">
        <w:rPr>
          <w:b w:val="0"/>
          <w:bCs w:val="0"/>
        </w:rPr>
        <w:t xml:space="preserve"> See </w:t>
      </w:r>
      <w:r w:rsidR="009E4837">
        <w:rPr>
          <w:rFonts w:hint="cs"/>
          <w:b w:val="0"/>
          <w:bCs w:val="0"/>
          <w:rtl/>
        </w:rPr>
        <w:t>פרדס יצחק אות כא</w:t>
      </w:r>
      <w:r w:rsidR="009E4837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837" w:rsidRDefault="009E48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BC1" w:rsidRPr="00671BC1" w:rsidRDefault="00671BC1" w:rsidP="00671BC1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כד,ב תוס' ד"ה בשכלי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837" w:rsidRDefault="009E48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1B"/>
    <w:rsid w:val="00043994"/>
    <w:rsid w:val="003B2BC3"/>
    <w:rsid w:val="003D4453"/>
    <w:rsid w:val="005B3456"/>
    <w:rsid w:val="00671BC1"/>
    <w:rsid w:val="009E4837"/>
    <w:rsid w:val="00F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C1"/>
  </w:style>
  <w:style w:type="paragraph" w:styleId="Footer">
    <w:name w:val="footer"/>
    <w:basedOn w:val="Normal"/>
    <w:link w:val="FooterChar"/>
    <w:uiPriority w:val="99"/>
    <w:unhideWhenUsed/>
    <w:rsid w:val="00671B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C1"/>
  </w:style>
  <w:style w:type="paragraph" w:styleId="FootnoteText">
    <w:name w:val="footnote text"/>
    <w:basedOn w:val="Normal"/>
    <w:link w:val="FootnoteTextChar"/>
    <w:uiPriority w:val="99"/>
    <w:semiHidden/>
    <w:unhideWhenUsed/>
    <w:rsid w:val="00671B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B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1B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3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BC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BC1"/>
  </w:style>
  <w:style w:type="paragraph" w:styleId="Footer">
    <w:name w:val="footer"/>
    <w:basedOn w:val="Normal"/>
    <w:link w:val="FooterChar"/>
    <w:uiPriority w:val="99"/>
    <w:unhideWhenUsed/>
    <w:rsid w:val="00671BC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BC1"/>
  </w:style>
  <w:style w:type="paragraph" w:styleId="FootnoteText">
    <w:name w:val="footnote text"/>
    <w:basedOn w:val="Normal"/>
    <w:link w:val="FootnoteTextChar"/>
    <w:uiPriority w:val="99"/>
    <w:semiHidden/>
    <w:unhideWhenUsed/>
    <w:rsid w:val="00671B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1BC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1BC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2015-06-22T21:29:00Z</dcterms:created>
  <dcterms:modified xsi:type="dcterms:W3CDTF">2015-06-23T01:38:00Z</dcterms:modified>
</cp:coreProperties>
</file>