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8F" w:rsidRPr="00012A8F" w:rsidRDefault="00BD3B88" w:rsidP="00012A8F">
      <w:pPr>
        <w:bidi/>
        <w:rPr>
          <w:b/>
          <w:bCs/>
          <w:rtl/>
        </w:rPr>
      </w:pPr>
      <w:r w:rsidRPr="00012A8F">
        <w:rPr>
          <w:b/>
          <w:bCs/>
          <w:sz w:val="36"/>
          <w:szCs w:val="36"/>
          <w:rtl/>
        </w:rPr>
        <w:t>לא</w:t>
      </w:r>
      <w:r w:rsidRPr="00012A8F">
        <w:rPr>
          <w:rFonts w:hint="cs"/>
          <w:b/>
          <w:bCs/>
          <w:rtl/>
        </w:rPr>
        <w:t xml:space="preserve"> </w:t>
      </w:r>
      <w:r w:rsidRPr="00012A8F">
        <w:rPr>
          <w:b/>
          <w:bCs/>
          <w:sz w:val="32"/>
          <w:szCs w:val="32"/>
          <w:rtl/>
        </w:rPr>
        <w:t>במידי דאיקרי קדש</w:t>
      </w:r>
      <w:r w:rsidR="00012A8F" w:rsidRPr="00012A8F">
        <w:rPr>
          <w:rFonts w:hint="cs"/>
          <w:b/>
          <w:bCs/>
          <w:sz w:val="32"/>
          <w:szCs w:val="32"/>
          <w:rtl/>
        </w:rPr>
        <w:t xml:space="preserve"> </w:t>
      </w:r>
      <w:r w:rsidR="00012A8F" w:rsidRPr="00012A8F">
        <w:rPr>
          <w:b/>
          <w:bCs/>
          <w:sz w:val="32"/>
          <w:szCs w:val="32"/>
          <w:rtl/>
        </w:rPr>
        <w:t>–</w:t>
      </w:r>
      <w:r w:rsidR="00012A8F" w:rsidRPr="00012A8F">
        <w:rPr>
          <w:b/>
          <w:bCs/>
          <w:sz w:val="32"/>
          <w:szCs w:val="32"/>
        </w:rPr>
        <w:t xml:space="preserve">                   </w:t>
      </w:r>
      <w:r w:rsidR="00012A8F" w:rsidRPr="00012A8F">
        <w:rPr>
          <w:rFonts w:hint="cs"/>
          <w:b/>
          <w:bCs/>
          <w:sz w:val="32"/>
          <w:szCs w:val="32"/>
          <w:rtl/>
        </w:rPr>
        <w:t xml:space="preserve">קדש </w:t>
      </w:r>
      <w:r w:rsidR="00012A8F" w:rsidRPr="00012A8F">
        <w:rPr>
          <w:b/>
          <w:bCs/>
          <w:sz w:val="32"/>
          <w:szCs w:val="32"/>
        </w:rPr>
        <w:t>Not in something which is called</w:t>
      </w:r>
      <w:r w:rsidR="00012A8F" w:rsidRPr="00012A8F">
        <w:rPr>
          <w:b/>
          <w:bCs/>
          <w:sz w:val="32"/>
          <w:szCs w:val="32"/>
        </w:rPr>
        <w:tab/>
      </w:r>
      <w:r w:rsidRPr="00012A8F">
        <w:rPr>
          <w:b/>
          <w:bCs/>
          <w:sz w:val="32"/>
          <w:szCs w:val="32"/>
          <w:rtl/>
        </w:rPr>
        <w:t xml:space="preserve"> </w:t>
      </w:r>
    </w:p>
    <w:p w:rsidR="00012A8F" w:rsidRDefault="00012A8F" w:rsidP="00012A8F">
      <w:pPr>
        <w:bidi/>
        <w:rPr>
          <w:b/>
          <w:bCs/>
          <w:sz w:val="24"/>
          <w:szCs w:val="24"/>
          <w:rtl/>
        </w:rPr>
      </w:pPr>
    </w:p>
    <w:p w:rsidR="00012A8F" w:rsidRPr="00012A8F" w:rsidRDefault="00012A8F" w:rsidP="00012A8F">
      <w:pPr>
        <w:rPr>
          <w:rFonts w:ascii="Copperplate Gothic Bold" w:hAnsi="Copperplate Gothic Bold"/>
          <w:u w:val="double"/>
          <w:rtl/>
        </w:rPr>
      </w:pPr>
      <w:r w:rsidRPr="00012A8F">
        <w:rPr>
          <w:rFonts w:ascii="Copperplate Gothic Bold" w:hAnsi="Copperplate Gothic Bold"/>
          <w:u w:val="double"/>
        </w:rPr>
        <w:t>Overview</w:t>
      </w:r>
    </w:p>
    <w:p w:rsidR="00012A8F" w:rsidRPr="00012A8F" w:rsidRDefault="00012A8F" w:rsidP="00012A8F">
      <w:r w:rsidRPr="00012A8F">
        <w:t xml:space="preserve">The </w:t>
      </w:r>
      <w:r w:rsidRPr="00012A8F">
        <w:rPr>
          <w:rFonts w:hint="cs"/>
          <w:rtl/>
        </w:rPr>
        <w:t>גמרא</w:t>
      </w:r>
      <w:r w:rsidRPr="00012A8F">
        <w:t xml:space="preserve"> stated that the </w:t>
      </w:r>
      <w:r w:rsidRPr="00012A8F">
        <w:rPr>
          <w:rFonts w:hint="cs"/>
          <w:rtl/>
        </w:rPr>
        <w:t>בני ברזילי</w:t>
      </w:r>
      <w:r w:rsidRPr="00012A8F">
        <w:t xml:space="preserve"> were only able to eat </w:t>
      </w:r>
      <w:r w:rsidRPr="00012A8F">
        <w:rPr>
          <w:rFonts w:hint="cs"/>
          <w:rtl/>
        </w:rPr>
        <w:t>תרומה דרבנן</w:t>
      </w:r>
      <w:r w:rsidRPr="00012A8F">
        <w:t xml:space="preserve">, but not </w:t>
      </w:r>
      <w:r w:rsidRPr="00012A8F">
        <w:rPr>
          <w:rFonts w:hint="cs"/>
          <w:rtl/>
        </w:rPr>
        <w:t>תרומה דאורייתא</w:t>
      </w:r>
      <w:r w:rsidRPr="00012A8F">
        <w:t xml:space="preserve">. The </w:t>
      </w:r>
      <w:r w:rsidRPr="00012A8F">
        <w:rPr>
          <w:rFonts w:hint="cs"/>
          <w:rtl/>
        </w:rPr>
        <w:t>גמרא</w:t>
      </w:r>
      <w:r w:rsidRPr="00012A8F">
        <w:t xml:space="preserve"> asked, but the </w:t>
      </w:r>
      <w:r w:rsidRPr="00012A8F">
        <w:rPr>
          <w:rFonts w:hint="cs"/>
          <w:rtl/>
        </w:rPr>
        <w:t>פסוק</w:t>
      </w:r>
      <w:r w:rsidRPr="00012A8F">
        <w:t xml:space="preserve"> preventing the </w:t>
      </w:r>
      <w:r w:rsidRPr="00012A8F">
        <w:rPr>
          <w:rFonts w:hint="cs"/>
          <w:rtl/>
        </w:rPr>
        <w:t>בני ברזילי</w:t>
      </w:r>
      <w:r w:rsidRPr="00012A8F">
        <w:t xml:space="preserve"> from eating stated </w:t>
      </w:r>
      <w:r w:rsidRPr="00012A8F">
        <w:rPr>
          <w:rFonts w:hint="cs"/>
          <w:rtl/>
        </w:rPr>
        <w:t>אשר לא יאכלו מקדש הקדשים</w:t>
      </w:r>
      <w:r w:rsidRPr="00012A8F">
        <w:t xml:space="preserve">, indicating that they were only forbidden from eating </w:t>
      </w:r>
      <w:r w:rsidRPr="00012A8F">
        <w:rPr>
          <w:rFonts w:hint="cs"/>
          <w:rtl/>
        </w:rPr>
        <w:t>קדשים</w:t>
      </w:r>
      <w:r w:rsidRPr="00012A8F">
        <w:t xml:space="preserve">, but not from eating </w:t>
      </w:r>
      <w:r w:rsidRPr="00012A8F">
        <w:rPr>
          <w:rFonts w:hint="cs"/>
          <w:rtl/>
        </w:rPr>
        <w:t>תרומה [דאורייתא]</w:t>
      </w:r>
      <w:r w:rsidRPr="00012A8F">
        <w:t xml:space="preserve">. The </w:t>
      </w:r>
      <w:r w:rsidRPr="00012A8F">
        <w:rPr>
          <w:rFonts w:hint="cs"/>
          <w:rtl/>
        </w:rPr>
        <w:t>גמרא</w:t>
      </w:r>
      <w:r w:rsidRPr="00012A8F">
        <w:t xml:space="preserve"> responded that the word </w:t>
      </w:r>
      <w:r w:rsidRPr="00012A8F">
        <w:rPr>
          <w:rFonts w:hint="cs"/>
          <w:rtl/>
        </w:rPr>
        <w:t>קדש</w:t>
      </w:r>
      <w:r w:rsidRPr="00012A8F">
        <w:t xml:space="preserve"> refers to </w:t>
      </w:r>
      <w:r w:rsidRPr="00012A8F">
        <w:rPr>
          <w:rFonts w:hint="cs"/>
          <w:rtl/>
        </w:rPr>
        <w:t>תרומה</w:t>
      </w:r>
      <w:r w:rsidRPr="00012A8F">
        <w:t xml:space="preserve"> and the word </w:t>
      </w:r>
      <w:r w:rsidRPr="00012A8F">
        <w:rPr>
          <w:rFonts w:hint="cs"/>
          <w:rtl/>
        </w:rPr>
        <w:t>קדשים</w:t>
      </w:r>
      <w:r w:rsidRPr="00012A8F">
        <w:t xml:space="preserve"> refers to </w:t>
      </w:r>
      <w:r w:rsidRPr="00012A8F">
        <w:rPr>
          <w:rFonts w:hint="cs"/>
          <w:rtl/>
        </w:rPr>
        <w:t>קדשים</w:t>
      </w:r>
      <w:r w:rsidRPr="00012A8F">
        <w:t xml:space="preserve">, so the </w:t>
      </w:r>
      <w:r w:rsidRPr="00012A8F">
        <w:rPr>
          <w:rFonts w:hint="cs"/>
          <w:rtl/>
        </w:rPr>
        <w:t>בני ברזילי</w:t>
      </w:r>
      <w:r w:rsidRPr="00012A8F">
        <w:t xml:space="preserve"> were prohibited from eating both </w:t>
      </w:r>
      <w:r w:rsidRPr="00012A8F">
        <w:rPr>
          <w:rFonts w:hint="cs"/>
          <w:rtl/>
        </w:rPr>
        <w:t>תרומה [דאורייתא]</w:t>
      </w:r>
      <w:r w:rsidRPr="00012A8F">
        <w:t xml:space="preserve"> and </w:t>
      </w:r>
      <w:r w:rsidRPr="00012A8F">
        <w:rPr>
          <w:rFonts w:hint="cs"/>
          <w:rtl/>
        </w:rPr>
        <w:t>קדשים</w:t>
      </w:r>
      <w:r w:rsidRPr="00012A8F">
        <w:t xml:space="preserve">. Our </w:t>
      </w:r>
      <w:r w:rsidRPr="00012A8F">
        <w:rPr>
          <w:rFonts w:hint="cs"/>
          <w:rtl/>
        </w:rPr>
        <w:t>תוספות</w:t>
      </w:r>
      <w:r w:rsidRPr="00012A8F">
        <w:t xml:space="preserve"> explains why it was necessary for the </w:t>
      </w:r>
      <w:r w:rsidRPr="00012A8F">
        <w:rPr>
          <w:rFonts w:hint="cs"/>
          <w:rtl/>
        </w:rPr>
        <w:t>פסוק</w:t>
      </w:r>
      <w:r w:rsidRPr="00012A8F">
        <w:t xml:space="preserve"> to say both </w:t>
      </w:r>
      <w:r w:rsidRPr="00012A8F">
        <w:rPr>
          <w:rFonts w:hint="cs"/>
          <w:rtl/>
        </w:rPr>
        <w:t>קדש</w:t>
      </w:r>
      <w:r w:rsidRPr="00012A8F">
        <w:t xml:space="preserve"> and </w:t>
      </w:r>
      <w:r w:rsidRPr="00012A8F">
        <w:rPr>
          <w:rFonts w:hint="cs"/>
          <w:rtl/>
        </w:rPr>
        <w:t>קדשים</w:t>
      </w:r>
      <w:r w:rsidRPr="00012A8F">
        <w:t>.</w:t>
      </w:r>
    </w:p>
    <w:p w:rsidR="00012A8F" w:rsidRPr="00012A8F" w:rsidRDefault="008166E9" w:rsidP="008166E9">
      <w:pPr>
        <w:bidi/>
        <w:jc w:val="center"/>
        <w:rPr>
          <w:sz w:val="24"/>
          <w:szCs w:val="24"/>
          <w:rtl/>
        </w:rPr>
      </w:pPr>
      <w:r>
        <w:rPr>
          <w:sz w:val="24"/>
          <w:szCs w:val="24"/>
        </w:rPr>
        <w:t>---------------------</w:t>
      </w:r>
    </w:p>
    <w:p w:rsidR="00012A8F" w:rsidRPr="00012A8F" w:rsidRDefault="00012A8F" w:rsidP="00012A8F">
      <w:pPr>
        <w:rPr>
          <w:sz w:val="24"/>
          <w:szCs w:val="24"/>
        </w:rPr>
      </w:pPr>
      <w:r w:rsidRPr="00012A8F">
        <w:rPr>
          <w:rFonts w:hint="cs"/>
          <w:sz w:val="24"/>
          <w:szCs w:val="24"/>
          <w:rtl/>
        </w:rPr>
        <w:t>תוספות</w:t>
      </w:r>
      <w:r w:rsidRPr="00012A8F">
        <w:rPr>
          <w:sz w:val="24"/>
          <w:szCs w:val="24"/>
        </w:rPr>
        <w:t xml:space="preserve"> asks:</w:t>
      </w:r>
    </w:p>
    <w:p w:rsidR="00012A8F" w:rsidRPr="008166E9" w:rsidRDefault="00BD3B88" w:rsidP="008166E9">
      <w:pPr>
        <w:bidi/>
        <w:rPr>
          <w:rFonts w:cs="David"/>
          <w:b/>
          <w:bCs/>
        </w:rPr>
      </w:pPr>
      <w:r w:rsidRPr="008166E9">
        <w:rPr>
          <w:rFonts w:cs="David"/>
          <w:b/>
          <w:bCs/>
          <w:rtl/>
        </w:rPr>
        <w:t>וא</w:t>
      </w:r>
      <w:r w:rsidR="00012A8F" w:rsidRPr="008166E9">
        <w:rPr>
          <w:rFonts w:cs="David" w:hint="cs"/>
          <w:b/>
          <w:bCs/>
          <w:rtl/>
        </w:rPr>
        <w:t xml:space="preserve">ם </w:t>
      </w:r>
      <w:r w:rsidRPr="008166E9">
        <w:rPr>
          <w:rFonts w:cs="David"/>
          <w:b/>
          <w:bCs/>
          <w:rtl/>
        </w:rPr>
        <w:t>ת</w:t>
      </w:r>
      <w:r w:rsidR="00012A8F" w:rsidRPr="008166E9">
        <w:rPr>
          <w:rFonts w:cs="David" w:hint="cs"/>
          <w:b/>
          <w:bCs/>
          <w:rtl/>
        </w:rPr>
        <w:t>אמר</w:t>
      </w:r>
      <w:r w:rsidRPr="008166E9">
        <w:rPr>
          <w:rFonts w:cs="David"/>
          <w:b/>
          <w:bCs/>
          <w:rtl/>
        </w:rPr>
        <w:t xml:space="preserve"> תרומה נמי איקרי קדשים דכתיב</w:t>
      </w:r>
      <w:r w:rsidR="00012A8F" w:rsidRPr="008166E9">
        <w:rPr>
          <w:rStyle w:val="FootnoteReference"/>
          <w:rFonts w:cs="David"/>
          <w:b/>
          <w:bCs/>
          <w:rtl/>
        </w:rPr>
        <w:footnoteReference w:id="1"/>
      </w:r>
      <w:r w:rsidRPr="008166E9">
        <w:rPr>
          <w:rFonts w:cs="David"/>
          <w:b/>
          <w:bCs/>
          <w:rtl/>
        </w:rPr>
        <w:t xml:space="preserve"> ובא השמש וטהר ואחר יאכל מן הקדשים </w:t>
      </w:r>
      <w:r w:rsidR="008166E9">
        <w:rPr>
          <w:rFonts w:cs="David" w:hint="cs"/>
          <w:b/>
          <w:bCs/>
          <w:rtl/>
        </w:rPr>
        <w:t>-</w:t>
      </w:r>
    </w:p>
    <w:p w:rsidR="00012A8F" w:rsidRPr="00012A8F" w:rsidRDefault="00012A8F" w:rsidP="00012A8F">
      <w:r w:rsidRPr="00012A8F">
        <w:rPr>
          <w:b/>
          <w:bCs/>
        </w:rPr>
        <w:t>And if you will say</w:t>
      </w:r>
      <w:r w:rsidRPr="00012A8F">
        <w:t xml:space="preserve">; but </w:t>
      </w:r>
      <w:r w:rsidRPr="00012A8F">
        <w:rPr>
          <w:rFonts w:hint="cs"/>
          <w:b/>
          <w:bCs/>
          <w:rtl/>
        </w:rPr>
        <w:t>תרומה</w:t>
      </w:r>
      <w:r w:rsidRPr="00012A8F">
        <w:rPr>
          <w:b/>
          <w:bCs/>
        </w:rPr>
        <w:t xml:space="preserve"> is also called </w:t>
      </w:r>
      <w:r w:rsidRPr="00012A8F">
        <w:rPr>
          <w:rFonts w:hint="cs"/>
          <w:b/>
          <w:bCs/>
          <w:rtl/>
        </w:rPr>
        <w:t>קדשים</w:t>
      </w:r>
      <w:r w:rsidR="008166E9">
        <w:rPr>
          <w:b/>
          <w:bCs/>
        </w:rPr>
        <w:t>,</w:t>
      </w:r>
      <w:r w:rsidRPr="00012A8F">
        <w:rPr>
          <w:b/>
          <w:bCs/>
        </w:rPr>
        <w:t xml:space="preserve"> as it is written, ‘and the sun will set and he will become </w:t>
      </w:r>
      <w:r w:rsidRPr="00012A8F">
        <w:rPr>
          <w:rFonts w:hint="cs"/>
          <w:b/>
          <w:bCs/>
          <w:rtl/>
        </w:rPr>
        <w:t>טהור</w:t>
      </w:r>
      <w:r w:rsidRPr="00012A8F">
        <w:rPr>
          <w:b/>
          <w:bCs/>
        </w:rPr>
        <w:t xml:space="preserve"> and afterwards he may eat from the </w:t>
      </w:r>
      <w:r w:rsidRPr="00012A8F">
        <w:rPr>
          <w:rFonts w:hint="cs"/>
          <w:b/>
          <w:bCs/>
          <w:rtl/>
        </w:rPr>
        <w:t>קדשים</w:t>
      </w:r>
      <w:r w:rsidR="008166E9">
        <w:rPr>
          <w:b/>
          <w:bCs/>
        </w:rPr>
        <w:t>’</w:t>
      </w:r>
      <w:r w:rsidRPr="00012A8F">
        <w:t xml:space="preserve"> -</w:t>
      </w:r>
    </w:p>
    <w:p w:rsidR="00012A8F" w:rsidRPr="008166E9" w:rsidRDefault="00BD3B88" w:rsidP="008166E9">
      <w:pPr>
        <w:bidi/>
        <w:rPr>
          <w:rFonts w:cs="David"/>
          <w:b/>
          <w:bCs/>
        </w:rPr>
      </w:pPr>
      <w:r w:rsidRPr="008166E9">
        <w:rPr>
          <w:rFonts w:cs="David"/>
          <w:b/>
          <w:bCs/>
          <w:rtl/>
        </w:rPr>
        <w:t>וההוא קרא איירי בתרומה</w:t>
      </w:r>
      <w:r w:rsidR="00CC3B83" w:rsidRPr="008166E9">
        <w:rPr>
          <w:rStyle w:val="FootnoteReference"/>
          <w:rFonts w:cs="David"/>
          <w:b/>
          <w:bCs/>
          <w:rtl/>
        </w:rPr>
        <w:footnoteReference w:id="2"/>
      </w:r>
      <w:r w:rsidRPr="008166E9">
        <w:rPr>
          <w:rFonts w:cs="David"/>
          <w:b/>
          <w:bCs/>
          <w:rtl/>
        </w:rPr>
        <w:t xml:space="preserve"> דהעריב שמשו אוכל בתרומה</w:t>
      </w:r>
      <w:r w:rsidR="00012A8F" w:rsidRPr="008166E9">
        <w:rPr>
          <w:rStyle w:val="FootnoteReference"/>
          <w:rFonts w:cs="David"/>
          <w:b/>
          <w:bCs/>
          <w:rtl/>
        </w:rPr>
        <w:footnoteReference w:id="3"/>
      </w:r>
      <w:r w:rsidRPr="008166E9">
        <w:rPr>
          <w:rFonts w:cs="David"/>
          <w:b/>
          <w:bCs/>
          <w:rtl/>
        </w:rPr>
        <w:t xml:space="preserve"> </w:t>
      </w:r>
      <w:r w:rsidR="008166E9">
        <w:rPr>
          <w:rFonts w:cs="David" w:hint="cs"/>
          <w:b/>
          <w:bCs/>
          <w:rtl/>
        </w:rPr>
        <w:t>-</w:t>
      </w:r>
    </w:p>
    <w:p w:rsidR="00CC3B83" w:rsidRPr="008166E9" w:rsidRDefault="00012A8F" w:rsidP="008166E9">
      <w:pPr>
        <w:rPr>
          <w:sz w:val="24"/>
          <w:szCs w:val="24"/>
        </w:rPr>
      </w:pPr>
      <w:r w:rsidRPr="00012A8F">
        <w:rPr>
          <w:b/>
          <w:bCs/>
        </w:rPr>
        <w:t xml:space="preserve">And that </w:t>
      </w:r>
      <w:r w:rsidRPr="00012A8F">
        <w:rPr>
          <w:rFonts w:hint="cs"/>
          <w:b/>
          <w:bCs/>
          <w:rtl/>
        </w:rPr>
        <w:t>פסוק</w:t>
      </w:r>
      <w:r w:rsidRPr="00012A8F">
        <w:t xml:space="preserve">, which permits the </w:t>
      </w:r>
      <w:r w:rsidRPr="00012A8F">
        <w:rPr>
          <w:rFonts w:hint="cs"/>
          <w:rtl/>
        </w:rPr>
        <w:t>טמא</w:t>
      </w:r>
      <w:r w:rsidRPr="00012A8F">
        <w:t xml:space="preserve"> to eat </w:t>
      </w:r>
      <w:r w:rsidRPr="00012A8F">
        <w:rPr>
          <w:rFonts w:hint="cs"/>
          <w:rtl/>
        </w:rPr>
        <w:t>מ</w:t>
      </w:r>
      <w:r w:rsidR="008166E9">
        <w:rPr>
          <w:rFonts w:hint="cs"/>
          <w:rtl/>
        </w:rPr>
        <w:t>ן</w:t>
      </w:r>
      <w:r w:rsidRPr="00012A8F">
        <w:rPr>
          <w:rFonts w:hint="cs"/>
          <w:rtl/>
        </w:rPr>
        <w:t xml:space="preserve"> הקדשים</w:t>
      </w:r>
      <w:r w:rsidRPr="00012A8F">
        <w:t xml:space="preserve"> after sunset </w:t>
      </w:r>
      <w:r w:rsidRPr="00012A8F">
        <w:rPr>
          <w:b/>
          <w:bCs/>
        </w:rPr>
        <w:t>is referring to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תרומה</w:t>
      </w:r>
      <w:r>
        <w:rPr>
          <w:b/>
          <w:bCs/>
        </w:rPr>
        <w:t xml:space="preserve"> </w:t>
      </w:r>
      <w:r>
        <w:t>only</w:t>
      </w:r>
      <w:r w:rsidR="008166E9">
        <w:t>,</w:t>
      </w:r>
      <w:r>
        <w:t xml:space="preserve"> and not to </w:t>
      </w:r>
      <w:r>
        <w:rPr>
          <w:rFonts w:hint="cs"/>
          <w:rtl/>
        </w:rPr>
        <w:t>קדשים</w:t>
      </w:r>
      <w:r>
        <w:t xml:space="preserve">, as the </w:t>
      </w:r>
      <w:r>
        <w:rPr>
          <w:rFonts w:hint="cs"/>
          <w:rtl/>
        </w:rPr>
        <w:t>גמרא</w:t>
      </w:r>
      <w:r>
        <w:t xml:space="preserve"> states </w:t>
      </w:r>
      <w:r w:rsidRPr="00012A8F">
        <w:rPr>
          <w:b/>
          <w:bCs/>
        </w:rPr>
        <w:t>that after</w:t>
      </w:r>
      <w:r w:rsidRPr="00012A8F">
        <w:t xml:space="preserve"> </w:t>
      </w:r>
      <w:r w:rsidRPr="00012A8F">
        <w:rPr>
          <w:b/>
          <w:bCs/>
        </w:rPr>
        <w:t xml:space="preserve">sunset </w:t>
      </w:r>
      <w:r w:rsidR="008166E9">
        <w:rPr>
          <w:b/>
          <w:bCs/>
        </w:rPr>
        <w:t>t</w:t>
      </w:r>
      <w:r w:rsidRPr="00012A8F">
        <w:rPr>
          <w:b/>
          <w:bCs/>
        </w:rPr>
        <w:t>he</w:t>
      </w:r>
      <w:r w:rsidR="008166E9">
        <w:rPr>
          <w:b/>
          <w:bCs/>
        </w:rPr>
        <w:t xml:space="preserve"> </w:t>
      </w:r>
      <w:r w:rsidR="008166E9">
        <w:rPr>
          <w:rFonts w:hint="cs"/>
          <w:rtl/>
        </w:rPr>
        <w:t>טמא שנטהר</w:t>
      </w:r>
      <w:r w:rsidRPr="00012A8F">
        <w:rPr>
          <w:b/>
          <w:bCs/>
        </w:rPr>
        <w:t xml:space="preserve"> may eat</w:t>
      </w:r>
      <w:r>
        <w:t xml:space="preserve"> </w:t>
      </w:r>
      <w:r>
        <w:rPr>
          <w:rFonts w:hint="cs"/>
          <w:b/>
          <w:bCs/>
          <w:rtl/>
        </w:rPr>
        <w:t>תרומה</w:t>
      </w:r>
      <w:r>
        <w:rPr>
          <w:b/>
          <w:bCs/>
        </w:rPr>
        <w:t xml:space="preserve"> </w:t>
      </w:r>
      <w:r w:rsidRPr="008166E9">
        <w:rPr>
          <w:sz w:val="24"/>
          <w:szCs w:val="24"/>
        </w:rPr>
        <w:t xml:space="preserve">(but not </w:t>
      </w:r>
      <w:r w:rsidRPr="008166E9">
        <w:rPr>
          <w:rFonts w:hint="cs"/>
          <w:sz w:val="24"/>
          <w:szCs w:val="24"/>
          <w:rtl/>
        </w:rPr>
        <w:t>קדשים</w:t>
      </w:r>
      <w:r w:rsidRPr="008166E9">
        <w:rPr>
          <w:sz w:val="24"/>
          <w:szCs w:val="24"/>
        </w:rPr>
        <w:t xml:space="preserve">); so why do we need two </w:t>
      </w:r>
      <w:r w:rsidRPr="008166E9">
        <w:rPr>
          <w:rFonts w:hint="cs"/>
          <w:sz w:val="24"/>
          <w:szCs w:val="24"/>
          <w:rtl/>
        </w:rPr>
        <w:t>פסוקים</w:t>
      </w:r>
      <w:r w:rsidRPr="008166E9">
        <w:rPr>
          <w:sz w:val="24"/>
          <w:szCs w:val="24"/>
        </w:rPr>
        <w:t xml:space="preserve"> to teach us that the </w:t>
      </w:r>
      <w:r w:rsidRPr="008166E9">
        <w:rPr>
          <w:rFonts w:hint="cs"/>
          <w:sz w:val="24"/>
          <w:szCs w:val="24"/>
          <w:rtl/>
        </w:rPr>
        <w:t>בני ברזילי</w:t>
      </w:r>
      <w:r w:rsidRPr="008166E9">
        <w:rPr>
          <w:sz w:val="24"/>
          <w:szCs w:val="24"/>
        </w:rPr>
        <w:t xml:space="preserve"> cannot eat </w:t>
      </w:r>
      <w:r w:rsidRPr="008166E9">
        <w:rPr>
          <w:rFonts w:hint="cs"/>
          <w:sz w:val="24"/>
          <w:szCs w:val="24"/>
          <w:rtl/>
        </w:rPr>
        <w:t>תרומה וקדשים</w:t>
      </w:r>
      <w:r w:rsidRPr="008166E9">
        <w:rPr>
          <w:sz w:val="24"/>
          <w:szCs w:val="24"/>
        </w:rPr>
        <w:t xml:space="preserve">, if it would just have said </w:t>
      </w:r>
      <w:r w:rsidRPr="008166E9">
        <w:rPr>
          <w:rFonts w:hint="cs"/>
          <w:sz w:val="24"/>
          <w:szCs w:val="24"/>
          <w:rtl/>
        </w:rPr>
        <w:t>לא יאכלו מן הקדשים</w:t>
      </w:r>
      <w:r w:rsidRPr="008166E9">
        <w:rPr>
          <w:sz w:val="24"/>
          <w:szCs w:val="24"/>
        </w:rPr>
        <w:t xml:space="preserve"> we would know that if refers to both </w:t>
      </w:r>
      <w:r w:rsidRPr="008166E9">
        <w:rPr>
          <w:rFonts w:hint="cs"/>
          <w:sz w:val="24"/>
          <w:szCs w:val="24"/>
          <w:rtl/>
        </w:rPr>
        <w:t>תרומה</w:t>
      </w:r>
      <w:r w:rsidRPr="008166E9">
        <w:rPr>
          <w:sz w:val="24"/>
          <w:szCs w:val="24"/>
        </w:rPr>
        <w:t xml:space="preserve"> and </w:t>
      </w:r>
      <w:r w:rsidRPr="008166E9">
        <w:rPr>
          <w:rFonts w:hint="cs"/>
          <w:sz w:val="24"/>
          <w:szCs w:val="24"/>
          <w:rtl/>
        </w:rPr>
        <w:t>קדשים</w:t>
      </w:r>
      <w:r w:rsidRPr="008166E9">
        <w:rPr>
          <w:sz w:val="24"/>
          <w:szCs w:val="24"/>
        </w:rPr>
        <w:t xml:space="preserve">, since </w:t>
      </w:r>
      <w:r w:rsidRPr="008166E9">
        <w:rPr>
          <w:rFonts w:hint="cs"/>
          <w:sz w:val="24"/>
          <w:szCs w:val="24"/>
          <w:rtl/>
        </w:rPr>
        <w:t>תרומה</w:t>
      </w:r>
      <w:r w:rsidRPr="008166E9">
        <w:rPr>
          <w:sz w:val="24"/>
          <w:szCs w:val="24"/>
        </w:rPr>
        <w:t xml:space="preserve"> is also referred to as </w:t>
      </w:r>
      <w:r w:rsidRPr="008166E9">
        <w:rPr>
          <w:rFonts w:hint="cs"/>
          <w:sz w:val="24"/>
          <w:szCs w:val="24"/>
          <w:rtl/>
        </w:rPr>
        <w:t>קדשים</w:t>
      </w:r>
      <w:r w:rsidR="00CC3B83" w:rsidRPr="008166E9">
        <w:rPr>
          <w:sz w:val="24"/>
          <w:szCs w:val="24"/>
        </w:rPr>
        <w:t>?!</w:t>
      </w:r>
    </w:p>
    <w:p w:rsidR="00CC3B83" w:rsidRPr="008166E9" w:rsidRDefault="00CC3B83" w:rsidP="00012A8F">
      <w:pPr>
        <w:rPr>
          <w:sz w:val="24"/>
          <w:szCs w:val="24"/>
        </w:rPr>
      </w:pPr>
    </w:p>
    <w:p w:rsidR="00012A8F" w:rsidRPr="008166E9" w:rsidRDefault="00CC3B83" w:rsidP="00012A8F">
      <w:pPr>
        <w:rPr>
          <w:sz w:val="24"/>
          <w:szCs w:val="24"/>
        </w:rPr>
      </w:pPr>
      <w:r w:rsidRPr="008166E9">
        <w:rPr>
          <w:rFonts w:hint="cs"/>
          <w:sz w:val="24"/>
          <w:szCs w:val="24"/>
          <w:rtl/>
        </w:rPr>
        <w:t>תוספות</w:t>
      </w:r>
      <w:r w:rsidRPr="008166E9">
        <w:rPr>
          <w:sz w:val="24"/>
          <w:szCs w:val="24"/>
        </w:rPr>
        <w:t xml:space="preserve"> answers:</w:t>
      </w:r>
      <w:r w:rsidR="00012A8F" w:rsidRPr="008166E9">
        <w:rPr>
          <w:sz w:val="24"/>
          <w:szCs w:val="24"/>
        </w:rPr>
        <w:t xml:space="preserve"> </w:t>
      </w:r>
    </w:p>
    <w:p w:rsidR="00012A8F" w:rsidRPr="008166E9" w:rsidRDefault="00BD3B88" w:rsidP="008166E9">
      <w:pPr>
        <w:bidi/>
        <w:rPr>
          <w:rFonts w:cs="David"/>
          <w:b/>
          <w:bCs/>
          <w:rtl/>
        </w:rPr>
      </w:pPr>
      <w:r w:rsidRPr="008166E9">
        <w:rPr>
          <w:rFonts w:cs="David"/>
          <w:b/>
          <w:bCs/>
          <w:rtl/>
        </w:rPr>
        <w:t>וי</w:t>
      </w:r>
      <w:r w:rsidR="00012A8F" w:rsidRPr="008166E9">
        <w:rPr>
          <w:rFonts w:cs="David" w:hint="cs"/>
          <w:b/>
          <w:bCs/>
          <w:rtl/>
        </w:rPr>
        <w:t xml:space="preserve">ש </w:t>
      </w:r>
      <w:r w:rsidRPr="008166E9">
        <w:rPr>
          <w:rFonts w:cs="David"/>
          <w:b/>
          <w:bCs/>
          <w:rtl/>
        </w:rPr>
        <w:t>ל</w:t>
      </w:r>
      <w:r w:rsidR="00012A8F" w:rsidRPr="008166E9">
        <w:rPr>
          <w:rFonts w:cs="David" w:hint="cs"/>
          <w:b/>
          <w:bCs/>
          <w:rtl/>
        </w:rPr>
        <w:t>ומר</w:t>
      </w:r>
      <w:r w:rsidRPr="008166E9">
        <w:rPr>
          <w:rFonts w:cs="David"/>
          <w:b/>
          <w:bCs/>
          <w:rtl/>
        </w:rPr>
        <w:t xml:space="preserve"> דודאי גבי טמא תרומה מיקרי קדשים </w:t>
      </w:r>
      <w:r w:rsidR="008166E9">
        <w:rPr>
          <w:rFonts w:cs="David" w:hint="cs"/>
          <w:b/>
          <w:bCs/>
          <w:rtl/>
        </w:rPr>
        <w:t>-</w:t>
      </w:r>
    </w:p>
    <w:p w:rsidR="00CC3B83" w:rsidRPr="008166E9" w:rsidRDefault="00CC3B83" w:rsidP="00CC3B83">
      <w:pPr>
        <w:rPr>
          <w:sz w:val="24"/>
          <w:szCs w:val="24"/>
        </w:rPr>
      </w:pPr>
      <w:r>
        <w:rPr>
          <w:b/>
          <w:bCs/>
        </w:rPr>
        <w:t xml:space="preserve">And one can say; that certainly regarding </w:t>
      </w:r>
      <w:r w:rsidR="00533615">
        <w:rPr>
          <w:b/>
          <w:bCs/>
        </w:rPr>
        <w:t xml:space="preserve">a </w:t>
      </w:r>
      <w:r w:rsidR="00533615">
        <w:rPr>
          <w:rFonts w:hint="cs"/>
          <w:rtl/>
        </w:rPr>
        <w:t xml:space="preserve">כהן </w:t>
      </w:r>
      <w:r w:rsidR="00533615">
        <w:rPr>
          <w:rFonts w:hint="cs"/>
          <w:b/>
          <w:bCs/>
          <w:rtl/>
        </w:rPr>
        <w:t>טמא</w:t>
      </w:r>
      <w:r w:rsidR="00533615">
        <w:rPr>
          <w:b/>
          <w:bCs/>
        </w:rPr>
        <w:t xml:space="preserve"> </w:t>
      </w:r>
      <w:r w:rsidR="00533615">
        <w:t xml:space="preserve">we find that </w:t>
      </w:r>
      <w:r w:rsidR="00533615">
        <w:rPr>
          <w:rFonts w:hint="cs"/>
          <w:b/>
          <w:bCs/>
          <w:rtl/>
        </w:rPr>
        <w:t>תרומה</w:t>
      </w:r>
      <w:r w:rsidR="00533615">
        <w:rPr>
          <w:b/>
          <w:bCs/>
        </w:rPr>
        <w:t xml:space="preserve"> is called </w:t>
      </w:r>
      <w:r w:rsidR="00533615">
        <w:rPr>
          <w:rFonts w:hint="cs"/>
          <w:b/>
          <w:bCs/>
          <w:rtl/>
        </w:rPr>
        <w:t>קדשים</w:t>
      </w:r>
      <w:r w:rsidR="00533615">
        <w:rPr>
          <w:b/>
          <w:bCs/>
        </w:rPr>
        <w:t xml:space="preserve"> </w:t>
      </w:r>
      <w:r w:rsidR="00533615" w:rsidRPr="008166E9">
        <w:rPr>
          <w:sz w:val="24"/>
          <w:szCs w:val="24"/>
        </w:rPr>
        <w:t xml:space="preserve">(in the </w:t>
      </w:r>
      <w:r w:rsidR="00533615" w:rsidRPr="008166E9">
        <w:rPr>
          <w:rFonts w:hint="cs"/>
          <w:sz w:val="24"/>
          <w:szCs w:val="24"/>
          <w:rtl/>
        </w:rPr>
        <w:t>פסוק</w:t>
      </w:r>
      <w:r w:rsidR="00533615" w:rsidRPr="008166E9">
        <w:rPr>
          <w:sz w:val="24"/>
          <w:szCs w:val="24"/>
        </w:rPr>
        <w:t xml:space="preserve"> just mentioned) -</w:t>
      </w:r>
    </w:p>
    <w:p w:rsidR="003D4453" w:rsidRPr="008166E9" w:rsidRDefault="00BD3B88" w:rsidP="00012A8F">
      <w:pPr>
        <w:bidi/>
        <w:rPr>
          <w:rFonts w:cs="David"/>
          <w:b/>
          <w:bCs/>
        </w:rPr>
      </w:pPr>
      <w:r w:rsidRPr="008166E9">
        <w:rPr>
          <w:rFonts w:cs="David"/>
          <w:b/>
          <w:bCs/>
          <w:rtl/>
        </w:rPr>
        <w:t>אבל הכא אאכילת זר קאמר דלא אשכחן קדשים גבי אכילת זר:</w:t>
      </w:r>
      <w:r w:rsidR="00533615" w:rsidRPr="008166E9">
        <w:rPr>
          <w:rStyle w:val="FootnoteReference"/>
          <w:rFonts w:cs="David"/>
          <w:b/>
          <w:bCs/>
          <w:rtl/>
        </w:rPr>
        <w:footnoteReference w:id="4"/>
      </w:r>
    </w:p>
    <w:p w:rsidR="00533615" w:rsidRPr="008166E9" w:rsidRDefault="00533615" w:rsidP="00C262D1">
      <w:pPr>
        <w:rPr>
          <w:sz w:val="24"/>
          <w:szCs w:val="24"/>
        </w:rPr>
      </w:pPr>
      <w:r>
        <w:rPr>
          <w:b/>
          <w:bCs/>
        </w:rPr>
        <w:t xml:space="preserve">However here </w:t>
      </w:r>
      <w:r>
        <w:t xml:space="preserve">by the </w:t>
      </w:r>
      <w:r>
        <w:rPr>
          <w:rFonts w:hint="cs"/>
          <w:rtl/>
        </w:rPr>
        <w:t>בני ברזילי</w:t>
      </w:r>
      <w:r>
        <w:t xml:space="preserve"> </w:t>
      </w:r>
      <w:r>
        <w:rPr>
          <w:b/>
          <w:bCs/>
        </w:rPr>
        <w:t xml:space="preserve">we are discussing </w:t>
      </w:r>
      <w:r>
        <w:t xml:space="preserve">the prohibition of </w:t>
      </w:r>
      <w:r>
        <w:rPr>
          <w:b/>
          <w:bCs/>
        </w:rPr>
        <w:t xml:space="preserve">a </w:t>
      </w:r>
      <w:r>
        <w:rPr>
          <w:rFonts w:hint="cs"/>
          <w:b/>
          <w:bCs/>
          <w:rtl/>
        </w:rPr>
        <w:t>זר</w:t>
      </w:r>
      <w:r>
        <w:rPr>
          <w:b/>
          <w:bCs/>
        </w:rPr>
        <w:t xml:space="preserve"> </w:t>
      </w:r>
      <w:r w:rsidR="008166E9">
        <w:rPr>
          <w:b/>
          <w:bCs/>
        </w:rPr>
        <w:t xml:space="preserve">eating </w:t>
      </w:r>
      <w:r w:rsidR="00C262D1">
        <w:rPr>
          <w:rFonts w:hint="cs"/>
          <w:rtl/>
        </w:rPr>
        <w:t>תרומה</w:t>
      </w:r>
      <w:r w:rsidR="008166E9">
        <w:t xml:space="preserve">, </w:t>
      </w:r>
      <w:r>
        <w:t xml:space="preserve">and </w:t>
      </w:r>
      <w:r>
        <w:rPr>
          <w:b/>
          <w:bCs/>
        </w:rPr>
        <w:t xml:space="preserve">we do not find the term </w:t>
      </w:r>
      <w:r>
        <w:rPr>
          <w:rFonts w:hint="cs"/>
          <w:b/>
          <w:bCs/>
          <w:rtl/>
        </w:rPr>
        <w:t>קדשים</w:t>
      </w:r>
      <w:r>
        <w:rPr>
          <w:b/>
          <w:bCs/>
        </w:rPr>
        <w:t xml:space="preserve"> </w:t>
      </w:r>
      <w:r w:rsidRPr="00533615">
        <w:rPr>
          <w:b/>
          <w:bCs/>
        </w:rPr>
        <w:t xml:space="preserve">regarding </w:t>
      </w:r>
      <w:r>
        <w:t xml:space="preserve">the prohibition of </w:t>
      </w:r>
      <w:r>
        <w:rPr>
          <w:rFonts w:hint="cs"/>
          <w:b/>
          <w:bCs/>
          <w:rtl/>
        </w:rPr>
        <w:t>אכילת זר</w:t>
      </w:r>
      <w:r w:rsidR="008166E9">
        <w:rPr>
          <w:b/>
          <w:bCs/>
        </w:rPr>
        <w:t xml:space="preserve"> </w:t>
      </w:r>
      <w:r w:rsidR="008166E9">
        <w:rPr>
          <w:sz w:val="24"/>
          <w:szCs w:val="24"/>
        </w:rPr>
        <w:t xml:space="preserve">in </w:t>
      </w:r>
      <w:r w:rsidR="008166E9">
        <w:rPr>
          <w:rFonts w:hint="cs"/>
          <w:sz w:val="24"/>
          <w:szCs w:val="24"/>
          <w:rtl/>
        </w:rPr>
        <w:t>תרומה</w:t>
      </w:r>
      <w:bookmarkStart w:id="0" w:name="_GoBack"/>
      <w:r w:rsidRPr="00B13A5B">
        <w:t>.</w:t>
      </w:r>
      <w:bookmarkEnd w:id="0"/>
      <w:r>
        <w:rPr>
          <w:b/>
          <w:bCs/>
        </w:rPr>
        <w:t xml:space="preserve"> </w:t>
      </w:r>
      <w:r w:rsidRPr="008166E9">
        <w:rPr>
          <w:sz w:val="24"/>
          <w:szCs w:val="24"/>
        </w:rPr>
        <w:t xml:space="preserve">However, we do find the term </w:t>
      </w:r>
      <w:r w:rsidRPr="008166E9">
        <w:rPr>
          <w:rFonts w:hint="cs"/>
          <w:sz w:val="24"/>
          <w:szCs w:val="24"/>
          <w:rtl/>
        </w:rPr>
        <w:t>קדש</w:t>
      </w:r>
      <w:r w:rsidRPr="008166E9">
        <w:rPr>
          <w:sz w:val="24"/>
          <w:szCs w:val="24"/>
        </w:rPr>
        <w:t xml:space="preserve"> used for </w:t>
      </w:r>
      <w:r w:rsidRPr="008166E9">
        <w:rPr>
          <w:rFonts w:hint="cs"/>
          <w:sz w:val="24"/>
          <w:szCs w:val="24"/>
          <w:rtl/>
        </w:rPr>
        <w:t>אכילת זר בתרומה</w:t>
      </w:r>
      <w:r w:rsidRPr="008166E9">
        <w:rPr>
          <w:sz w:val="24"/>
          <w:szCs w:val="24"/>
        </w:rPr>
        <w:t xml:space="preserve"> as the </w:t>
      </w:r>
      <w:r w:rsidRPr="008166E9">
        <w:rPr>
          <w:rFonts w:hint="cs"/>
          <w:sz w:val="24"/>
          <w:szCs w:val="24"/>
          <w:rtl/>
        </w:rPr>
        <w:t>גמרא</w:t>
      </w:r>
      <w:r w:rsidRPr="008166E9">
        <w:rPr>
          <w:sz w:val="24"/>
          <w:szCs w:val="24"/>
        </w:rPr>
        <w:t xml:space="preserve"> cites </w:t>
      </w:r>
      <w:r w:rsidRPr="008166E9">
        <w:rPr>
          <w:rFonts w:hint="cs"/>
          <w:sz w:val="24"/>
          <w:szCs w:val="24"/>
          <w:rtl/>
        </w:rPr>
        <w:t xml:space="preserve">וכל זר לא יאכל </w:t>
      </w:r>
      <w:r w:rsidRPr="008166E9">
        <w:rPr>
          <w:rFonts w:hint="cs"/>
          <w:sz w:val="24"/>
          <w:szCs w:val="24"/>
          <w:rtl/>
        </w:rPr>
        <w:lastRenderedPageBreak/>
        <w:t>קדש</w:t>
      </w:r>
      <w:r w:rsidRPr="008166E9">
        <w:rPr>
          <w:sz w:val="24"/>
          <w:szCs w:val="24"/>
        </w:rPr>
        <w:t xml:space="preserve">. Therefore it was necessary for the </w:t>
      </w:r>
      <w:r w:rsidRPr="008166E9">
        <w:rPr>
          <w:rFonts w:hint="cs"/>
          <w:sz w:val="24"/>
          <w:szCs w:val="24"/>
          <w:rtl/>
        </w:rPr>
        <w:t>פסוק</w:t>
      </w:r>
      <w:r w:rsidRPr="008166E9">
        <w:rPr>
          <w:sz w:val="24"/>
          <w:szCs w:val="24"/>
        </w:rPr>
        <w:t xml:space="preserve"> to write that the </w:t>
      </w:r>
      <w:r w:rsidRPr="008166E9">
        <w:rPr>
          <w:rFonts w:hint="cs"/>
          <w:sz w:val="24"/>
          <w:szCs w:val="24"/>
          <w:rtl/>
        </w:rPr>
        <w:t>בני ברזילי</w:t>
      </w:r>
      <w:r w:rsidRPr="008166E9">
        <w:rPr>
          <w:sz w:val="24"/>
          <w:szCs w:val="24"/>
        </w:rPr>
        <w:t xml:space="preserve"> (who were suspected of being </w:t>
      </w:r>
      <w:r w:rsidRPr="008166E9">
        <w:rPr>
          <w:rFonts w:hint="cs"/>
          <w:sz w:val="24"/>
          <w:szCs w:val="24"/>
          <w:rtl/>
        </w:rPr>
        <w:t>זרים</w:t>
      </w:r>
      <w:r w:rsidR="008166E9">
        <w:rPr>
          <w:sz w:val="24"/>
          <w:szCs w:val="24"/>
        </w:rPr>
        <w:t>)</w:t>
      </w:r>
      <w:r w:rsidRPr="008166E9">
        <w:rPr>
          <w:sz w:val="24"/>
          <w:szCs w:val="24"/>
        </w:rPr>
        <w:t xml:space="preserve"> cannot eat </w:t>
      </w:r>
      <w:r w:rsidRPr="008166E9">
        <w:rPr>
          <w:rFonts w:hint="cs"/>
          <w:sz w:val="24"/>
          <w:szCs w:val="24"/>
          <w:rtl/>
        </w:rPr>
        <w:t>מקדש</w:t>
      </w:r>
      <w:r w:rsidRPr="008166E9">
        <w:rPr>
          <w:sz w:val="24"/>
          <w:szCs w:val="24"/>
        </w:rPr>
        <w:t xml:space="preserve"> (referring to </w:t>
      </w:r>
      <w:r w:rsidRPr="008166E9">
        <w:rPr>
          <w:rFonts w:hint="cs"/>
          <w:sz w:val="24"/>
          <w:szCs w:val="24"/>
          <w:rtl/>
        </w:rPr>
        <w:t>תרומה</w:t>
      </w:r>
      <w:r w:rsidRPr="008166E9">
        <w:rPr>
          <w:sz w:val="24"/>
          <w:szCs w:val="24"/>
        </w:rPr>
        <w:t xml:space="preserve">) and </w:t>
      </w:r>
      <w:r w:rsidRPr="008166E9">
        <w:rPr>
          <w:rFonts w:hint="cs"/>
          <w:sz w:val="24"/>
          <w:szCs w:val="24"/>
          <w:rtl/>
        </w:rPr>
        <w:t>הקדשים</w:t>
      </w:r>
      <w:r w:rsidRPr="008166E9">
        <w:rPr>
          <w:sz w:val="24"/>
          <w:szCs w:val="24"/>
        </w:rPr>
        <w:t xml:space="preserve"> (referring to </w:t>
      </w:r>
      <w:r w:rsidRPr="008166E9">
        <w:rPr>
          <w:rFonts w:hint="cs"/>
          <w:sz w:val="24"/>
          <w:szCs w:val="24"/>
          <w:rtl/>
        </w:rPr>
        <w:t>קדשי מזבח</w:t>
      </w:r>
      <w:r w:rsidRPr="008166E9">
        <w:rPr>
          <w:sz w:val="24"/>
          <w:szCs w:val="24"/>
        </w:rPr>
        <w:t>).</w:t>
      </w:r>
    </w:p>
    <w:p w:rsidR="00012A8F" w:rsidRPr="008166E9" w:rsidRDefault="00012A8F" w:rsidP="00012A8F">
      <w:pPr>
        <w:bidi/>
        <w:rPr>
          <w:b/>
          <w:bCs/>
          <w:sz w:val="24"/>
          <w:szCs w:val="24"/>
        </w:rPr>
      </w:pPr>
    </w:p>
    <w:p w:rsidR="00012A8F" w:rsidRPr="00CC3B83" w:rsidRDefault="00012A8F" w:rsidP="00012A8F">
      <w:pPr>
        <w:rPr>
          <w:rFonts w:ascii="Copperplate Gothic Bold" w:hAnsi="Copperplate Gothic Bold"/>
          <w:u w:val="double"/>
        </w:rPr>
      </w:pPr>
      <w:r w:rsidRPr="00CC3B83">
        <w:rPr>
          <w:rFonts w:ascii="Copperplate Gothic Bold" w:hAnsi="Copperplate Gothic Bold"/>
          <w:u w:val="double"/>
        </w:rPr>
        <w:t>Summary</w:t>
      </w:r>
    </w:p>
    <w:p w:rsidR="00012A8F" w:rsidRPr="00CC3B83" w:rsidRDefault="00533615" w:rsidP="00533615">
      <w:r>
        <w:rPr>
          <w:rFonts w:hint="cs"/>
          <w:rtl/>
        </w:rPr>
        <w:t>תרומה</w:t>
      </w:r>
      <w:r>
        <w:t xml:space="preserve"> is referred as </w:t>
      </w:r>
      <w:r>
        <w:rPr>
          <w:rFonts w:hint="cs"/>
          <w:rtl/>
        </w:rPr>
        <w:t>קדשים</w:t>
      </w:r>
      <w:r>
        <w:t xml:space="preserve"> only regarding a </w:t>
      </w:r>
      <w:r>
        <w:rPr>
          <w:rFonts w:hint="cs"/>
          <w:rtl/>
        </w:rPr>
        <w:t>כהן טמא</w:t>
      </w:r>
      <w:r>
        <w:t xml:space="preserve">; regarding a </w:t>
      </w:r>
      <w:r>
        <w:rPr>
          <w:rFonts w:hint="cs"/>
          <w:rtl/>
        </w:rPr>
        <w:t>זר</w:t>
      </w:r>
      <w:r>
        <w:t xml:space="preserve"> it is referred to (only) as </w:t>
      </w:r>
      <w:r>
        <w:rPr>
          <w:rFonts w:hint="cs"/>
          <w:rtl/>
        </w:rPr>
        <w:t>קדש</w:t>
      </w:r>
      <w:r>
        <w:t>.</w:t>
      </w:r>
    </w:p>
    <w:p w:rsidR="00012A8F" w:rsidRPr="008166E9" w:rsidRDefault="00012A8F" w:rsidP="00012A8F">
      <w:pPr>
        <w:rPr>
          <w:sz w:val="24"/>
          <w:szCs w:val="24"/>
        </w:rPr>
      </w:pPr>
    </w:p>
    <w:p w:rsidR="00012A8F" w:rsidRPr="00CC3B83" w:rsidRDefault="00012A8F" w:rsidP="00012A8F">
      <w:pPr>
        <w:rPr>
          <w:rFonts w:ascii="Copperplate Gothic Bold" w:hAnsi="Copperplate Gothic Bold"/>
          <w:u w:val="double"/>
        </w:rPr>
      </w:pPr>
      <w:r w:rsidRPr="00CC3B83">
        <w:rPr>
          <w:rFonts w:ascii="Copperplate Gothic Bold" w:hAnsi="Copperplate Gothic Bold"/>
          <w:u w:val="double"/>
        </w:rPr>
        <w:t>Thinking it over</w:t>
      </w:r>
    </w:p>
    <w:p w:rsidR="00012A8F" w:rsidRPr="00CC3B83" w:rsidRDefault="00533615" w:rsidP="00012A8F">
      <w:r>
        <w:t xml:space="preserve">How can we explain that even though </w:t>
      </w:r>
      <w:r>
        <w:rPr>
          <w:rFonts w:hint="cs"/>
          <w:rtl/>
        </w:rPr>
        <w:t>תרומה</w:t>
      </w:r>
      <w:r>
        <w:t xml:space="preserve"> is referred to as </w:t>
      </w:r>
      <w:r>
        <w:rPr>
          <w:rFonts w:hint="cs"/>
          <w:rtl/>
        </w:rPr>
        <w:t>קדשים</w:t>
      </w:r>
      <w:r>
        <w:t xml:space="preserve"> regarding a </w:t>
      </w:r>
      <w:r>
        <w:rPr>
          <w:rFonts w:hint="cs"/>
          <w:rtl/>
        </w:rPr>
        <w:t>כהן טמא</w:t>
      </w:r>
      <w:r>
        <w:t xml:space="preserve">, it is not referred to as </w:t>
      </w:r>
      <w:r>
        <w:rPr>
          <w:rFonts w:hint="cs"/>
          <w:rtl/>
        </w:rPr>
        <w:t>קדשים</w:t>
      </w:r>
      <w:r>
        <w:t xml:space="preserve"> regarding a </w:t>
      </w:r>
      <w:r>
        <w:rPr>
          <w:rFonts w:hint="cs"/>
          <w:rtl/>
        </w:rPr>
        <w:t>זר</w:t>
      </w:r>
      <w:r>
        <w:t>?!</w:t>
      </w:r>
      <w:r w:rsidR="00DB2EAA">
        <w:rPr>
          <w:rStyle w:val="FootnoteReference"/>
        </w:rPr>
        <w:footnoteReference w:id="5"/>
      </w:r>
      <w:r>
        <w:t xml:space="preserve"> Seemingly the name</w:t>
      </w:r>
      <w:r w:rsidR="008166E9">
        <w:t xml:space="preserve"> </w:t>
      </w:r>
      <w:r w:rsidR="008166E9">
        <w:rPr>
          <w:rFonts w:hint="cs"/>
          <w:rtl/>
        </w:rPr>
        <w:t>קדשים</w:t>
      </w:r>
      <w:r>
        <w:t xml:space="preserve"> is referring to the </w:t>
      </w:r>
      <w:r>
        <w:rPr>
          <w:rFonts w:hint="cs"/>
          <w:rtl/>
        </w:rPr>
        <w:t>תרומה</w:t>
      </w:r>
      <w:r>
        <w:t xml:space="preserve"> (which is the same in all case</w:t>
      </w:r>
      <w:r w:rsidR="008166E9">
        <w:t>s</w:t>
      </w:r>
      <w:r>
        <w:t xml:space="preserve">) and </w:t>
      </w:r>
      <w:r w:rsidR="008166E9">
        <w:t xml:space="preserve">not </w:t>
      </w:r>
      <w:r>
        <w:t xml:space="preserve">to the purported eater (the </w:t>
      </w:r>
      <w:r>
        <w:rPr>
          <w:rFonts w:hint="cs"/>
          <w:rtl/>
        </w:rPr>
        <w:t>כהן טמא</w:t>
      </w:r>
      <w:r>
        <w:t xml:space="preserve"> or the </w:t>
      </w:r>
      <w:r>
        <w:rPr>
          <w:rFonts w:hint="cs"/>
          <w:rtl/>
        </w:rPr>
        <w:t>זר</w:t>
      </w:r>
      <w:r>
        <w:t>).</w:t>
      </w:r>
      <w:r w:rsidR="008166E9">
        <w:rPr>
          <w:rStyle w:val="FootnoteReference"/>
        </w:rPr>
        <w:footnoteReference w:id="6"/>
      </w:r>
    </w:p>
    <w:sectPr w:rsidR="00012A8F" w:rsidRPr="00CC3B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596" w:rsidRDefault="00834596" w:rsidP="00012A8F">
      <w:pPr>
        <w:spacing w:line="240" w:lineRule="auto"/>
      </w:pPr>
      <w:r>
        <w:separator/>
      </w:r>
    </w:p>
  </w:endnote>
  <w:endnote w:type="continuationSeparator" w:id="0">
    <w:p w:rsidR="00834596" w:rsidRDefault="00834596" w:rsidP="00012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596761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8166E9" w:rsidRDefault="008166E9">
        <w:pPr>
          <w:pStyle w:val="Footer"/>
          <w:jc w:val="center"/>
          <w:rPr>
            <w:noProof/>
            <w:sz w:val="16"/>
            <w:szCs w:val="16"/>
            <w:rtl/>
          </w:rPr>
        </w:pPr>
        <w:r w:rsidRPr="008166E9">
          <w:rPr>
            <w:sz w:val="20"/>
            <w:szCs w:val="20"/>
          </w:rPr>
          <w:fldChar w:fldCharType="begin"/>
        </w:r>
        <w:r w:rsidRPr="008166E9">
          <w:rPr>
            <w:sz w:val="20"/>
            <w:szCs w:val="20"/>
          </w:rPr>
          <w:instrText xml:space="preserve"> PAGE   \* MERGEFORMAT </w:instrText>
        </w:r>
        <w:r w:rsidRPr="008166E9">
          <w:rPr>
            <w:sz w:val="20"/>
            <w:szCs w:val="20"/>
          </w:rPr>
          <w:fldChar w:fldCharType="separate"/>
        </w:r>
        <w:r w:rsidR="00B13A5B">
          <w:rPr>
            <w:noProof/>
            <w:sz w:val="20"/>
            <w:szCs w:val="20"/>
          </w:rPr>
          <w:t>2</w:t>
        </w:r>
        <w:r w:rsidRPr="008166E9">
          <w:rPr>
            <w:noProof/>
            <w:sz w:val="20"/>
            <w:szCs w:val="20"/>
          </w:rPr>
          <w:fldChar w:fldCharType="end"/>
        </w:r>
      </w:p>
      <w:p w:rsidR="008166E9" w:rsidRPr="008166E9" w:rsidRDefault="008166E9">
        <w:pPr>
          <w:pStyle w:val="Footer"/>
          <w:jc w:val="center"/>
          <w:rPr>
            <w:sz w:val="20"/>
            <w:szCs w:val="20"/>
          </w:rPr>
        </w:pPr>
        <w:r>
          <w:rPr>
            <w:noProof/>
            <w:sz w:val="16"/>
            <w:szCs w:val="16"/>
          </w:rPr>
          <w:t>TosfosInEnglish.com</w:t>
        </w:r>
      </w:p>
    </w:sdtContent>
  </w:sdt>
  <w:p w:rsidR="008166E9" w:rsidRDefault="008166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596" w:rsidRDefault="00834596" w:rsidP="00012A8F">
      <w:pPr>
        <w:spacing w:line="240" w:lineRule="auto"/>
      </w:pPr>
      <w:r>
        <w:separator/>
      </w:r>
    </w:p>
  </w:footnote>
  <w:footnote w:type="continuationSeparator" w:id="0">
    <w:p w:rsidR="00834596" w:rsidRDefault="00834596" w:rsidP="00012A8F">
      <w:pPr>
        <w:spacing w:line="240" w:lineRule="auto"/>
      </w:pPr>
      <w:r>
        <w:continuationSeparator/>
      </w:r>
    </w:p>
  </w:footnote>
  <w:footnote w:id="1">
    <w:p w:rsidR="00012A8F" w:rsidRDefault="00012A8F" w:rsidP="008166E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ויקרא (אמור) כב,ז</w:t>
      </w:r>
      <w:r>
        <w:t>.</w:t>
      </w:r>
      <w:r w:rsidR="00CC3B83">
        <w:t xml:space="preserve">  The </w:t>
      </w:r>
      <w:r w:rsidR="00CC3B83">
        <w:rPr>
          <w:rFonts w:hint="cs"/>
          <w:rtl/>
        </w:rPr>
        <w:t>פסוקים</w:t>
      </w:r>
      <w:r w:rsidR="00CC3B83">
        <w:t xml:space="preserve"> there read; </w:t>
      </w:r>
      <w:r w:rsidR="00CC3B83" w:rsidRPr="00CC3B83">
        <w:rPr>
          <w:rtl/>
        </w:rPr>
        <w:t xml:space="preserve">ד אִישׁ אִישׁ מִזֶּרַע אַהֲרן וְהוּא </w:t>
      </w:r>
      <w:r w:rsidR="00CC3B83" w:rsidRPr="00CC3B83">
        <w:rPr>
          <w:u w:val="single"/>
          <w:rtl/>
        </w:rPr>
        <w:t>צָרוּעַ אוֹ זָב</w:t>
      </w:r>
      <w:r w:rsidR="00CC3B83" w:rsidRPr="00CC3B83">
        <w:rPr>
          <w:rtl/>
        </w:rPr>
        <w:t xml:space="preserve"> בַּקֳּדָשִׁים לא יאכַל עַד אֲשֶׁר יִטְהָר וְהַנּגֵעַ בְּכָל טְמֵא נֶפֶשׁ אוֹ אִישׁ אֲשֶׁר תֵּצֵא מִמֶּנּוּ שִׁכְבַת זָרַע. ה אוֹ אִישׁ אֲשֶׁר יִגַּע בְּכָל שֶׁרֶץ אֲשֶׁר יִטְמָא לוֹ אוֹ בְאָדָם אֲשֶׁר יִטְמָא לוֹ לְכל טֻמְאָתוֹ. ו נֶפֶשׁ אֲשֶׁר תִּגַּע בּו</w:t>
      </w:r>
      <w:r w:rsidR="00CC3B83">
        <w:rPr>
          <w:rtl/>
        </w:rPr>
        <w:t>ֹ וְטָמְאָה עַד הָעָרֶב וְלא י</w:t>
      </w:r>
      <w:r w:rsidR="00CC3B83" w:rsidRPr="00CC3B83">
        <w:rPr>
          <w:rtl/>
        </w:rPr>
        <w:t>אכַל מִן הַקֳּדָשִׁים כִּי אִם רָחַץ בְּשָׂרוֹ בַּמָּיִם. ז וּבָא הַשֶּׁמֶשׁ וְטָהֵר וְאַחַר יאכַל מִן הַקֳּדָשִׁים כִּי לַחְמוֹ הוּא</w:t>
      </w:r>
      <w:r w:rsidR="00CC3B83" w:rsidRPr="00CC3B83">
        <w:t>.</w:t>
      </w:r>
    </w:p>
  </w:footnote>
  <w:footnote w:id="2">
    <w:p w:rsidR="00CC3B83" w:rsidRDefault="00CC3B83" w:rsidP="008166E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previous footnote # 1. It cannot be referring to </w:t>
      </w:r>
      <w:r>
        <w:rPr>
          <w:rFonts w:hint="cs"/>
          <w:rtl/>
        </w:rPr>
        <w:t>קדשים</w:t>
      </w:r>
      <w:r>
        <w:t xml:space="preserve"> because the </w:t>
      </w:r>
      <w:r>
        <w:rPr>
          <w:rFonts w:hint="cs"/>
          <w:rtl/>
        </w:rPr>
        <w:t>טמאים</w:t>
      </w:r>
      <w:r>
        <w:t xml:space="preserve"> of </w:t>
      </w:r>
      <w:r>
        <w:rPr>
          <w:rFonts w:hint="cs"/>
          <w:rtl/>
        </w:rPr>
        <w:t>צרוע או זב</w:t>
      </w:r>
      <w:r>
        <w:t xml:space="preserve"> cannot eat </w:t>
      </w:r>
      <w:r>
        <w:rPr>
          <w:rFonts w:hint="cs"/>
          <w:rtl/>
        </w:rPr>
        <w:t>קדשים</w:t>
      </w:r>
      <w:r>
        <w:t xml:space="preserve"> with </w:t>
      </w:r>
      <w:r>
        <w:rPr>
          <w:rFonts w:hint="cs"/>
          <w:rtl/>
        </w:rPr>
        <w:t>הערב שמש</w:t>
      </w:r>
      <w:r>
        <w:t xml:space="preserve"> alone, they must first bring </w:t>
      </w:r>
      <w:r>
        <w:rPr>
          <w:rFonts w:hint="cs"/>
          <w:rtl/>
        </w:rPr>
        <w:t>קרבנות</w:t>
      </w:r>
      <w:r>
        <w:t xml:space="preserve"> on the next day to be able to eat </w:t>
      </w:r>
      <w:r>
        <w:rPr>
          <w:rFonts w:hint="cs"/>
          <w:rtl/>
        </w:rPr>
        <w:t>קדשים</w:t>
      </w:r>
      <w:r>
        <w:t xml:space="preserve">. However they are permitted to eat </w:t>
      </w:r>
      <w:r>
        <w:rPr>
          <w:rFonts w:hint="cs"/>
          <w:rtl/>
        </w:rPr>
        <w:t>תרומה</w:t>
      </w:r>
      <w:r>
        <w:t xml:space="preserve"> after they are </w:t>
      </w:r>
      <w:r>
        <w:rPr>
          <w:rFonts w:hint="cs"/>
          <w:rtl/>
        </w:rPr>
        <w:t>טובל</w:t>
      </w:r>
      <w:r>
        <w:t xml:space="preserve"> and </w:t>
      </w:r>
      <w:r>
        <w:rPr>
          <w:rFonts w:hint="cs"/>
          <w:rtl/>
        </w:rPr>
        <w:t>הערב שמש</w:t>
      </w:r>
      <w:r>
        <w:t>.</w:t>
      </w:r>
    </w:p>
  </w:footnote>
  <w:footnote w:id="3">
    <w:p w:rsidR="00012A8F" w:rsidRDefault="00012A8F" w:rsidP="008166E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יבמות עד</w:t>
      </w:r>
      <w:proofErr w:type="gramStart"/>
      <w:r>
        <w:rPr>
          <w:rFonts w:hint="cs"/>
          <w:rtl/>
        </w:rPr>
        <w:t>,ב</w:t>
      </w:r>
      <w:proofErr w:type="gramEnd"/>
      <w:r>
        <w:t>.</w:t>
      </w:r>
    </w:p>
  </w:footnote>
  <w:footnote w:id="4">
    <w:p w:rsidR="00533615" w:rsidRDefault="00533615" w:rsidP="008166E9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See ‘Thinking it over’.</w:t>
      </w:r>
      <w:proofErr w:type="gramEnd"/>
    </w:p>
  </w:footnote>
  <w:footnote w:id="5">
    <w:p w:rsidR="00DB2EAA" w:rsidRDefault="00DB2EAA" w:rsidP="00DB2EAA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4.</w:t>
      </w:r>
    </w:p>
  </w:footnote>
  <w:footnote w:id="6">
    <w:p w:rsidR="008166E9" w:rsidRDefault="008166E9" w:rsidP="00DB2EAA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אור החמה ואמרי יצחק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A8F" w:rsidRPr="00012A8F" w:rsidRDefault="00012A8F" w:rsidP="00012A8F">
    <w:pPr>
      <w:pStyle w:val="Header"/>
      <w:bidi/>
      <w:rPr>
        <w:sz w:val="24"/>
        <w:szCs w:val="24"/>
        <w:rtl/>
      </w:rPr>
    </w:pPr>
    <w:r w:rsidRPr="00012A8F">
      <w:rPr>
        <w:rFonts w:hint="cs"/>
        <w:sz w:val="24"/>
        <w:szCs w:val="24"/>
        <w:rtl/>
      </w:rPr>
      <w:t>בס"ד. כתובות כה,א תוס' ד"ה לא במידי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88"/>
    <w:rsid w:val="00012A8F"/>
    <w:rsid w:val="003D4453"/>
    <w:rsid w:val="00533615"/>
    <w:rsid w:val="00785223"/>
    <w:rsid w:val="008166E9"/>
    <w:rsid w:val="00834596"/>
    <w:rsid w:val="00B13A5B"/>
    <w:rsid w:val="00BD3B88"/>
    <w:rsid w:val="00C262D1"/>
    <w:rsid w:val="00CC3B83"/>
    <w:rsid w:val="00DB2EAA"/>
    <w:rsid w:val="00F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A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A8F"/>
  </w:style>
  <w:style w:type="paragraph" w:styleId="Footer">
    <w:name w:val="footer"/>
    <w:basedOn w:val="Normal"/>
    <w:link w:val="FooterChar"/>
    <w:uiPriority w:val="99"/>
    <w:unhideWhenUsed/>
    <w:rsid w:val="00012A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A8F"/>
  </w:style>
  <w:style w:type="paragraph" w:styleId="FootnoteText">
    <w:name w:val="footnote text"/>
    <w:basedOn w:val="Normal"/>
    <w:link w:val="FootnoteTextChar"/>
    <w:uiPriority w:val="99"/>
    <w:semiHidden/>
    <w:unhideWhenUsed/>
    <w:rsid w:val="00012A8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A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2A8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A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A8F"/>
  </w:style>
  <w:style w:type="paragraph" w:styleId="Footer">
    <w:name w:val="footer"/>
    <w:basedOn w:val="Normal"/>
    <w:link w:val="FooterChar"/>
    <w:uiPriority w:val="99"/>
    <w:unhideWhenUsed/>
    <w:rsid w:val="00012A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A8F"/>
  </w:style>
  <w:style w:type="paragraph" w:styleId="FootnoteText">
    <w:name w:val="footnote text"/>
    <w:basedOn w:val="Normal"/>
    <w:link w:val="FootnoteTextChar"/>
    <w:uiPriority w:val="99"/>
    <w:semiHidden/>
    <w:unhideWhenUsed/>
    <w:rsid w:val="00012A8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A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2A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2015-09-07T00:26:00Z</dcterms:created>
  <dcterms:modified xsi:type="dcterms:W3CDTF">2015-12-17T20:07:00Z</dcterms:modified>
</cp:coreProperties>
</file>